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4C1FD"/>
    <w:p w14:paraId="755F7175">
      <w:pPr>
        <w:tabs>
          <w:tab w:val="left" w:pos="142"/>
        </w:tabs>
        <w:snapToGrid w:val="0"/>
        <w:spacing w:line="360" w:lineRule="auto"/>
        <w:ind w:left="284" w:right="-57" w:rightChars="-27"/>
        <w:rPr>
          <w:rFonts w:ascii="Arial" w:hAnsi="Arial" w:cs="Arial"/>
          <w:kern w:val="0"/>
          <w:sz w:val="20"/>
          <w:szCs w:val="20"/>
        </w:rPr>
      </w:pPr>
    </w:p>
    <w:p w14:paraId="13FD5B92">
      <w:pPr>
        <w:tabs>
          <w:tab w:val="left" w:pos="142"/>
        </w:tabs>
        <w:snapToGrid w:val="0"/>
        <w:spacing w:line="360" w:lineRule="auto"/>
        <w:ind w:left="284" w:right="-57" w:rightChars="-27"/>
        <w:rPr>
          <w:rFonts w:ascii="隶书" w:hAnsi="华文中宋" w:eastAsia="隶书"/>
          <w:sz w:val="84"/>
          <w:szCs w:val="84"/>
        </w:rPr>
      </w:pPr>
      <w:r>
        <w:rPr>
          <w:rFonts w:ascii="新宋体" w:hAnsi="新宋体" w:eastAsia="新宋体"/>
          <w:sz w:val="48"/>
          <w:szCs w:val="48"/>
        </w:rPr>
        <w:drawing>
          <wp:inline distT="0" distB="0" distL="0" distR="0">
            <wp:extent cx="1175385" cy="1128395"/>
            <wp:effectExtent l="0" t="0" r="5715" b="0"/>
            <wp:docPr id="1" name="图片 1" descr="LOGO全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全红"/>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5385" cy="1128395"/>
                    </a:xfrm>
                    <a:prstGeom prst="rect">
                      <a:avLst/>
                    </a:prstGeom>
                    <a:noFill/>
                    <a:ln>
                      <a:noFill/>
                    </a:ln>
                  </pic:spPr>
                </pic:pic>
              </a:graphicData>
            </a:graphic>
          </wp:inline>
        </w:drawing>
      </w:r>
      <w:r>
        <w:rPr>
          <w:rFonts w:hint="eastAsia" w:ascii="隶书" w:hAnsi="华文中宋" w:eastAsia="隶书"/>
          <w:sz w:val="84"/>
          <w:szCs w:val="84"/>
        </w:rPr>
        <w:t>高效 规范 廉洁</w:t>
      </w:r>
    </w:p>
    <w:p w14:paraId="466285BE">
      <w:pPr>
        <w:rPr>
          <w:rFonts w:ascii="Calibri" w:hAnsi="Calibri"/>
          <w:szCs w:val="22"/>
        </w:rPr>
      </w:pPr>
    </w:p>
    <w:p w14:paraId="14BEE46F">
      <w:pPr>
        <w:rPr>
          <w:rFonts w:ascii="Calibri" w:hAnsi="Calibri"/>
          <w:szCs w:val="22"/>
        </w:rPr>
      </w:pPr>
    </w:p>
    <w:p w14:paraId="797A50ED">
      <w:pPr>
        <w:tabs>
          <w:tab w:val="left" w:pos="142"/>
        </w:tabs>
        <w:snapToGrid w:val="0"/>
        <w:spacing w:line="360" w:lineRule="auto"/>
        <w:ind w:left="1" w:right="-57" w:rightChars="-27"/>
        <w:jc w:val="center"/>
        <w:rPr>
          <w:rFonts w:ascii="华文中宋" w:hAnsi="华文中宋" w:eastAsia="华文中宋"/>
          <w:sz w:val="72"/>
          <w:szCs w:val="72"/>
        </w:rPr>
      </w:pPr>
      <w:r>
        <w:rPr>
          <w:rFonts w:hint="eastAsia" w:ascii="华文中宋" w:hAnsi="华文中宋" w:eastAsia="华文中宋"/>
          <w:sz w:val="72"/>
          <w:szCs w:val="72"/>
        </w:rPr>
        <w:t xml:space="preserve"> 政府采购文件</w:t>
      </w:r>
    </w:p>
    <w:p w14:paraId="552F9580">
      <w:pPr>
        <w:spacing w:line="360" w:lineRule="auto"/>
        <w:ind w:firstLine="480" w:firstLineChars="200"/>
        <w:rPr>
          <w:kern w:val="0"/>
          <w:sz w:val="24"/>
        </w:rPr>
      </w:pPr>
      <w:bookmarkStart w:id="0" w:name="_Hlk520380463"/>
    </w:p>
    <w:p w14:paraId="36AB96ED">
      <w:pPr>
        <w:adjustRightInd w:val="0"/>
        <w:snapToGrid w:val="0"/>
        <w:spacing w:line="600" w:lineRule="auto"/>
        <w:ind w:left="1600" w:hanging="1600" w:hangingChars="500"/>
        <w:jc w:val="left"/>
        <w:rPr>
          <w:rFonts w:ascii="华文中宋" w:hAnsi="华文中宋" w:eastAsia="华文中宋"/>
          <w:sz w:val="32"/>
          <w:szCs w:val="32"/>
        </w:rPr>
      </w:pPr>
      <w:r>
        <w:rPr>
          <w:rFonts w:hint="eastAsia" w:ascii="华文中宋" w:hAnsi="华文中宋" w:eastAsia="华文中宋"/>
          <w:sz w:val="32"/>
          <w:szCs w:val="32"/>
        </w:rPr>
        <w:t>项目名称：校内垃圾房项目</w:t>
      </w:r>
    </w:p>
    <w:p w14:paraId="54E84ED8">
      <w:pPr>
        <w:adjustRightInd w:val="0"/>
        <w:snapToGrid w:val="0"/>
        <w:spacing w:line="600" w:lineRule="auto"/>
        <w:ind w:left="1600" w:hanging="1600" w:hangingChars="500"/>
        <w:jc w:val="left"/>
        <w:rPr>
          <w:rFonts w:ascii="华文中宋" w:hAnsi="华文中宋" w:eastAsia="华文中宋"/>
          <w:sz w:val="32"/>
          <w:szCs w:val="32"/>
        </w:rPr>
      </w:pPr>
      <w:r>
        <w:rPr>
          <w:rFonts w:hint="eastAsia" w:ascii="华文中宋" w:hAnsi="华文中宋" w:eastAsia="华文中宋"/>
          <w:sz w:val="32"/>
          <w:szCs w:val="32"/>
        </w:rPr>
        <w:t>项目编号：RNX2025201ZC-NSDXX</w:t>
      </w:r>
    </w:p>
    <w:p w14:paraId="40582C8C">
      <w:pPr>
        <w:adjustRightInd w:val="0"/>
        <w:snapToGrid w:val="0"/>
        <w:spacing w:line="600" w:lineRule="auto"/>
        <w:ind w:left="1600" w:hanging="1600" w:hangingChars="500"/>
        <w:jc w:val="left"/>
        <w:rPr>
          <w:rFonts w:ascii="华文中宋" w:hAnsi="华文中宋" w:eastAsia="华文中宋"/>
          <w:sz w:val="32"/>
          <w:szCs w:val="32"/>
        </w:rPr>
      </w:pPr>
      <w:r>
        <w:rPr>
          <w:rFonts w:hint="eastAsia" w:ascii="华文中宋" w:hAnsi="华文中宋" w:eastAsia="华文中宋"/>
          <w:sz w:val="32"/>
          <w:szCs w:val="32"/>
        </w:rPr>
        <w:t>招标方式：公开招标</w:t>
      </w:r>
    </w:p>
    <w:p w14:paraId="3ECA35ED">
      <w:pPr>
        <w:adjustRightInd w:val="0"/>
        <w:snapToGrid w:val="0"/>
        <w:spacing w:line="600" w:lineRule="auto"/>
        <w:ind w:left="1600" w:hanging="1600" w:hangingChars="500"/>
        <w:jc w:val="left"/>
        <w:rPr>
          <w:rFonts w:ascii="华文中宋" w:hAnsi="华文中宋" w:eastAsia="华文中宋"/>
          <w:sz w:val="32"/>
          <w:szCs w:val="32"/>
        </w:rPr>
      </w:pPr>
      <w:r>
        <w:rPr>
          <w:rFonts w:hint="eastAsia" w:ascii="华文中宋" w:hAnsi="华文中宋" w:eastAsia="华文中宋"/>
          <w:sz w:val="32"/>
          <w:szCs w:val="32"/>
        </w:rPr>
        <w:t>采购人名称：深圳市龙岗区南京师范大学附属龙岗学校</w:t>
      </w:r>
    </w:p>
    <w:p w14:paraId="5F365C1F"/>
    <w:bookmarkEnd w:id="0"/>
    <w:p w14:paraId="2B8C11DC">
      <w:pPr>
        <w:rPr>
          <w:rFonts w:ascii="Calibri" w:hAnsi="Calibri"/>
          <w:szCs w:val="22"/>
        </w:rPr>
      </w:pPr>
    </w:p>
    <w:p w14:paraId="0FE5C0D0">
      <w:pPr>
        <w:rPr>
          <w:rFonts w:ascii="Calibri" w:hAnsi="Calibri"/>
          <w:szCs w:val="22"/>
        </w:rPr>
      </w:pPr>
    </w:p>
    <w:p w14:paraId="4C18F4E2">
      <w:pPr>
        <w:rPr>
          <w:rFonts w:ascii="Calibri" w:hAnsi="Calibri"/>
          <w:szCs w:val="22"/>
        </w:rPr>
      </w:pPr>
    </w:p>
    <w:p w14:paraId="18B45C65">
      <w:pPr>
        <w:rPr>
          <w:rFonts w:ascii="Calibri" w:hAnsi="Calibri"/>
          <w:szCs w:val="22"/>
        </w:rPr>
      </w:pPr>
    </w:p>
    <w:p w14:paraId="5873B6D3">
      <w:pPr>
        <w:rPr>
          <w:rFonts w:ascii="Calibri" w:hAnsi="Calibri"/>
          <w:szCs w:val="22"/>
        </w:rPr>
      </w:pPr>
    </w:p>
    <w:p w14:paraId="658FABF4">
      <w:pPr>
        <w:rPr>
          <w:rFonts w:ascii="Calibri" w:hAnsi="Calibri"/>
          <w:szCs w:val="22"/>
        </w:rPr>
      </w:pPr>
    </w:p>
    <w:p w14:paraId="24DCB5B0">
      <w:pPr>
        <w:rPr>
          <w:rFonts w:ascii="Calibri" w:hAnsi="Calibri"/>
          <w:szCs w:val="22"/>
        </w:rPr>
      </w:pPr>
    </w:p>
    <w:p w14:paraId="59C84FC7">
      <w:pPr>
        <w:rPr>
          <w:rFonts w:ascii="Calibri" w:hAnsi="Calibri"/>
          <w:szCs w:val="22"/>
        </w:rPr>
      </w:pPr>
    </w:p>
    <w:p w14:paraId="33C98338">
      <w:pPr>
        <w:spacing w:line="360" w:lineRule="auto"/>
        <w:jc w:val="center"/>
        <w:rPr>
          <w:rFonts w:ascii="华文中宋" w:hAnsi="华文中宋" w:eastAsia="华文中宋"/>
          <w:sz w:val="32"/>
          <w:szCs w:val="32"/>
        </w:rPr>
      </w:pPr>
      <w:r>
        <w:rPr>
          <w:rFonts w:hint="eastAsia" w:ascii="华文中宋" w:hAnsi="华文中宋" w:eastAsia="华文中宋"/>
          <w:sz w:val="32"/>
          <w:szCs w:val="32"/>
        </w:rPr>
        <w:t>深圳市瑞凝信招标咨询有限公司</w:t>
      </w:r>
    </w:p>
    <w:p w14:paraId="0FF48120">
      <w:pPr>
        <w:spacing w:line="360" w:lineRule="auto"/>
        <w:jc w:val="center"/>
        <w:rPr>
          <w:rFonts w:ascii="华文中宋" w:hAnsi="华文中宋" w:eastAsia="华文中宋"/>
          <w:sz w:val="32"/>
          <w:szCs w:val="32"/>
        </w:rPr>
      </w:pPr>
      <w:r>
        <w:rPr>
          <w:rFonts w:hint="eastAsia" w:ascii="华文中宋" w:hAnsi="华文中宋" w:eastAsia="华文中宋"/>
          <w:sz w:val="32"/>
          <w:szCs w:val="32"/>
        </w:rPr>
        <w:t>二〇二五年</w:t>
      </w:r>
    </w:p>
    <w:p w14:paraId="1B3532C5">
      <w:pPr>
        <w:pStyle w:val="3"/>
        <w:rPr>
          <w:rFonts w:ascii="新宋体" w:hAnsi="新宋体" w:eastAsia="新宋体"/>
          <w:sz w:val="30"/>
          <w:szCs w:val="30"/>
        </w:rPr>
      </w:pPr>
      <w:r>
        <w:rPr>
          <w:rFonts w:hint="eastAsia" w:ascii="新宋体" w:hAnsi="新宋体" w:eastAsia="新宋体"/>
          <w:sz w:val="30"/>
          <w:szCs w:val="30"/>
        </w:rPr>
        <w:t>警示条款</w:t>
      </w:r>
    </w:p>
    <w:p w14:paraId="7CBB77EB">
      <w:pPr>
        <w:spacing w:line="276" w:lineRule="auto"/>
        <w:ind w:firstLine="480" w:firstLineChars="200"/>
        <w:rPr>
          <w:rFonts w:ascii="新宋体" w:hAnsi="新宋体" w:eastAsia="新宋体"/>
          <w:sz w:val="24"/>
        </w:rPr>
      </w:pPr>
      <w:r>
        <w:rPr>
          <w:rFonts w:hint="eastAsia" w:ascii="新宋体" w:hAnsi="新宋体" w:eastAsia="新宋体"/>
          <w:sz w:val="24"/>
        </w:rPr>
        <w:t>一、《深圳经济特区政府采购条例》第五十七条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4A5ACF2">
      <w:pPr>
        <w:spacing w:line="276" w:lineRule="auto"/>
        <w:ind w:firstLine="480" w:firstLineChars="200"/>
        <w:rPr>
          <w:rFonts w:ascii="新宋体" w:hAnsi="新宋体" w:eastAsia="新宋体"/>
          <w:sz w:val="24"/>
        </w:rPr>
      </w:pPr>
      <w:r>
        <w:rPr>
          <w:rFonts w:hint="eastAsia" w:ascii="新宋体" w:hAnsi="新宋体" w:eastAsia="新宋体"/>
          <w:sz w:val="24"/>
        </w:rPr>
        <w:t>（一）在采购活动中应当回避而未回避的；</w:t>
      </w:r>
    </w:p>
    <w:p w14:paraId="169F4F3F">
      <w:pPr>
        <w:spacing w:line="276" w:lineRule="auto"/>
        <w:ind w:firstLine="480" w:firstLineChars="200"/>
        <w:rPr>
          <w:rFonts w:ascii="新宋体" w:hAnsi="新宋体" w:eastAsia="新宋体"/>
          <w:sz w:val="24"/>
        </w:rPr>
      </w:pPr>
      <w:r>
        <w:rPr>
          <w:rFonts w:hint="eastAsia" w:ascii="新宋体" w:hAnsi="新宋体" w:eastAsia="新宋体"/>
          <w:sz w:val="24"/>
        </w:rPr>
        <w:t>（二）未按本条例规定签订、履行采购合同，造成严重后果的；</w:t>
      </w:r>
    </w:p>
    <w:p w14:paraId="410220D7">
      <w:pPr>
        <w:spacing w:line="276" w:lineRule="auto"/>
        <w:ind w:firstLine="480" w:firstLineChars="200"/>
        <w:rPr>
          <w:rFonts w:ascii="新宋体" w:hAnsi="新宋体" w:eastAsia="新宋体"/>
          <w:sz w:val="24"/>
        </w:rPr>
      </w:pPr>
      <w:r>
        <w:rPr>
          <w:rFonts w:hint="eastAsia" w:ascii="新宋体" w:hAnsi="新宋体" w:eastAsia="新宋体"/>
          <w:sz w:val="24"/>
        </w:rPr>
        <w:t>（三）隐瞒真实情况，提供虚假资料的；</w:t>
      </w:r>
    </w:p>
    <w:p w14:paraId="353814C8">
      <w:pPr>
        <w:spacing w:line="276" w:lineRule="auto"/>
        <w:ind w:firstLine="480" w:firstLineChars="200"/>
        <w:rPr>
          <w:rFonts w:ascii="新宋体" w:hAnsi="新宋体" w:eastAsia="新宋体"/>
          <w:sz w:val="24"/>
        </w:rPr>
      </w:pPr>
      <w:r>
        <w:rPr>
          <w:rFonts w:hint="eastAsia" w:ascii="新宋体" w:hAnsi="新宋体" w:eastAsia="新宋体"/>
          <w:sz w:val="24"/>
        </w:rPr>
        <w:t>（四）以非法手段排斥其他供应商参与竞争的；</w:t>
      </w:r>
    </w:p>
    <w:p w14:paraId="1BE5F8A6">
      <w:pPr>
        <w:spacing w:line="276" w:lineRule="auto"/>
        <w:ind w:firstLine="480" w:firstLineChars="200"/>
        <w:rPr>
          <w:rFonts w:ascii="新宋体" w:hAnsi="新宋体" w:eastAsia="新宋体"/>
          <w:sz w:val="24"/>
        </w:rPr>
      </w:pPr>
      <w:r>
        <w:rPr>
          <w:rFonts w:hint="eastAsia" w:ascii="新宋体" w:hAnsi="新宋体" w:eastAsia="新宋体"/>
          <w:sz w:val="24"/>
        </w:rPr>
        <w:t>（五）与其他采购参加人串通投标的；</w:t>
      </w:r>
    </w:p>
    <w:p w14:paraId="3D3E78E1">
      <w:pPr>
        <w:spacing w:line="276" w:lineRule="auto"/>
        <w:ind w:firstLine="480" w:firstLineChars="200"/>
        <w:rPr>
          <w:rFonts w:ascii="新宋体" w:hAnsi="新宋体" w:eastAsia="新宋体"/>
          <w:sz w:val="24"/>
        </w:rPr>
      </w:pPr>
      <w:r>
        <w:rPr>
          <w:rFonts w:hint="eastAsia" w:ascii="新宋体" w:hAnsi="新宋体" w:eastAsia="新宋体"/>
          <w:sz w:val="24"/>
        </w:rPr>
        <w:t>（六）恶意投诉的；</w:t>
      </w:r>
    </w:p>
    <w:p w14:paraId="62B1337D">
      <w:pPr>
        <w:spacing w:line="276" w:lineRule="auto"/>
        <w:ind w:firstLine="480" w:firstLineChars="200"/>
        <w:rPr>
          <w:rFonts w:ascii="新宋体" w:hAnsi="新宋体" w:eastAsia="新宋体"/>
          <w:sz w:val="24"/>
        </w:rPr>
      </w:pPr>
      <w:r>
        <w:rPr>
          <w:rFonts w:hint="eastAsia" w:ascii="新宋体" w:hAnsi="新宋体" w:eastAsia="新宋体"/>
          <w:sz w:val="24"/>
        </w:rPr>
        <w:t>（七）向采购项目相关人行贿或者提供其他不当利益的；</w:t>
      </w:r>
    </w:p>
    <w:p w14:paraId="7A5F4548">
      <w:pPr>
        <w:spacing w:line="276" w:lineRule="auto"/>
        <w:ind w:firstLine="480" w:firstLineChars="200"/>
        <w:rPr>
          <w:rFonts w:ascii="新宋体" w:hAnsi="新宋体" w:eastAsia="新宋体"/>
          <w:sz w:val="24"/>
        </w:rPr>
      </w:pPr>
      <w:r>
        <w:rPr>
          <w:rFonts w:hint="eastAsia" w:ascii="新宋体" w:hAnsi="新宋体" w:eastAsia="新宋体"/>
          <w:sz w:val="24"/>
        </w:rPr>
        <w:t>（八）阻碍、抗拒主管部门监督检查的；</w:t>
      </w:r>
    </w:p>
    <w:p w14:paraId="0CD06C62">
      <w:pPr>
        <w:spacing w:line="276" w:lineRule="auto"/>
        <w:ind w:firstLine="480" w:firstLineChars="200"/>
        <w:rPr>
          <w:rFonts w:ascii="新宋体" w:hAnsi="新宋体" w:eastAsia="新宋体"/>
          <w:sz w:val="24"/>
        </w:rPr>
      </w:pPr>
      <w:r>
        <w:rPr>
          <w:rFonts w:hint="eastAsia" w:ascii="新宋体" w:hAnsi="新宋体" w:eastAsia="新宋体"/>
          <w:sz w:val="24"/>
        </w:rPr>
        <w:t>（九）其他违反本条例规定的行为。</w:t>
      </w:r>
    </w:p>
    <w:p w14:paraId="63D0F6AA">
      <w:pPr>
        <w:spacing w:line="276" w:lineRule="auto"/>
        <w:ind w:firstLine="480" w:firstLineChars="200"/>
        <w:rPr>
          <w:rFonts w:ascii="新宋体" w:hAnsi="新宋体" w:eastAsia="新宋体"/>
          <w:sz w:val="24"/>
        </w:rPr>
      </w:pPr>
      <w:r>
        <w:rPr>
          <w:rFonts w:hint="eastAsia" w:ascii="新宋体" w:hAnsi="新宋体" w:eastAsia="新宋体"/>
          <w:sz w:val="24"/>
        </w:rPr>
        <w:t>二、《深圳经济特区政府采购条例实施细则》第七十五条 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D5C8738">
      <w:pPr>
        <w:spacing w:line="276" w:lineRule="auto"/>
        <w:ind w:firstLine="480" w:firstLineChars="200"/>
        <w:rPr>
          <w:rFonts w:ascii="新宋体" w:hAnsi="新宋体" w:eastAsia="新宋体"/>
          <w:sz w:val="24"/>
        </w:rPr>
      </w:pPr>
      <w:r>
        <w:rPr>
          <w:rFonts w:hint="eastAsia" w:ascii="新宋体" w:hAnsi="新宋体" w:eastAsia="新宋体"/>
          <w:sz w:val="24"/>
        </w:rPr>
        <w:t>三、《深圳经济特区政府采购条例实施细则》第七十七条 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AAC3BAC">
      <w:pPr>
        <w:spacing w:line="276" w:lineRule="auto"/>
        <w:ind w:firstLine="480" w:firstLineChars="200"/>
        <w:rPr>
          <w:rFonts w:ascii="新宋体" w:hAnsi="新宋体" w:eastAsia="新宋体"/>
          <w:sz w:val="24"/>
        </w:rPr>
      </w:pPr>
      <w:r>
        <w:rPr>
          <w:rFonts w:hint="eastAsia" w:ascii="新宋体" w:hAnsi="新宋体" w:eastAsia="新宋体"/>
          <w:sz w:val="24"/>
        </w:rPr>
        <w:t>投标供应商不能提供项目负责人或者主要技术人员的劳动合同、社会保险等劳动关系证明材料的，视为存在前款第（三）项规定的情形。</w:t>
      </w:r>
    </w:p>
    <w:p w14:paraId="01795079">
      <w:pPr>
        <w:spacing w:line="276" w:lineRule="auto"/>
        <w:ind w:firstLine="480" w:firstLineChars="200"/>
        <w:rPr>
          <w:rFonts w:ascii="新宋体" w:hAnsi="新宋体" w:eastAsia="新宋体"/>
          <w:sz w:val="24"/>
        </w:rPr>
      </w:pPr>
      <w:r>
        <w:rPr>
          <w:rFonts w:hint="eastAsia" w:ascii="新宋体" w:hAnsi="新宋体" w:eastAsia="新宋体"/>
          <w:sz w:val="24"/>
        </w:rPr>
        <w:t>四、请投标供应商阅读《政府采购违法行为风险知悉确认书》（内容详见“投标文件格式），并经各投标供应商负责人或投标授权代表签字并加盖单位公章后，和投标文件一并提交。注：该风险知悉确认书用于对供应商违法行为的警示，不作为供应商资格性审查及符合性审查条件。</w:t>
      </w:r>
    </w:p>
    <w:p w14:paraId="624BF4C1">
      <w:pPr>
        <w:jc w:val="center"/>
        <w:rPr>
          <w:rFonts w:ascii="宋体" w:hAnsi="宋体" w:eastAsia="黑体"/>
          <w:b/>
          <w:bCs/>
          <w:kern w:val="44"/>
          <w:sz w:val="44"/>
          <w:szCs w:val="44"/>
        </w:rPr>
      </w:pPr>
      <w:r>
        <w:rPr>
          <w:rFonts w:ascii="新宋体" w:hAnsi="新宋体" w:eastAsia="新宋体"/>
          <w:sz w:val="24"/>
        </w:rPr>
        <w:br w:type="page"/>
      </w:r>
      <w:r>
        <w:rPr>
          <w:rFonts w:hint="eastAsia" w:ascii="宋体" w:hAnsi="宋体" w:eastAsia="黑体"/>
          <w:b/>
          <w:bCs/>
          <w:kern w:val="44"/>
          <w:sz w:val="44"/>
          <w:szCs w:val="44"/>
        </w:rPr>
        <w:t>特别警示条款</w:t>
      </w:r>
    </w:p>
    <w:p w14:paraId="54D4A4FC">
      <w:pPr>
        <w:spacing w:after="240" w:afterLines="100" w:line="400" w:lineRule="exact"/>
        <w:ind w:firstLine="482" w:firstLineChars="200"/>
        <w:rPr>
          <w:rFonts w:ascii="新宋体" w:hAnsi="新宋体" w:eastAsia="新宋体" w:cs="仿宋_GB2312"/>
          <w:b/>
          <w:bCs/>
          <w:sz w:val="24"/>
        </w:rPr>
      </w:pPr>
      <w:r>
        <w:rPr>
          <w:rFonts w:hint="eastAsia" w:ascii="新宋体" w:hAnsi="新宋体" w:eastAsia="新宋体" w:cs="仿宋_GB2312"/>
          <w:b/>
          <w:bCs/>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22F7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vAlign w:val="center"/>
          </w:tcPr>
          <w:p w14:paraId="50600824">
            <w:pPr>
              <w:spacing w:line="400" w:lineRule="exact"/>
              <w:jc w:val="center"/>
              <w:rPr>
                <w:rFonts w:ascii="新宋体" w:hAnsi="新宋体" w:eastAsia="新宋体" w:cs="仿宋_GB2312"/>
                <w:sz w:val="24"/>
              </w:rPr>
            </w:pPr>
            <w:r>
              <w:rPr>
                <w:rFonts w:hint="eastAsia" w:ascii="新宋体" w:hAnsi="新宋体" w:eastAsia="新宋体" w:cs="仿宋_GB2312"/>
                <w:sz w:val="24"/>
              </w:rPr>
              <w:t>序号</w:t>
            </w:r>
          </w:p>
        </w:tc>
        <w:tc>
          <w:tcPr>
            <w:tcW w:w="7711" w:type="dxa"/>
            <w:vAlign w:val="center"/>
          </w:tcPr>
          <w:p w14:paraId="51A386EB">
            <w:pPr>
              <w:spacing w:line="400" w:lineRule="exact"/>
              <w:jc w:val="center"/>
              <w:rPr>
                <w:rFonts w:ascii="新宋体" w:hAnsi="新宋体" w:eastAsia="新宋体" w:cs="仿宋_GB2312"/>
                <w:sz w:val="24"/>
              </w:rPr>
            </w:pPr>
            <w:r>
              <w:rPr>
                <w:rFonts w:hint="eastAsia" w:ascii="新宋体" w:hAnsi="新宋体" w:eastAsia="新宋体" w:cs="仿宋_GB2312"/>
                <w:sz w:val="24"/>
              </w:rPr>
              <w:t>供应商参与投标禁止情形</w:t>
            </w:r>
          </w:p>
        </w:tc>
      </w:tr>
      <w:tr w14:paraId="05F4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F636220">
            <w:pPr>
              <w:spacing w:line="400" w:lineRule="exact"/>
              <w:jc w:val="center"/>
              <w:rPr>
                <w:rFonts w:ascii="新宋体" w:hAnsi="新宋体" w:eastAsia="新宋体" w:cs="仿宋_GB2312"/>
                <w:sz w:val="24"/>
              </w:rPr>
            </w:pPr>
            <w:r>
              <w:rPr>
                <w:rFonts w:hint="eastAsia" w:ascii="新宋体" w:hAnsi="新宋体" w:eastAsia="新宋体" w:cs="仿宋_GB2312"/>
                <w:sz w:val="24"/>
              </w:rPr>
              <w:t>1</w:t>
            </w:r>
          </w:p>
        </w:tc>
        <w:tc>
          <w:tcPr>
            <w:tcW w:w="7711" w:type="dxa"/>
            <w:vAlign w:val="center"/>
          </w:tcPr>
          <w:p w14:paraId="45275355">
            <w:pPr>
              <w:spacing w:line="400" w:lineRule="exact"/>
              <w:jc w:val="left"/>
              <w:rPr>
                <w:rFonts w:ascii="新宋体" w:hAnsi="新宋体" w:eastAsia="新宋体" w:cs="仿宋_GB2312"/>
                <w:sz w:val="24"/>
              </w:rPr>
            </w:pPr>
            <w:r>
              <w:rPr>
                <w:rFonts w:hint="eastAsia" w:ascii="新宋体" w:hAnsi="新宋体" w:eastAsia="新宋体" w:cs="仿宋_GB2312"/>
                <w:sz w:val="24"/>
              </w:rPr>
              <w:t>与其他投标供应商的法定代表人、主要经营负责人、投标授权代表人、项目负责人、主要技术人员为同一人、属同一单位或者在同一单位缴纳社会保险。</w:t>
            </w:r>
          </w:p>
        </w:tc>
      </w:tr>
      <w:tr w14:paraId="2FB0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vAlign w:val="center"/>
          </w:tcPr>
          <w:p w14:paraId="6E68F93D">
            <w:pPr>
              <w:spacing w:line="400" w:lineRule="exact"/>
              <w:jc w:val="center"/>
              <w:rPr>
                <w:rFonts w:ascii="新宋体" w:hAnsi="新宋体" w:eastAsia="新宋体" w:cs="仿宋_GB2312"/>
                <w:sz w:val="24"/>
              </w:rPr>
            </w:pPr>
            <w:r>
              <w:rPr>
                <w:rFonts w:hint="eastAsia" w:ascii="新宋体" w:hAnsi="新宋体" w:eastAsia="新宋体" w:cs="仿宋_GB2312"/>
                <w:sz w:val="24"/>
              </w:rPr>
              <w:t>2</w:t>
            </w:r>
          </w:p>
        </w:tc>
        <w:tc>
          <w:tcPr>
            <w:tcW w:w="7711" w:type="dxa"/>
            <w:vAlign w:val="center"/>
          </w:tcPr>
          <w:p w14:paraId="6B0D905B">
            <w:pPr>
              <w:spacing w:line="400" w:lineRule="exact"/>
              <w:jc w:val="left"/>
              <w:rPr>
                <w:rFonts w:ascii="新宋体" w:hAnsi="新宋体" w:eastAsia="新宋体" w:cs="仿宋_GB2312"/>
                <w:sz w:val="24"/>
              </w:rPr>
            </w:pPr>
            <w:r>
              <w:rPr>
                <w:rFonts w:hint="eastAsia" w:ascii="新宋体" w:hAnsi="新宋体" w:eastAsia="新宋体" w:cs="仿宋_GB2312"/>
                <w:sz w:val="24"/>
              </w:rPr>
              <w:t>参与本项目政府采购活动时，与其他投标供应商存在单位负责人为同一人或直接控股、管理关系。</w:t>
            </w:r>
          </w:p>
        </w:tc>
      </w:tr>
      <w:tr w14:paraId="3AF8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00F001B8">
            <w:pPr>
              <w:spacing w:line="400" w:lineRule="exact"/>
              <w:jc w:val="center"/>
              <w:rPr>
                <w:rFonts w:ascii="新宋体" w:hAnsi="新宋体" w:eastAsia="新宋体" w:cs="仿宋_GB2312"/>
                <w:sz w:val="24"/>
              </w:rPr>
            </w:pPr>
            <w:r>
              <w:rPr>
                <w:rFonts w:hint="eastAsia" w:ascii="新宋体" w:hAnsi="新宋体" w:eastAsia="新宋体" w:cs="仿宋_GB2312"/>
                <w:sz w:val="24"/>
              </w:rPr>
              <w:t>3</w:t>
            </w:r>
          </w:p>
        </w:tc>
        <w:tc>
          <w:tcPr>
            <w:tcW w:w="7711" w:type="dxa"/>
            <w:vAlign w:val="center"/>
          </w:tcPr>
          <w:p w14:paraId="0DEF2890">
            <w:pPr>
              <w:spacing w:line="400" w:lineRule="exact"/>
              <w:jc w:val="left"/>
              <w:rPr>
                <w:rFonts w:ascii="新宋体" w:hAnsi="新宋体" w:eastAsia="新宋体" w:cs="仿宋_GB2312"/>
                <w:sz w:val="24"/>
              </w:rPr>
            </w:pPr>
            <w:r>
              <w:rPr>
                <w:rFonts w:hint="eastAsia" w:ascii="新宋体" w:hAnsi="新宋体" w:eastAsia="新宋体" w:cs="仿宋_GB2312"/>
                <w:sz w:val="24"/>
              </w:rPr>
              <w:t>与其他投标供应商的投标文件或部分投标文件相互混装或存在非正常一致。</w:t>
            </w:r>
          </w:p>
        </w:tc>
      </w:tr>
      <w:tr w14:paraId="7824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vAlign w:val="center"/>
          </w:tcPr>
          <w:p w14:paraId="504D9D8F">
            <w:pPr>
              <w:spacing w:line="400" w:lineRule="exact"/>
              <w:jc w:val="center"/>
              <w:rPr>
                <w:rFonts w:ascii="新宋体" w:hAnsi="新宋体" w:eastAsia="新宋体" w:cs="仿宋_GB2312"/>
                <w:sz w:val="24"/>
              </w:rPr>
            </w:pPr>
            <w:r>
              <w:rPr>
                <w:rFonts w:hint="eastAsia" w:ascii="新宋体" w:hAnsi="新宋体" w:eastAsia="新宋体" w:cs="仿宋_GB2312"/>
                <w:sz w:val="24"/>
              </w:rPr>
              <w:t>4</w:t>
            </w:r>
          </w:p>
        </w:tc>
        <w:tc>
          <w:tcPr>
            <w:tcW w:w="7711" w:type="dxa"/>
            <w:vAlign w:val="center"/>
          </w:tcPr>
          <w:p w14:paraId="36CDF903">
            <w:pPr>
              <w:spacing w:line="400" w:lineRule="exact"/>
              <w:jc w:val="left"/>
              <w:rPr>
                <w:rFonts w:ascii="新宋体" w:hAnsi="新宋体" w:eastAsia="新宋体" w:cs="仿宋_GB2312"/>
                <w:sz w:val="24"/>
              </w:rPr>
            </w:pPr>
            <w:r>
              <w:rPr>
                <w:rFonts w:hint="eastAsia" w:ascii="新宋体" w:hAnsi="新宋体" w:eastAsia="新宋体" w:cs="仿宋_GB2312"/>
                <w:sz w:val="24"/>
              </w:rPr>
              <w:t>提供未经出具机构核实的虚假的检验检测报告、业绩材料、社保缴纳证明、学历学位证书、职称认证证书等材料。</w:t>
            </w:r>
          </w:p>
        </w:tc>
      </w:tr>
    </w:tbl>
    <w:p w14:paraId="4F7DEF40">
      <w:pPr>
        <w:widowControl/>
        <w:jc w:val="left"/>
        <w:rPr>
          <w:rFonts w:ascii="新宋体" w:hAnsi="新宋体" w:eastAsia="新宋体"/>
          <w:sz w:val="24"/>
        </w:rPr>
      </w:pPr>
    </w:p>
    <w:p w14:paraId="018CB690">
      <w:pPr>
        <w:widowControl/>
        <w:jc w:val="left"/>
        <w:rPr>
          <w:rFonts w:ascii="新宋体" w:hAnsi="新宋体" w:eastAsia="新宋体"/>
          <w:sz w:val="24"/>
        </w:rPr>
      </w:pPr>
      <w:r>
        <w:rPr>
          <w:rFonts w:ascii="新宋体" w:hAnsi="新宋体" w:eastAsia="新宋体"/>
          <w:sz w:val="24"/>
        </w:rPr>
        <w:br w:type="page"/>
      </w:r>
    </w:p>
    <w:p w14:paraId="17DE38D3">
      <w:pPr>
        <w:pStyle w:val="3"/>
        <w:rPr>
          <w:rFonts w:ascii="新宋体" w:hAnsi="新宋体" w:eastAsia="新宋体"/>
          <w:sz w:val="30"/>
          <w:szCs w:val="30"/>
        </w:rPr>
      </w:pPr>
      <w:r>
        <w:rPr>
          <w:rFonts w:hint="eastAsia" w:ascii="新宋体" w:hAnsi="新宋体" w:eastAsia="新宋体"/>
          <w:sz w:val="30"/>
          <w:szCs w:val="30"/>
        </w:rPr>
        <w:t>招标文件信息</w:t>
      </w:r>
    </w:p>
    <w:p w14:paraId="10335A49">
      <w:pPr>
        <w:widowControl/>
        <w:spacing w:after="100" w:afterAutospacing="1"/>
        <w:rPr>
          <w:rFonts w:ascii="新宋体" w:hAnsi="新宋体" w:eastAsia="新宋体"/>
        </w:rPr>
      </w:pPr>
      <w:r>
        <w:rPr>
          <w:rFonts w:ascii="新宋体" w:hAnsi="新宋体" w:eastAsia="新宋体"/>
        </w:rPr>
        <w:t>项目编号：</w:t>
      </w:r>
      <w:r>
        <w:rPr>
          <w:rFonts w:hint="eastAsia" w:ascii="新宋体" w:hAnsi="新宋体" w:eastAsia="新宋体"/>
        </w:rPr>
        <w:t>RNX2025201ZC-NSDXX</w:t>
      </w:r>
    </w:p>
    <w:p w14:paraId="4DAA81C2">
      <w:pPr>
        <w:widowControl/>
        <w:spacing w:after="100" w:afterAutospacing="1"/>
        <w:rPr>
          <w:rFonts w:ascii="新宋体" w:hAnsi="新宋体" w:eastAsia="新宋体"/>
        </w:rPr>
      </w:pPr>
      <w:r>
        <w:rPr>
          <w:rFonts w:ascii="新宋体" w:hAnsi="新宋体" w:eastAsia="新宋体"/>
        </w:rPr>
        <w:t>项目名称：</w:t>
      </w:r>
      <w:r>
        <w:rPr>
          <w:rFonts w:hint="eastAsia" w:ascii="新宋体" w:hAnsi="新宋体" w:eastAsia="新宋体"/>
        </w:rPr>
        <w:t>校内垃圾房项目</w:t>
      </w:r>
    </w:p>
    <w:p w14:paraId="5EC01B2B">
      <w:pPr>
        <w:widowControl/>
        <w:spacing w:after="100" w:afterAutospacing="1"/>
        <w:rPr>
          <w:rFonts w:ascii="新宋体" w:hAnsi="新宋体" w:eastAsia="新宋体"/>
        </w:rPr>
      </w:pPr>
      <w:r>
        <w:rPr>
          <w:rFonts w:ascii="新宋体" w:hAnsi="新宋体" w:eastAsia="新宋体"/>
        </w:rPr>
        <w:t xml:space="preserve">包   </w:t>
      </w:r>
      <w:r>
        <w:rPr>
          <w:rFonts w:hint="eastAsia" w:ascii="新宋体" w:hAnsi="新宋体" w:eastAsia="新宋体"/>
        </w:rPr>
        <w:t xml:space="preserve"> </w:t>
      </w:r>
      <w:r>
        <w:rPr>
          <w:rFonts w:ascii="新宋体" w:hAnsi="新宋体" w:eastAsia="新宋体"/>
        </w:rPr>
        <w:t>号：</w:t>
      </w:r>
      <w:r>
        <w:rPr>
          <w:rFonts w:hint="eastAsia" w:ascii="新宋体" w:hAnsi="新宋体" w:eastAsia="新宋体"/>
        </w:rPr>
        <w:t>A 包</w:t>
      </w:r>
    </w:p>
    <w:p w14:paraId="5EA9C85B">
      <w:pPr>
        <w:widowControl/>
        <w:spacing w:after="100" w:afterAutospacing="1"/>
        <w:rPr>
          <w:rFonts w:ascii="新宋体" w:hAnsi="新宋体" w:eastAsia="新宋体"/>
        </w:rPr>
      </w:pPr>
      <w:r>
        <w:rPr>
          <w:rFonts w:ascii="新宋体" w:hAnsi="新宋体" w:eastAsia="新宋体"/>
        </w:rPr>
        <w:t>项目类型：</w:t>
      </w:r>
      <w:r>
        <w:rPr>
          <w:rFonts w:hint="eastAsia" w:ascii="新宋体" w:hAnsi="新宋体" w:eastAsia="新宋体"/>
        </w:rPr>
        <w:t>货物</w:t>
      </w:r>
      <w:r>
        <w:rPr>
          <w:rFonts w:ascii="新宋体" w:hAnsi="新宋体" w:eastAsia="新宋体"/>
        </w:rPr>
        <w:t>类</w:t>
      </w:r>
    </w:p>
    <w:p w14:paraId="5F12B52F">
      <w:pPr>
        <w:widowControl/>
        <w:spacing w:after="100" w:afterAutospacing="1"/>
        <w:rPr>
          <w:rFonts w:ascii="新宋体" w:hAnsi="新宋体" w:eastAsia="新宋体"/>
        </w:rPr>
      </w:pPr>
      <w:r>
        <w:rPr>
          <w:rFonts w:ascii="新宋体" w:hAnsi="新宋体" w:eastAsia="新宋体"/>
        </w:rPr>
        <w:t>采购方式：公开招标</w:t>
      </w:r>
    </w:p>
    <w:p w14:paraId="2A5AEE50">
      <w:pPr>
        <w:widowControl/>
        <w:spacing w:after="100" w:afterAutospacing="1"/>
        <w:rPr>
          <w:b/>
        </w:rPr>
      </w:pPr>
      <w:r>
        <w:rPr>
          <w:rFonts w:ascii="新宋体" w:hAnsi="新宋体" w:eastAsia="新宋体"/>
        </w:rPr>
        <w:t>货币类型：人民币</w:t>
      </w:r>
    </w:p>
    <w:p w14:paraId="6B779F7A">
      <w:pPr>
        <w:pStyle w:val="6"/>
        <w:rPr>
          <w:rFonts w:ascii="新宋体" w:hAnsi="新宋体" w:eastAsia="新宋体"/>
          <w:kern w:val="44"/>
          <w:sz w:val="30"/>
          <w:szCs w:val="30"/>
        </w:rPr>
      </w:pPr>
      <w:r>
        <w:rPr>
          <w:rFonts w:hint="eastAsia" w:ascii="新宋体" w:hAnsi="新宋体" w:eastAsia="新宋体"/>
          <w:kern w:val="44"/>
          <w:sz w:val="30"/>
          <w:szCs w:val="3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0C479E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ABFAAB1">
            <w:pPr>
              <w:spacing w:line="276" w:lineRule="auto"/>
              <w:jc w:val="center"/>
              <w:rPr>
                <w:rFonts w:ascii="新宋体" w:hAnsi="新宋体" w:eastAsia="新宋体"/>
                <w:b/>
              </w:rPr>
            </w:pPr>
            <w:r>
              <w:rPr>
                <w:rFonts w:ascii="新宋体" w:hAnsi="新宋体" w:eastAsia="新宋体"/>
                <w:b/>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1187A676">
            <w:pPr>
              <w:spacing w:line="276" w:lineRule="auto"/>
              <w:jc w:val="center"/>
              <w:rPr>
                <w:rFonts w:ascii="新宋体" w:hAnsi="新宋体" w:eastAsia="新宋体"/>
                <w:b/>
              </w:rPr>
            </w:pPr>
            <w:r>
              <w:rPr>
                <w:rFonts w:ascii="新宋体" w:hAnsi="新宋体" w:eastAsia="新宋体"/>
                <w:b/>
              </w:rPr>
              <w:t>内容</w:t>
            </w:r>
          </w:p>
        </w:tc>
      </w:tr>
      <w:tr w14:paraId="0D56F6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11" w:hRule="atLeast"/>
          <w:jc w:val="center"/>
        </w:trPr>
        <w:tc>
          <w:tcPr>
            <w:tcW w:w="794" w:type="dxa"/>
            <w:tcBorders>
              <w:top w:val="single" w:color="000000" w:sz="8" w:space="0"/>
              <w:left w:val="single" w:color="000000" w:sz="8" w:space="0"/>
              <w:bottom w:val="single" w:color="000000" w:sz="8" w:space="0"/>
              <w:right w:val="single" w:color="000000" w:sz="8" w:space="0"/>
            </w:tcBorders>
          </w:tcPr>
          <w:p w14:paraId="14414BA5">
            <w:pPr>
              <w:jc w:val="center"/>
              <w:rPr>
                <w:rFonts w:ascii="新宋体" w:hAnsi="新宋体" w:eastAsia="新宋体"/>
                <w:szCs w:val="21"/>
              </w:rPr>
            </w:pPr>
            <w:r>
              <w:rPr>
                <w:rFonts w:ascii="新宋体" w:hAnsi="新宋体" w:eastAsia="新宋体"/>
                <w:szCs w:val="21"/>
              </w:rPr>
              <w:t>1</w:t>
            </w:r>
          </w:p>
        </w:tc>
        <w:tc>
          <w:tcPr>
            <w:tcW w:w="0" w:type="auto"/>
            <w:tcBorders>
              <w:top w:val="single" w:color="000000" w:sz="8" w:space="0"/>
              <w:left w:val="single" w:color="000000" w:sz="8" w:space="0"/>
              <w:bottom w:val="single" w:color="000000" w:sz="8" w:space="0"/>
              <w:right w:val="single" w:color="000000" w:sz="8" w:space="0"/>
            </w:tcBorders>
          </w:tcPr>
          <w:p w14:paraId="3551C349">
            <w:pPr>
              <w:rPr>
                <w:rFonts w:ascii="新宋体" w:hAnsi="新宋体" w:eastAsia="新宋体"/>
                <w:szCs w:val="21"/>
              </w:rPr>
            </w:pPr>
            <w:r>
              <w:rPr>
                <w:rFonts w:ascii="新宋体" w:hAnsi="新宋体" w:eastAsia="新宋体"/>
                <w:szCs w:val="21"/>
              </w:rPr>
              <w:t>投标人具备招标文件所列的资格要求，或提交相应的资格证明资料（详见招标公告 投标人资格要求）；</w:t>
            </w:r>
          </w:p>
        </w:tc>
      </w:tr>
      <w:tr w14:paraId="58F7A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11" w:hRule="atLeast"/>
          <w:jc w:val="center"/>
        </w:trPr>
        <w:tc>
          <w:tcPr>
            <w:tcW w:w="794" w:type="dxa"/>
            <w:tcBorders>
              <w:top w:val="single" w:color="000000" w:sz="8" w:space="0"/>
              <w:left w:val="single" w:color="000000" w:sz="8" w:space="0"/>
              <w:bottom w:val="single" w:color="000000" w:sz="8" w:space="0"/>
              <w:right w:val="single" w:color="000000" w:sz="8" w:space="0"/>
            </w:tcBorders>
          </w:tcPr>
          <w:p w14:paraId="0E62AD49">
            <w:pPr>
              <w:jc w:val="center"/>
              <w:rPr>
                <w:rFonts w:ascii="新宋体" w:hAnsi="新宋体" w:eastAsia="新宋体"/>
                <w:szCs w:val="21"/>
              </w:rPr>
            </w:pPr>
            <w:r>
              <w:rPr>
                <w:rFonts w:hint="eastAsia" w:ascii="新宋体" w:hAnsi="新宋体" w:eastAsia="新宋体"/>
                <w:szCs w:val="21"/>
              </w:rPr>
              <w:t>2</w:t>
            </w:r>
          </w:p>
        </w:tc>
        <w:tc>
          <w:tcPr>
            <w:tcW w:w="0" w:type="auto"/>
            <w:tcBorders>
              <w:top w:val="single" w:color="000000" w:sz="8" w:space="0"/>
              <w:left w:val="single" w:color="000000" w:sz="8" w:space="0"/>
              <w:bottom w:val="single" w:color="000000" w:sz="8" w:space="0"/>
              <w:right w:val="single" w:color="000000" w:sz="8" w:space="0"/>
            </w:tcBorders>
          </w:tcPr>
          <w:p w14:paraId="74425B6D">
            <w:pPr>
              <w:rPr>
                <w:rFonts w:ascii="新宋体" w:hAnsi="新宋体" w:eastAsia="新宋体"/>
                <w:szCs w:val="21"/>
              </w:rPr>
            </w:pPr>
            <w:r>
              <w:rPr>
                <w:rFonts w:hint="eastAsia" w:ascii="新宋体" w:hAnsi="新宋体" w:eastAsia="新宋体"/>
                <w:szCs w:val="21"/>
              </w:rPr>
              <w:t>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直接控股、管理关系的不同供应商，不得参加本项目政府采购活动（由供应商填写《供应商基本情况表》相关信息）。</w:t>
            </w:r>
          </w:p>
        </w:tc>
      </w:tr>
    </w:tbl>
    <w:p w14:paraId="2072CDD7">
      <w:pPr>
        <w:pStyle w:val="6"/>
        <w:rPr>
          <w:rFonts w:ascii="新宋体" w:hAnsi="新宋体" w:eastAsia="新宋体"/>
          <w:kern w:val="44"/>
          <w:sz w:val="30"/>
          <w:szCs w:val="30"/>
        </w:rPr>
      </w:pPr>
      <w:r>
        <w:rPr>
          <w:rFonts w:hint="eastAsia" w:ascii="新宋体" w:hAnsi="新宋体" w:eastAsia="新宋体"/>
          <w:kern w:val="44"/>
          <w:sz w:val="30"/>
          <w:szCs w:val="30"/>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AEFC4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A326A58">
            <w:pPr>
              <w:spacing w:line="276" w:lineRule="auto"/>
              <w:jc w:val="center"/>
              <w:rPr>
                <w:rFonts w:ascii="新宋体" w:hAnsi="新宋体" w:eastAsia="新宋体"/>
                <w:b/>
              </w:rPr>
            </w:pPr>
            <w:r>
              <w:rPr>
                <w:rFonts w:ascii="新宋体" w:hAnsi="新宋体" w:eastAsia="新宋体"/>
                <w:b/>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759FE8B9">
            <w:pPr>
              <w:spacing w:line="276" w:lineRule="auto"/>
              <w:jc w:val="center"/>
              <w:rPr>
                <w:rFonts w:ascii="新宋体" w:hAnsi="新宋体" w:eastAsia="新宋体"/>
                <w:b/>
              </w:rPr>
            </w:pPr>
            <w:r>
              <w:rPr>
                <w:rFonts w:ascii="新宋体" w:hAnsi="新宋体" w:eastAsia="新宋体"/>
                <w:b/>
              </w:rPr>
              <w:t>内容</w:t>
            </w:r>
          </w:p>
        </w:tc>
      </w:tr>
      <w:tr w14:paraId="49FEF2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68AE47A">
            <w:pPr>
              <w:jc w:val="center"/>
              <w:rPr>
                <w:rFonts w:ascii="新宋体" w:hAnsi="新宋体" w:eastAsia="新宋体"/>
                <w:szCs w:val="21"/>
              </w:rPr>
            </w:pPr>
            <w:r>
              <w:rPr>
                <w:rFonts w:ascii="新宋体" w:hAnsi="新宋体" w:eastAsia="新宋体"/>
                <w:szCs w:val="21"/>
              </w:rPr>
              <w:t>1</w:t>
            </w:r>
          </w:p>
        </w:tc>
        <w:tc>
          <w:tcPr>
            <w:tcW w:w="0" w:type="auto"/>
            <w:tcBorders>
              <w:top w:val="single" w:color="000000" w:sz="8" w:space="0"/>
              <w:left w:val="single" w:color="000000" w:sz="8" w:space="0"/>
              <w:bottom w:val="single" w:color="000000" w:sz="8" w:space="0"/>
              <w:right w:val="single" w:color="000000" w:sz="8" w:space="0"/>
            </w:tcBorders>
          </w:tcPr>
          <w:p w14:paraId="004EAB81">
            <w:pPr>
              <w:rPr>
                <w:rFonts w:ascii="新宋体" w:hAnsi="新宋体" w:eastAsia="新宋体"/>
                <w:szCs w:val="21"/>
              </w:rPr>
            </w:pPr>
            <w:r>
              <w:rPr>
                <w:rFonts w:ascii="新宋体" w:hAnsi="新宋体" w:eastAsia="新宋体"/>
                <w:szCs w:val="21"/>
              </w:rPr>
              <w:t>将一个包或一个标段的内容拆开投标；</w:t>
            </w:r>
          </w:p>
        </w:tc>
      </w:tr>
      <w:tr w14:paraId="57F0EF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F7CA792">
            <w:pPr>
              <w:jc w:val="center"/>
              <w:rPr>
                <w:rFonts w:ascii="新宋体" w:hAnsi="新宋体" w:eastAsia="新宋体"/>
                <w:szCs w:val="21"/>
              </w:rPr>
            </w:pPr>
            <w:r>
              <w:rPr>
                <w:rFonts w:ascii="新宋体" w:hAnsi="新宋体" w:eastAsia="新宋体"/>
                <w:szCs w:val="21"/>
              </w:rPr>
              <w:t>2</w:t>
            </w:r>
          </w:p>
        </w:tc>
        <w:tc>
          <w:tcPr>
            <w:tcW w:w="0" w:type="auto"/>
            <w:tcBorders>
              <w:top w:val="single" w:color="000000" w:sz="8" w:space="0"/>
              <w:left w:val="single" w:color="000000" w:sz="8" w:space="0"/>
              <w:bottom w:val="single" w:color="000000" w:sz="8" w:space="0"/>
              <w:right w:val="single" w:color="000000" w:sz="8" w:space="0"/>
            </w:tcBorders>
          </w:tcPr>
          <w:p w14:paraId="1298380A">
            <w:pPr>
              <w:rPr>
                <w:rFonts w:ascii="新宋体" w:hAnsi="新宋体" w:eastAsia="新宋体"/>
                <w:szCs w:val="21"/>
              </w:rPr>
            </w:pPr>
            <w:r>
              <w:rPr>
                <w:rFonts w:ascii="新宋体" w:hAnsi="新宋体" w:eastAsia="新宋体"/>
                <w:szCs w:val="21"/>
              </w:rPr>
              <w:t>对同一项目投标时，提供两套以上的投标方案（招标文件另有规定的除外）；</w:t>
            </w:r>
          </w:p>
        </w:tc>
      </w:tr>
      <w:tr w14:paraId="0C332C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B89A629">
            <w:pPr>
              <w:jc w:val="center"/>
              <w:rPr>
                <w:rFonts w:ascii="新宋体" w:hAnsi="新宋体" w:eastAsia="新宋体"/>
                <w:szCs w:val="21"/>
              </w:rPr>
            </w:pPr>
            <w:r>
              <w:rPr>
                <w:rFonts w:ascii="新宋体" w:hAnsi="新宋体" w:eastAsia="新宋体"/>
                <w:szCs w:val="21"/>
              </w:rPr>
              <w:t>3</w:t>
            </w:r>
          </w:p>
        </w:tc>
        <w:tc>
          <w:tcPr>
            <w:tcW w:w="0" w:type="auto"/>
            <w:tcBorders>
              <w:top w:val="single" w:color="000000" w:sz="8" w:space="0"/>
              <w:left w:val="single" w:color="000000" w:sz="8" w:space="0"/>
              <w:bottom w:val="single" w:color="000000" w:sz="8" w:space="0"/>
              <w:right w:val="single" w:color="000000" w:sz="8" w:space="0"/>
            </w:tcBorders>
          </w:tcPr>
          <w:p w14:paraId="51EFC313">
            <w:pPr>
              <w:rPr>
                <w:rFonts w:ascii="新宋体" w:hAnsi="新宋体" w:eastAsia="新宋体"/>
                <w:szCs w:val="21"/>
              </w:rPr>
            </w:pPr>
            <w:r>
              <w:rPr>
                <w:rFonts w:hint="eastAsia" w:ascii="新宋体" w:hAnsi="新宋体" w:eastAsia="新宋体"/>
                <w:szCs w:val="21"/>
              </w:rPr>
              <w:t>分项报价或投标总价</w:t>
            </w:r>
            <w:r>
              <w:rPr>
                <w:rFonts w:ascii="新宋体" w:hAnsi="新宋体" w:eastAsia="新宋体"/>
                <w:szCs w:val="21"/>
              </w:rPr>
              <w:t>高于预算</w:t>
            </w:r>
            <w:r>
              <w:rPr>
                <w:rFonts w:hint="eastAsia" w:ascii="新宋体" w:hAnsi="新宋体" w:eastAsia="新宋体"/>
                <w:szCs w:val="21"/>
              </w:rPr>
              <w:t>金额</w:t>
            </w:r>
            <w:r>
              <w:rPr>
                <w:rFonts w:ascii="新宋体" w:hAnsi="新宋体" w:eastAsia="新宋体"/>
                <w:szCs w:val="21"/>
              </w:rPr>
              <w:t>（最高投标限价）的；</w:t>
            </w:r>
          </w:p>
        </w:tc>
      </w:tr>
      <w:tr w14:paraId="5D5CCC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55D2207">
            <w:pPr>
              <w:jc w:val="center"/>
              <w:rPr>
                <w:rFonts w:ascii="新宋体" w:hAnsi="新宋体" w:eastAsia="新宋体"/>
                <w:szCs w:val="21"/>
              </w:rPr>
            </w:pPr>
            <w:r>
              <w:rPr>
                <w:rFonts w:ascii="新宋体" w:hAnsi="新宋体" w:eastAsia="新宋体"/>
                <w:szCs w:val="21"/>
              </w:rPr>
              <w:t>4</w:t>
            </w:r>
          </w:p>
        </w:tc>
        <w:tc>
          <w:tcPr>
            <w:tcW w:w="0" w:type="auto"/>
            <w:tcBorders>
              <w:top w:val="single" w:color="000000" w:sz="8" w:space="0"/>
              <w:left w:val="single" w:color="000000" w:sz="8" w:space="0"/>
              <w:bottom w:val="single" w:color="000000" w:sz="8" w:space="0"/>
              <w:right w:val="single" w:color="000000" w:sz="8" w:space="0"/>
            </w:tcBorders>
          </w:tcPr>
          <w:p w14:paraId="2614289A">
            <w:pPr>
              <w:rPr>
                <w:rFonts w:ascii="新宋体" w:hAnsi="新宋体" w:eastAsia="新宋体"/>
                <w:szCs w:val="21"/>
              </w:rPr>
            </w:pPr>
            <w:r>
              <w:rPr>
                <w:rFonts w:ascii="新宋体" w:hAnsi="新宋体" w:eastAsia="新宋体"/>
                <w:szCs w:val="21"/>
              </w:rPr>
              <w:t>同一项目出现两个及以上报价，且按规定无法确定哪个是有效报价；</w:t>
            </w:r>
          </w:p>
        </w:tc>
      </w:tr>
      <w:tr w14:paraId="65FAF0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913139E">
            <w:pPr>
              <w:jc w:val="center"/>
              <w:rPr>
                <w:rFonts w:ascii="新宋体" w:hAnsi="新宋体" w:eastAsia="新宋体"/>
                <w:szCs w:val="21"/>
              </w:rPr>
            </w:pPr>
            <w:r>
              <w:rPr>
                <w:rFonts w:ascii="新宋体" w:hAnsi="新宋体" w:eastAsia="新宋体"/>
                <w:szCs w:val="21"/>
              </w:rPr>
              <w:t>5</w:t>
            </w:r>
          </w:p>
        </w:tc>
        <w:tc>
          <w:tcPr>
            <w:tcW w:w="0" w:type="auto"/>
            <w:tcBorders>
              <w:top w:val="single" w:color="000000" w:sz="8" w:space="0"/>
              <w:left w:val="single" w:color="000000" w:sz="8" w:space="0"/>
              <w:bottom w:val="single" w:color="000000" w:sz="8" w:space="0"/>
              <w:right w:val="single" w:color="000000" w:sz="8" w:space="0"/>
            </w:tcBorders>
          </w:tcPr>
          <w:p w14:paraId="7B7C1B39">
            <w:pPr>
              <w:rPr>
                <w:rFonts w:ascii="新宋体" w:hAnsi="新宋体" w:eastAsia="新宋体"/>
                <w:szCs w:val="21"/>
              </w:rPr>
            </w:pPr>
            <w:r>
              <w:rPr>
                <w:rFonts w:hint="eastAsia" w:ascii="新宋体" w:hAnsi="新宋体" w:eastAsia="新宋体"/>
                <w:szCs w:val="21"/>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14:paraId="05323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4E2EF08">
            <w:pPr>
              <w:jc w:val="center"/>
              <w:rPr>
                <w:rFonts w:ascii="新宋体" w:hAnsi="新宋体" w:eastAsia="新宋体"/>
                <w:szCs w:val="21"/>
              </w:rPr>
            </w:pPr>
            <w:r>
              <w:rPr>
                <w:rFonts w:ascii="新宋体" w:hAnsi="新宋体" w:eastAsia="新宋体"/>
                <w:szCs w:val="21"/>
              </w:rPr>
              <w:t>6</w:t>
            </w:r>
          </w:p>
        </w:tc>
        <w:tc>
          <w:tcPr>
            <w:tcW w:w="0" w:type="auto"/>
            <w:tcBorders>
              <w:top w:val="single" w:color="000000" w:sz="8" w:space="0"/>
              <w:left w:val="single" w:color="000000" w:sz="8" w:space="0"/>
              <w:bottom w:val="single" w:color="000000" w:sz="8" w:space="0"/>
              <w:right w:val="single" w:color="000000" w:sz="8" w:space="0"/>
            </w:tcBorders>
          </w:tcPr>
          <w:p w14:paraId="75193F07">
            <w:pPr>
              <w:rPr>
                <w:rFonts w:ascii="新宋体" w:hAnsi="新宋体" w:eastAsia="新宋体"/>
                <w:szCs w:val="21"/>
              </w:rPr>
            </w:pPr>
            <w:r>
              <w:rPr>
                <w:rFonts w:hint="eastAsia"/>
              </w:rPr>
              <w:t>投标报价有严重缺漏项目</w:t>
            </w:r>
          </w:p>
        </w:tc>
      </w:tr>
      <w:tr w14:paraId="7A8D22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A90510E">
            <w:pPr>
              <w:jc w:val="center"/>
              <w:rPr>
                <w:rFonts w:ascii="新宋体" w:hAnsi="新宋体" w:eastAsia="新宋体"/>
                <w:szCs w:val="21"/>
              </w:rPr>
            </w:pPr>
            <w:r>
              <w:rPr>
                <w:rFonts w:ascii="新宋体" w:hAnsi="新宋体" w:eastAsia="新宋体"/>
                <w:szCs w:val="21"/>
              </w:rPr>
              <w:t>7</w:t>
            </w:r>
          </w:p>
        </w:tc>
        <w:tc>
          <w:tcPr>
            <w:tcW w:w="0" w:type="auto"/>
            <w:tcBorders>
              <w:top w:val="single" w:color="000000" w:sz="8" w:space="0"/>
              <w:left w:val="single" w:color="000000" w:sz="8" w:space="0"/>
              <w:bottom w:val="single" w:color="000000" w:sz="8" w:space="0"/>
              <w:right w:val="single" w:color="000000" w:sz="8" w:space="0"/>
            </w:tcBorders>
          </w:tcPr>
          <w:p w14:paraId="7348212D">
            <w:r>
              <w:rPr>
                <w:rFonts w:hint="eastAsia"/>
              </w:rPr>
              <w:t>所投产品、工程、服务在商务、技术等方面没有实质性满足招标文件要求的（是否实质性满足招标文件要求，由评标委员会根据《实质性条款响应情况表》做出评判）；</w:t>
            </w:r>
          </w:p>
        </w:tc>
      </w:tr>
      <w:tr w14:paraId="52AEEE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12F80D3">
            <w:pPr>
              <w:jc w:val="center"/>
              <w:rPr>
                <w:rFonts w:ascii="新宋体" w:hAnsi="新宋体" w:eastAsia="新宋体"/>
                <w:szCs w:val="21"/>
              </w:rPr>
            </w:pPr>
            <w:r>
              <w:rPr>
                <w:rFonts w:ascii="新宋体" w:hAnsi="新宋体" w:eastAsia="新宋体"/>
                <w:szCs w:val="21"/>
              </w:rPr>
              <w:t>8</w:t>
            </w:r>
          </w:p>
        </w:tc>
        <w:tc>
          <w:tcPr>
            <w:tcW w:w="0" w:type="auto"/>
            <w:tcBorders>
              <w:top w:val="single" w:color="000000" w:sz="8" w:space="0"/>
              <w:left w:val="single" w:color="000000" w:sz="8" w:space="0"/>
              <w:bottom w:val="single" w:color="000000" w:sz="8" w:space="0"/>
              <w:right w:val="single" w:color="000000" w:sz="8" w:space="0"/>
            </w:tcBorders>
          </w:tcPr>
          <w:p w14:paraId="2F205C8C">
            <w:pPr>
              <w:rPr>
                <w:rFonts w:ascii="新宋体" w:hAnsi="新宋体" w:eastAsia="新宋体"/>
                <w:szCs w:val="21"/>
              </w:rPr>
            </w:pPr>
            <w:r>
              <w:rPr>
                <w:rFonts w:ascii="新宋体" w:hAnsi="新宋体" w:eastAsia="新宋体"/>
                <w:szCs w:val="21"/>
              </w:rPr>
              <w:t>未按招标文件所提供的样式填写《投标函》；未按招标文件所提供的《政府采购投标及履约承诺函》进行承诺；未按招标文件对投标文件组成的要求提供投标文件的（投标文件组成不完整）；</w:t>
            </w:r>
          </w:p>
        </w:tc>
      </w:tr>
      <w:tr w14:paraId="6CEC4D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299C86B">
            <w:pPr>
              <w:jc w:val="center"/>
              <w:rPr>
                <w:rFonts w:ascii="新宋体" w:hAnsi="新宋体" w:eastAsia="新宋体"/>
                <w:szCs w:val="21"/>
              </w:rPr>
            </w:pPr>
            <w:r>
              <w:rPr>
                <w:rFonts w:ascii="新宋体" w:hAnsi="新宋体" w:eastAsia="新宋体"/>
                <w:szCs w:val="21"/>
              </w:rPr>
              <w:t>9</w:t>
            </w:r>
          </w:p>
        </w:tc>
        <w:tc>
          <w:tcPr>
            <w:tcW w:w="0" w:type="auto"/>
            <w:tcBorders>
              <w:top w:val="single" w:color="000000" w:sz="8" w:space="0"/>
              <w:left w:val="single" w:color="000000" w:sz="8" w:space="0"/>
              <w:bottom w:val="single" w:color="000000" w:sz="8" w:space="0"/>
              <w:right w:val="single" w:color="000000" w:sz="8" w:space="0"/>
            </w:tcBorders>
          </w:tcPr>
          <w:p w14:paraId="6028C782">
            <w:pPr>
              <w:rPr>
                <w:rFonts w:ascii="新宋体" w:hAnsi="新宋体" w:eastAsia="新宋体"/>
                <w:szCs w:val="21"/>
              </w:rPr>
            </w:pPr>
            <w:r>
              <w:rPr>
                <w:rFonts w:ascii="新宋体" w:hAnsi="新宋体" w:eastAsia="新宋体"/>
                <w:szCs w:val="21"/>
              </w:rPr>
              <w:t>法律、法规规定的其他情形。</w:t>
            </w:r>
          </w:p>
        </w:tc>
      </w:tr>
    </w:tbl>
    <w:p w14:paraId="69E8F38A">
      <w:pPr>
        <w:jc w:val="left"/>
        <w:rPr>
          <w:b/>
        </w:rPr>
      </w:pPr>
      <w:r>
        <w:rPr>
          <w:rFonts w:hint="eastAsia"/>
          <w:b/>
        </w:rPr>
        <w:t>《资格性审查表》和《符合性审查表》初审不通过，按投标无效处理。</w:t>
      </w:r>
    </w:p>
    <w:p w14:paraId="7F607935">
      <w:pPr>
        <w:widowControl/>
        <w:jc w:val="left"/>
        <w:rPr>
          <w:b/>
        </w:rPr>
      </w:pPr>
    </w:p>
    <w:p w14:paraId="61D0119E">
      <w:pPr>
        <w:pStyle w:val="3"/>
        <w:rPr>
          <w:rFonts w:ascii="新宋体" w:hAnsi="新宋体" w:eastAsia="新宋体"/>
          <w:sz w:val="30"/>
          <w:szCs w:val="30"/>
        </w:rPr>
      </w:pPr>
      <w:r>
        <w:rPr>
          <w:rFonts w:hint="eastAsia" w:ascii="新宋体" w:hAnsi="新宋体" w:eastAsia="新宋体"/>
          <w:sz w:val="30"/>
          <w:szCs w:val="30"/>
        </w:rPr>
        <w:t>综合评分法</w:t>
      </w:r>
      <w:r>
        <w:rPr>
          <w:rFonts w:ascii="新宋体" w:hAnsi="新宋体" w:eastAsia="新宋体"/>
          <w:sz w:val="30"/>
          <w:szCs w:val="30"/>
        </w:rPr>
        <w:t>评标信息</w:t>
      </w:r>
    </w:p>
    <w:tbl>
      <w:tblPr>
        <w:tblStyle w:val="43"/>
        <w:tblW w:w="9281" w:type="dxa"/>
        <w:jc w:val="center"/>
        <w:tblCellSpacing w:w="0" w:type="dxa"/>
        <w:tblLayout w:type="autofit"/>
        <w:tblCellMar>
          <w:top w:w="45" w:type="dxa"/>
          <w:left w:w="45" w:type="dxa"/>
          <w:bottom w:w="45" w:type="dxa"/>
          <w:right w:w="45" w:type="dxa"/>
        </w:tblCellMar>
      </w:tblPr>
      <w:tblGrid>
        <w:gridCol w:w="9281"/>
      </w:tblGrid>
      <w:tr w14:paraId="1523C32B">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5DAEBD34">
            <w:pPr>
              <w:spacing w:line="276" w:lineRule="auto"/>
              <w:rPr>
                <w:rFonts w:ascii="新宋体" w:hAnsi="新宋体" w:eastAsia="新宋体"/>
                <w:b/>
                <w:bCs/>
              </w:rPr>
            </w:pPr>
            <w:r>
              <w:rPr>
                <w:rFonts w:hint="eastAsia" w:ascii="新宋体" w:hAnsi="新宋体" w:eastAsia="新宋体"/>
                <w:b/>
                <w:bCs/>
              </w:rPr>
              <w:t>一、</w:t>
            </w:r>
            <w:r>
              <w:rPr>
                <w:rFonts w:ascii="新宋体" w:hAnsi="新宋体" w:eastAsia="新宋体"/>
                <w:b/>
                <w:bCs/>
              </w:rPr>
              <w:t>评标方法：综合评分法（新价格分算法）</w:t>
            </w:r>
          </w:p>
        </w:tc>
      </w:tr>
      <w:tr w14:paraId="041A0AE1">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0A4C1737">
            <w:pPr>
              <w:spacing w:line="360" w:lineRule="auto"/>
              <w:rPr>
                <w:rFonts w:ascii="新宋体" w:hAnsi="新宋体" w:eastAsia="新宋体"/>
              </w:rPr>
            </w:pPr>
            <w:r>
              <w:rPr>
                <w:rFonts w:ascii="新宋体" w:hAnsi="新宋体" w:eastAsia="新宋体"/>
              </w:rPr>
              <w:t xml:space="preserve">综合评分法，是指投标文件满足招标文件全部实质性要求，且按照评审因素的量化指标评审得分最高的投标人为中标候选人的评标方法。 </w:t>
            </w:r>
          </w:p>
          <w:p w14:paraId="6349C13F">
            <w:pPr>
              <w:spacing w:line="360" w:lineRule="auto"/>
              <w:rPr>
                <w:rFonts w:ascii="新宋体" w:hAnsi="新宋体" w:eastAsia="新宋体"/>
              </w:rPr>
            </w:pPr>
            <w:r>
              <w:rPr>
                <w:rFonts w:ascii="新宋体" w:hAnsi="新宋体" w:eastAsia="新宋体"/>
              </w:rPr>
              <w:t>价格分计算方法：</w:t>
            </w:r>
          </w:p>
          <w:p w14:paraId="4DC969DE">
            <w:pPr>
              <w:spacing w:line="360" w:lineRule="auto"/>
              <w:rPr>
                <w:rFonts w:ascii="新宋体" w:hAnsi="新宋体" w:eastAsia="新宋体"/>
              </w:rPr>
            </w:pPr>
            <w:r>
              <w:rPr>
                <w:rFonts w:ascii="新宋体" w:hAnsi="新宋体" w:eastAsia="新宋体"/>
              </w:rPr>
              <w:t xml:space="preserve">采用低价优先法计算，即满足招标文件要求且投标价格最低的投标报价为评标基准价，其价格分为满分。其他投标人的价格分统一按照下列公式计算： </w:t>
            </w:r>
            <w:r>
              <w:rPr>
                <w:rFonts w:ascii="新宋体" w:hAnsi="新宋体" w:eastAsia="新宋体"/>
              </w:rPr>
              <w:br w:type="textWrapping"/>
            </w:r>
            <w:r>
              <w:rPr>
                <w:rFonts w:ascii="新宋体" w:hAnsi="新宋体" w:eastAsia="新宋体"/>
              </w:rPr>
              <w:t xml:space="preserve">投标报价得分=(评标基准价／投标报价)×100 </w:t>
            </w:r>
            <w:r>
              <w:rPr>
                <w:rFonts w:ascii="新宋体" w:hAnsi="新宋体" w:eastAsia="新宋体"/>
              </w:rPr>
              <w:br w:type="textWrapping"/>
            </w:r>
            <w:r>
              <w:rPr>
                <w:rFonts w:ascii="新宋体" w:hAnsi="新宋体" w:eastAsia="新宋体"/>
              </w:rPr>
              <w:t xml:space="preserve">评标总得分＝F1×A1＋F2×A2＋……＋Fn×An </w:t>
            </w:r>
            <w:r>
              <w:rPr>
                <w:rFonts w:ascii="新宋体" w:hAnsi="新宋体" w:eastAsia="新宋体"/>
              </w:rPr>
              <w:br w:type="textWrapping"/>
            </w:r>
            <w:r>
              <w:rPr>
                <w:rFonts w:ascii="新宋体" w:hAnsi="新宋体" w:eastAsia="新宋体"/>
              </w:rPr>
              <w:t xml:space="preserve">F1、F2……Fn分别为各项评审因素的得分； </w:t>
            </w:r>
            <w:r>
              <w:rPr>
                <w:rFonts w:ascii="新宋体" w:hAnsi="新宋体" w:eastAsia="新宋体"/>
              </w:rPr>
              <w:br w:type="textWrapping"/>
            </w:r>
            <w:r>
              <w:rPr>
                <w:rFonts w:ascii="新宋体" w:hAnsi="新宋体" w:eastAsia="新宋体"/>
              </w:rPr>
              <w:t xml:space="preserve">A1、A2、……An 分别为各项评审因素所占的权重(A1＋A2＋……＋An＝1)。 </w:t>
            </w:r>
            <w:r>
              <w:rPr>
                <w:rFonts w:ascii="新宋体" w:hAnsi="新宋体" w:eastAsia="新宋体"/>
              </w:rPr>
              <w:br w:type="textWrapping"/>
            </w:r>
            <w:r>
              <w:rPr>
                <w:rFonts w:ascii="新宋体" w:hAnsi="新宋体" w:eastAsia="新宋体"/>
              </w:rPr>
              <w:t xml:space="preserve">评标过程中，不得去掉报价中的最高报价和最低报价。 </w:t>
            </w:r>
            <w:r>
              <w:rPr>
                <w:rFonts w:ascii="新宋体" w:hAnsi="新宋体" w:eastAsia="新宋体"/>
              </w:rPr>
              <w:br w:type="textWrapping"/>
            </w:r>
            <w:r>
              <w:rPr>
                <w:rFonts w:ascii="新宋体" w:hAnsi="新宋体" w:eastAsia="新宋体"/>
              </w:rPr>
              <w:t xml:space="preserve">此方法适用于货物类、服务类、工程类项目。 </w:t>
            </w:r>
          </w:p>
        </w:tc>
      </w:tr>
    </w:tbl>
    <w:p w14:paraId="13E9312E">
      <w:pPr>
        <w:spacing w:line="276" w:lineRule="auto"/>
        <w:rPr>
          <w:rFonts w:ascii="新宋体" w:hAnsi="新宋体" w:eastAsia="新宋体"/>
          <w:b/>
          <w:bCs/>
        </w:rPr>
      </w:pPr>
      <w:r>
        <w:rPr>
          <w:rFonts w:hint="eastAsia" w:ascii="新宋体" w:hAnsi="新宋体" w:eastAsia="新宋体"/>
          <w:b/>
          <w:bCs/>
        </w:rPr>
        <w:t>二、评标信息</w:t>
      </w:r>
    </w:p>
    <w:p w14:paraId="749B5296">
      <w:pPr>
        <w:rPr>
          <w:rFonts w:ascii="宋体" w:hAnsi="宋体"/>
          <w:b/>
        </w:rPr>
      </w:pPr>
    </w:p>
    <w:tbl>
      <w:tblPr>
        <w:tblStyle w:val="43"/>
        <w:tblpPr w:leftFromText="180" w:rightFromText="180" w:vertAnchor="text" w:tblpXSpec="center" w:tblpY="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1559"/>
        <w:gridCol w:w="851"/>
        <w:gridCol w:w="1134"/>
        <w:gridCol w:w="4819"/>
      </w:tblGrid>
      <w:tr w14:paraId="1B4A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249993E3">
            <w:pPr>
              <w:jc w:val="center"/>
              <w:rPr>
                <w:rFonts w:ascii="新宋体" w:hAnsi="新宋体" w:eastAsia="新宋体"/>
                <w:b/>
                <w:szCs w:val="21"/>
              </w:rPr>
            </w:pPr>
            <w:r>
              <w:rPr>
                <w:rFonts w:hint="eastAsia" w:ascii="新宋体" w:hAnsi="新宋体" w:eastAsia="新宋体"/>
                <w:b/>
                <w:szCs w:val="21"/>
              </w:rPr>
              <w:t>序号</w:t>
            </w:r>
          </w:p>
        </w:tc>
        <w:tc>
          <w:tcPr>
            <w:tcW w:w="4253" w:type="dxa"/>
            <w:gridSpan w:val="4"/>
            <w:vAlign w:val="center"/>
          </w:tcPr>
          <w:p w14:paraId="3E6E7DCE">
            <w:pPr>
              <w:jc w:val="center"/>
              <w:rPr>
                <w:rFonts w:ascii="新宋体" w:hAnsi="新宋体" w:eastAsia="新宋体"/>
                <w:b/>
                <w:szCs w:val="21"/>
              </w:rPr>
            </w:pPr>
            <w:r>
              <w:rPr>
                <w:rFonts w:hint="eastAsia" w:ascii="新宋体" w:hAnsi="新宋体" w:eastAsia="新宋体"/>
                <w:b/>
                <w:szCs w:val="21"/>
              </w:rPr>
              <w:t>评分项</w:t>
            </w:r>
          </w:p>
        </w:tc>
        <w:tc>
          <w:tcPr>
            <w:tcW w:w="4819" w:type="dxa"/>
            <w:vAlign w:val="center"/>
          </w:tcPr>
          <w:p w14:paraId="4F9856EC">
            <w:pPr>
              <w:jc w:val="center"/>
              <w:rPr>
                <w:rFonts w:ascii="新宋体" w:hAnsi="新宋体" w:eastAsia="新宋体"/>
                <w:b/>
                <w:szCs w:val="21"/>
              </w:rPr>
            </w:pPr>
            <w:r>
              <w:rPr>
                <w:rFonts w:hint="eastAsia" w:ascii="新宋体" w:hAnsi="新宋体" w:eastAsia="新宋体"/>
                <w:b/>
                <w:szCs w:val="21"/>
              </w:rPr>
              <w:t>权重</w:t>
            </w:r>
          </w:p>
        </w:tc>
      </w:tr>
      <w:tr w14:paraId="6469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2ACBC04F">
            <w:pPr>
              <w:jc w:val="center"/>
              <w:rPr>
                <w:rFonts w:ascii="新宋体" w:hAnsi="新宋体" w:eastAsia="新宋体"/>
                <w:b/>
                <w:szCs w:val="21"/>
              </w:rPr>
            </w:pPr>
            <w:r>
              <w:rPr>
                <w:rFonts w:ascii="新宋体" w:hAnsi="新宋体" w:eastAsia="新宋体"/>
                <w:b/>
                <w:szCs w:val="21"/>
              </w:rPr>
              <w:t>1</w:t>
            </w:r>
          </w:p>
        </w:tc>
        <w:tc>
          <w:tcPr>
            <w:tcW w:w="4253" w:type="dxa"/>
            <w:gridSpan w:val="4"/>
            <w:vAlign w:val="center"/>
          </w:tcPr>
          <w:p w14:paraId="0171316F">
            <w:pPr>
              <w:jc w:val="center"/>
              <w:rPr>
                <w:rFonts w:ascii="新宋体" w:hAnsi="新宋体" w:eastAsia="新宋体"/>
                <w:b/>
                <w:szCs w:val="21"/>
              </w:rPr>
            </w:pPr>
            <w:r>
              <w:rPr>
                <w:rFonts w:hint="eastAsia" w:ascii="新宋体" w:hAnsi="新宋体" w:eastAsia="新宋体"/>
                <w:b/>
                <w:szCs w:val="21"/>
              </w:rPr>
              <w:t>价格</w:t>
            </w:r>
          </w:p>
        </w:tc>
        <w:tc>
          <w:tcPr>
            <w:tcW w:w="4819" w:type="dxa"/>
            <w:vAlign w:val="center"/>
          </w:tcPr>
          <w:p w14:paraId="4E85B845">
            <w:pPr>
              <w:jc w:val="center"/>
              <w:rPr>
                <w:rFonts w:ascii="新宋体" w:hAnsi="新宋体" w:eastAsia="新宋体"/>
                <w:b/>
                <w:szCs w:val="21"/>
              </w:rPr>
            </w:pPr>
            <w:r>
              <w:rPr>
                <w:rFonts w:ascii="新宋体" w:hAnsi="新宋体" w:eastAsia="新宋体"/>
                <w:b/>
                <w:szCs w:val="21"/>
              </w:rPr>
              <w:t>30</w:t>
            </w:r>
          </w:p>
        </w:tc>
      </w:tr>
      <w:tr w14:paraId="19B3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66C9CFB3">
            <w:pPr>
              <w:jc w:val="center"/>
              <w:rPr>
                <w:rFonts w:ascii="新宋体" w:hAnsi="新宋体" w:eastAsia="新宋体"/>
                <w:b/>
                <w:szCs w:val="21"/>
              </w:rPr>
            </w:pPr>
            <w:r>
              <w:rPr>
                <w:rFonts w:ascii="新宋体" w:hAnsi="新宋体" w:eastAsia="新宋体"/>
                <w:b/>
                <w:szCs w:val="21"/>
              </w:rPr>
              <w:t>2</w:t>
            </w:r>
          </w:p>
        </w:tc>
        <w:tc>
          <w:tcPr>
            <w:tcW w:w="4253" w:type="dxa"/>
            <w:gridSpan w:val="4"/>
            <w:vAlign w:val="center"/>
          </w:tcPr>
          <w:p w14:paraId="3B380928">
            <w:pPr>
              <w:jc w:val="center"/>
              <w:rPr>
                <w:rFonts w:ascii="新宋体" w:hAnsi="新宋体" w:eastAsia="新宋体"/>
                <w:b/>
                <w:szCs w:val="21"/>
              </w:rPr>
            </w:pPr>
            <w:r>
              <w:rPr>
                <w:rFonts w:hint="eastAsia" w:ascii="新宋体" w:hAnsi="新宋体" w:eastAsia="新宋体"/>
                <w:b/>
                <w:szCs w:val="21"/>
              </w:rPr>
              <w:t>技术部分</w:t>
            </w:r>
          </w:p>
        </w:tc>
        <w:tc>
          <w:tcPr>
            <w:tcW w:w="4819" w:type="dxa"/>
            <w:vAlign w:val="center"/>
          </w:tcPr>
          <w:p w14:paraId="149C5B7D">
            <w:pPr>
              <w:jc w:val="center"/>
              <w:rPr>
                <w:rFonts w:ascii="新宋体" w:hAnsi="新宋体" w:eastAsia="新宋体"/>
                <w:b/>
                <w:szCs w:val="21"/>
              </w:rPr>
            </w:pPr>
            <w:r>
              <w:rPr>
                <w:rFonts w:hint="eastAsia" w:ascii="新宋体" w:hAnsi="新宋体" w:eastAsia="新宋体"/>
                <w:b/>
                <w:szCs w:val="21"/>
              </w:rPr>
              <w:t>58</w:t>
            </w:r>
          </w:p>
        </w:tc>
      </w:tr>
      <w:tr w14:paraId="0000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vAlign w:val="center"/>
          </w:tcPr>
          <w:p w14:paraId="1E9856F1">
            <w:pPr>
              <w:rPr>
                <w:rFonts w:ascii="新宋体" w:hAnsi="新宋体" w:eastAsia="新宋体"/>
                <w:szCs w:val="21"/>
              </w:rPr>
            </w:pPr>
          </w:p>
        </w:tc>
        <w:tc>
          <w:tcPr>
            <w:tcW w:w="709" w:type="dxa"/>
            <w:vAlign w:val="center"/>
          </w:tcPr>
          <w:p w14:paraId="38948FAD">
            <w:pPr>
              <w:rPr>
                <w:rFonts w:ascii="新宋体" w:hAnsi="新宋体" w:eastAsia="新宋体"/>
                <w:szCs w:val="21"/>
              </w:rPr>
            </w:pPr>
            <w:r>
              <w:rPr>
                <w:rFonts w:hint="eastAsia" w:ascii="新宋体" w:hAnsi="新宋体" w:eastAsia="新宋体"/>
                <w:szCs w:val="21"/>
              </w:rPr>
              <w:t>序号</w:t>
            </w:r>
          </w:p>
        </w:tc>
        <w:tc>
          <w:tcPr>
            <w:tcW w:w="1559" w:type="dxa"/>
            <w:vAlign w:val="center"/>
          </w:tcPr>
          <w:p w14:paraId="1FC5649D">
            <w:pPr>
              <w:rPr>
                <w:rFonts w:ascii="新宋体" w:hAnsi="新宋体" w:eastAsia="新宋体"/>
                <w:szCs w:val="21"/>
              </w:rPr>
            </w:pPr>
            <w:r>
              <w:rPr>
                <w:rFonts w:hint="eastAsia" w:ascii="新宋体" w:hAnsi="新宋体" w:eastAsia="新宋体"/>
                <w:szCs w:val="21"/>
              </w:rPr>
              <w:t>评分因素</w:t>
            </w:r>
          </w:p>
        </w:tc>
        <w:tc>
          <w:tcPr>
            <w:tcW w:w="851" w:type="dxa"/>
            <w:vAlign w:val="center"/>
          </w:tcPr>
          <w:p w14:paraId="74979A7A">
            <w:pPr>
              <w:rPr>
                <w:rFonts w:ascii="新宋体" w:hAnsi="新宋体" w:eastAsia="新宋体"/>
                <w:szCs w:val="21"/>
              </w:rPr>
            </w:pPr>
            <w:r>
              <w:rPr>
                <w:rFonts w:hint="eastAsia" w:ascii="新宋体" w:hAnsi="新宋体" w:eastAsia="新宋体"/>
                <w:szCs w:val="21"/>
              </w:rPr>
              <w:t>权重</w:t>
            </w:r>
          </w:p>
        </w:tc>
        <w:tc>
          <w:tcPr>
            <w:tcW w:w="1134" w:type="dxa"/>
            <w:vAlign w:val="center"/>
          </w:tcPr>
          <w:p w14:paraId="7F4FB4F4">
            <w:pPr>
              <w:rPr>
                <w:rFonts w:ascii="新宋体" w:hAnsi="新宋体" w:eastAsia="新宋体"/>
                <w:szCs w:val="21"/>
              </w:rPr>
            </w:pPr>
            <w:r>
              <w:rPr>
                <w:rFonts w:hint="eastAsia" w:ascii="新宋体" w:hAnsi="新宋体" w:eastAsia="新宋体"/>
                <w:szCs w:val="21"/>
              </w:rPr>
              <w:t>评分方式</w:t>
            </w:r>
          </w:p>
        </w:tc>
        <w:tc>
          <w:tcPr>
            <w:tcW w:w="4819" w:type="dxa"/>
            <w:vAlign w:val="center"/>
          </w:tcPr>
          <w:p w14:paraId="6B6962A6">
            <w:pPr>
              <w:rPr>
                <w:rFonts w:ascii="新宋体" w:hAnsi="新宋体" w:eastAsia="新宋体"/>
                <w:szCs w:val="21"/>
              </w:rPr>
            </w:pPr>
            <w:r>
              <w:rPr>
                <w:rFonts w:hint="eastAsia" w:ascii="新宋体" w:hAnsi="新宋体" w:eastAsia="新宋体"/>
                <w:szCs w:val="21"/>
              </w:rPr>
              <w:t>评分准则</w:t>
            </w:r>
          </w:p>
        </w:tc>
      </w:tr>
      <w:tr w14:paraId="045A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14:paraId="191E3297">
            <w:pPr>
              <w:rPr>
                <w:rFonts w:ascii="新宋体" w:hAnsi="新宋体" w:eastAsia="新宋体"/>
                <w:szCs w:val="21"/>
              </w:rPr>
            </w:pPr>
          </w:p>
        </w:tc>
        <w:tc>
          <w:tcPr>
            <w:tcW w:w="709" w:type="dxa"/>
            <w:vAlign w:val="center"/>
          </w:tcPr>
          <w:p w14:paraId="05451D3C">
            <w:pPr>
              <w:rPr>
                <w:rFonts w:ascii="新宋体" w:hAnsi="新宋体" w:eastAsia="新宋体"/>
                <w:szCs w:val="21"/>
              </w:rPr>
            </w:pPr>
            <w:r>
              <w:rPr>
                <w:rFonts w:ascii="新宋体" w:hAnsi="新宋体" w:eastAsia="新宋体"/>
                <w:szCs w:val="21"/>
              </w:rPr>
              <w:t>1</w:t>
            </w:r>
          </w:p>
        </w:tc>
        <w:tc>
          <w:tcPr>
            <w:tcW w:w="1559" w:type="dxa"/>
            <w:vAlign w:val="center"/>
          </w:tcPr>
          <w:p w14:paraId="105EDA9B">
            <w:pPr>
              <w:rPr>
                <w:rFonts w:ascii="新宋体" w:hAnsi="新宋体" w:eastAsia="新宋体"/>
                <w:b/>
                <w:color w:val="FF0000"/>
                <w:szCs w:val="21"/>
              </w:rPr>
            </w:pPr>
            <w:r>
              <w:rPr>
                <w:rFonts w:hint="eastAsia" w:ascii="新宋体" w:hAnsi="新宋体" w:eastAsia="新宋体"/>
                <w:bCs/>
                <w:szCs w:val="21"/>
              </w:rPr>
              <w:t>质量保证措施</w:t>
            </w:r>
          </w:p>
        </w:tc>
        <w:tc>
          <w:tcPr>
            <w:tcW w:w="851" w:type="dxa"/>
            <w:vAlign w:val="center"/>
          </w:tcPr>
          <w:p w14:paraId="6E2CC936">
            <w:pPr>
              <w:rPr>
                <w:rFonts w:ascii="新宋体" w:hAnsi="新宋体" w:eastAsia="新宋体"/>
                <w:color w:val="auto"/>
                <w:szCs w:val="21"/>
              </w:rPr>
            </w:pPr>
            <w:r>
              <w:rPr>
                <w:rFonts w:ascii="新宋体" w:hAnsi="新宋体" w:eastAsia="新宋体"/>
                <w:color w:val="auto"/>
                <w:szCs w:val="21"/>
              </w:rPr>
              <w:t>15</w:t>
            </w:r>
          </w:p>
        </w:tc>
        <w:tc>
          <w:tcPr>
            <w:tcW w:w="1134" w:type="dxa"/>
            <w:vAlign w:val="center"/>
          </w:tcPr>
          <w:p w14:paraId="21538FAC">
            <w:pPr>
              <w:rPr>
                <w:rFonts w:ascii="新宋体" w:hAnsi="新宋体" w:eastAsia="新宋体"/>
                <w:szCs w:val="21"/>
              </w:rPr>
            </w:pPr>
            <w:r>
              <w:rPr>
                <w:rFonts w:hint="eastAsia" w:ascii="新宋体" w:hAnsi="新宋体" w:eastAsia="新宋体"/>
                <w:szCs w:val="21"/>
              </w:rPr>
              <w:t>专家打分</w:t>
            </w:r>
          </w:p>
        </w:tc>
        <w:tc>
          <w:tcPr>
            <w:tcW w:w="4819" w:type="dxa"/>
            <w:vAlign w:val="center"/>
          </w:tcPr>
          <w:p w14:paraId="309CD0C3">
            <w:pPr>
              <w:numPr>
                <w:ilvl w:val="0"/>
                <w:numId w:val="7"/>
              </w:numPr>
              <w:rPr>
                <w:rFonts w:ascii="新宋体" w:hAnsi="新宋体" w:eastAsia="新宋体" w:cs="宋体"/>
                <w:szCs w:val="21"/>
              </w:rPr>
            </w:pPr>
            <w:r>
              <w:rPr>
                <w:rFonts w:hint="eastAsia" w:ascii="新宋体" w:hAnsi="新宋体" w:eastAsia="新宋体" w:cs="宋体"/>
                <w:szCs w:val="21"/>
              </w:rPr>
              <w:t>评审标准：</w:t>
            </w:r>
          </w:p>
          <w:p w14:paraId="5136A55D">
            <w:pPr>
              <w:rPr>
                <w:rFonts w:ascii="新宋体" w:hAnsi="新宋体" w:eastAsia="新宋体" w:cs="宋体"/>
                <w:szCs w:val="21"/>
              </w:rPr>
            </w:pPr>
            <w:r>
              <w:rPr>
                <w:rFonts w:hint="eastAsia" w:ascii="新宋体" w:hAnsi="新宋体" w:eastAsia="新宋体" w:cs="宋体"/>
                <w:szCs w:val="21"/>
              </w:rPr>
              <w:t>投标人提供的质量保障措施包含：</w:t>
            </w:r>
          </w:p>
          <w:p w14:paraId="00FFF08D">
            <w:pPr>
              <w:rPr>
                <w:rFonts w:ascii="新宋体" w:hAnsi="新宋体" w:eastAsia="新宋体" w:cs="宋体"/>
                <w:szCs w:val="21"/>
              </w:rPr>
            </w:pPr>
            <w:r>
              <w:rPr>
                <w:rFonts w:hint="eastAsia" w:ascii="新宋体" w:hAnsi="新宋体" w:eastAsia="新宋体" w:cs="宋体"/>
                <w:szCs w:val="21"/>
              </w:rPr>
              <w:t>1、项目整体实施方案；</w:t>
            </w:r>
          </w:p>
          <w:p w14:paraId="16AFBE67">
            <w:pPr>
              <w:rPr>
                <w:rFonts w:ascii="新宋体" w:hAnsi="新宋体" w:eastAsia="新宋体" w:cs="宋体"/>
                <w:szCs w:val="21"/>
              </w:rPr>
            </w:pPr>
            <w:r>
              <w:rPr>
                <w:rFonts w:hint="eastAsia" w:ascii="新宋体" w:hAnsi="新宋体" w:eastAsia="新宋体" w:cs="宋体"/>
                <w:szCs w:val="21"/>
              </w:rPr>
              <w:t>2、人员运行方案；</w:t>
            </w:r>
          </w:p>
          <w:p w14:paraId="6E855BF4">
            <w:pPr>
              <w:rPr>
                <w:rFonts w:ascii="新宋体" w:hAnsi="新宋体" w:eastAsia="新宋体" w:cs="宋体"/>
                <w:szCs w:val="21"/>
              </w:rPr>
            </w:pPr>
            <w:r>
              <w:rPr>
                <w:rFonts w:hint="eastAsia" w:ascii="新宋体" w:hAnsi="新宋体" w:eastAsia="新宋体" w:cs="宋体"/>
                <w:szCs w:val="21"/>
              </w:rPr>
              <w:t>3、安装调试方案；</w:t>
            </w:r>
          </w:p>
          <w:p w14:paraId="35FE6869">
            <w:pPr>
              <w:rPr>
                <w:rFonts w:ascii="新宋体" w:hAnsi="新宋体" w:eastAsia="新宋体" w:cs="宋体"/>
                <w:szCs w:val="21"/>
              </w:rPr>
            </w:pPr>
            <w:r>
              <w:rPr>
                <w:rFonts w:hint="eastAsia" w:ascii="新宋体" w:hAnsi="新宋体" w:eastAsia="新宋体" w:cs="宋体"/>
                <w:szCs w:val="21"/>
              </w:rPr>
              <w:t>4、验收方案；</w:t>
            </w:r>
          </w:p>
          <w:p w14:paraId="0F6B9F66">
            <w:pPr>
              <w:rPr>
                <w:rFonts w:ascii="新宋体" w:hAnsi="新宋体" w:eastAsia="新宋体" w:cs="宋体"/>
                <w:szCs w:val="21"/>
              </w:rPr>
            </w:pPr>
            <w:r>
              <w:rPr>
                <w:rFonts w:hint="eastAsia" w:ascii="新宋体" w:hAnsi="新宋体" w:eastAsia="新宋体" w:cs="宋体"/>
                <w:szCs w:val="21"/>
              </w:rPr>
              <w:t>5、供货质量保障措施；</w:t>
            </w:r>
          </w:p>
          <w:p w14:paraId="740A796A">
            <w:pPr>
              <w:rPr>
                <w:rFonts w:ascii="新宋体" w:hAnsi="新宋体" w:eastAsia="新宋体" w:cs="宋体"/>
                <w:szCs w:val="21"/>
              </w:rPr>
            </w:pPr>
            <w:r>
              <w:rPr>
                <w:rFonts w:hint="eastAsia" w:ascii="新宋体" w:hAnsi="新宋体" w:eastAsia="新宋体" w:cs="宋体"/>
                <w:szCs w:val="21"/>
              </w:rPr>
              <w:t>（二）评分依据：</w:t>
            </w:r>
          </w:p>
          <w:p w14:paraId="2D343BE5">
            <w:pPr>
              <w:rPr>
                <w:rFonts w:ascii="新宋体" w:hAnsi="新宋体" w:eastAsia="新宋体" w:cs="宋体"/>
                <w:szCs w:val="21"/>
              </w:rPr>
            </w:pPr>
            <w:r>
              <w:rPr>
                <w:rFonts w:hint="eastAsia" w:ascii="新宋体" w:hAnsi="新宋体" w:eastAsia="新宋体" w:cs="宋体"/>
                <w:szCs w:val="21"/>
              </w:rPr>
              <w:t>满足以上5项的得</w:t>
            </w:r>
            <w:r>
              <w:rPr>
                <w:rFonts w:ascii="新宋体" w:hAnsi="新宋体" w:eastAsia="新宋体" w:cs="宋体"/>
                <w:szCs w:val="21"/>
              </w:rPr>
              <w:t>3</w:t>
            </w:r>
            <w:r>
              <w:rPr>
                <w:rFonts w:hint="eastAsia" w:ascii="新宋体" w:hAnsi="新宋体" w:eastAsia="新宋体" w:cs="宋体"/>
                <w:szCs w:val="21"/>
              </w:rPr>
              <w:t>分，满足以上4项的得</w:t>
            </w:r>
            <w:r>
              <w:rPr>
                <w:rFonts w:ascii="新宋体" w:hAnsi="新宋体" w:eastAsia="新宋体" w:cs="宋体"/>
                <w:szCs w:val="21"/>
              </w:rPr>
              <w:t>2</w:t>
            </w:r>
            <w:r>
              <w:rPr>
                <w:rFonts w:hint="eastAsia" w:ascii="新宋体" w:hAnsi="新宋体" w:eastAsia="新宋体" w:cs="宋体"/>
                <w:szCs w:val="21"/>
              </w:rPr>
              <w:t>分，满足以上2项的得</w:t>
            </w:r>
            <w:r>
              <w:rPr>
                <w:rFonts w:ascii="新宋体" w:hAnsi="新宋体" w:eastAsia="新宋体" w:cs="宋体"/>
                <w:szCs w:val="21"/>
              </w:rPr>
              <w:t>1</w:t>
            </w:r>
            <w:r>
              <w:rPr>
                <w:rFonts w:hint="eastAsia" w:ascii="新宋体" w:hAnsi="新宋体" w:eastAsia="新宋体" w:cs="宋体"/>
                <w:szCs w:val="21"/>
              </w:rPr>
              <w:t>分，其他情况不得分。</w:t>
            </w:r>
          </w:p>
          <w:p w14:paraId="2AF06AE3">
            <w:pPr>
              <w:pStyle w:val="2"/>
              <w:spacing w:line="240" w:lineRule="auto"/>
              <w:rPr>
                <w:rFonts w:ascii="新宋体" w:hAnsi="新宋体" w:eastAsia="新宋体" w:cs="宋体"/>
                <w:b w:val="0"/>
                <w:bCs w:val="0"/>
                <w:sz w:val="21"/>
                <w:szCs w:val="21"/>
              </w:rPr>
            </w:pPr>
            <w:r>
              <w:rPr>
                <w:rFonts w:hint="eastAsia" w:ascii="新宋体" w:hAnsi="新宋体" w:eastAsia="新宋体" w:cs="宋体"/>
                <w:b w:val="0"/>
                <w:bCs w:val="0"/>
                <w:sz w:val="21"/>
                <w:szCs w:val="21"/>
              </w:rPr>
              <w:t>在此基础上：</w:t>
            </w:r>
          </w:p>
          <w:p w14:paraId="148DE63A">
            <w:pPr>
              <w:pStyle w:val="2"/>
              <w:spacing w:line="240" w:lineRule="auto"/>
              <w:rPr>
                <w:rFonts w:ascii="新宋体" w:hAnsi="新宋体" w:eastAsia="新宋体" w:cs="宋体"/>
                <w:b w:val="0"/>
                <w:bCs w:val="0"/>
                <w:sz w:val="21"/>
                <w:szCs w:val="21"/>
              </w:rPr>
            </w:pPr>
            <w:r>
              <w:rPr>
                <w:rFonts w:hint="eastAsia" w:ascii="新宋体" w:hAnsi="新宋体" w:eastAsia="新宋体" w:cs="宋体"/>
                <w:b w:val="0"/>
                <w:bCs w:val="0"/>
                <w:sz w:val="21"/>
                <w:szCs w:val="21"/>
              </w:rPr>
              <w:t>1、质量保障措施详细完整，切实可行的，评价为优得</w:t>
            </w:r>
            <w:r>
              <w:rPr>
                <w:rFonts w:ascii="新宋体" w:hAnsi="新宋体" w:eastAsia="新宋体" w:cs="宋体"/>
                <w:b w:val="0"/>
                <w:bCs w:val="0"/>
                <w:sz w:val="21"/>
                <w:szCs w:val="21"/>
              </w:rPr>
              <w:t>12</w:t>
            </w:r>
            <w:r>
              <w:rPr>
                <w:rFonts w:hint="eastAsia" w:ascii="新宋体" w:hAnsi="新宋体" w:eastAsia="新宋体" w:cs="宋体"/>
                <w:b w:val="0"/>
                <w:bCs w:val="0"/>
                <w:sz w:val="21"/>
                <w:szCs w:val="21"/>
              </w:rPr>
              <w:t>分；</w:t>
            </w:r>
          </w:p>
          <w:p w14:paraId="387F3CBC">
            <w:pPr>
              <w:pStyle w:val="2"/>
              <w:spacing w:line="240" w:lineRule="auto"/>
              <w:rPr>
                <w:rFonts w:ascii="新宋体" w:hAnsi="新宋体" w:eastAsia="新宋体" w:cs="宋体"/>
                <w:b w:val="0"/>
                <w:bCs w:val="0"/>
                <w:sz w:val="21"/>
                <w:szCs w:val="21"/>
              </w:rPr>
            </w:pPr>
            <w:r>
              <w:rPr>
                <w:rFonts w:hint="eastAsia" w:ascii="新宋体" w:hAnsi="新宋体" w:eastAsia="新宋体" w:cs="宋体"/>
                <w:b w:val="0"/>
                <w:bCs w:val="0"/>
                <w:sz w:val="21"/>
                <w:szCs w:val="21"/>
              </w:rPr>
              <w:t>2、质量保障措施基本完整，可行性较合理的评价为良得</w:t>
            </w:r>
            <w:r>
              <w:rPr>
                <w:rFonts w:ascii="新宋体" w:hAnsi="新宋体" w:eastAsia="新宋体" w:cs="宋体"/>
                <w:b w:val="0"/>
                <w:bCs w:val="0"/>
                <w:sz w:val="21"/>
                <w:szCs w:val="21"/>
              </w:rPr>
              <w:t>5</w:t>
            </w:r>
            <w:r>
              <w:rPr>
                <w:rFonts w:hint="eastAsia" w:ascii="新宋体" w:hAnsi="新宋体" w:eastAsia="新宋体" w:cs="宋体"/>
                <w:b w:val="0"/>
                <w:bCs w:val="0"/>
                <w:sz w:val="21"/>
                <w:szCs w:val="21"/>
              </w:rPr>
              <w:t>分；</w:t>
            </w:r>
          </w:p>
          <w:p w14:paraId="35B2EA63">
            <w:pPr>
              <w:pStyle w:val="2"/>
              <w:spacing w:line="240" w:lineRule="auto"/>
              <w:rPr>
                <w:rFonts w:ascii="新宋体" w:hAnsi="新宋体" w:eastAsia="新宋体" w:cs="宋体"/>
                <w:b w:val="0"/>
                <w:bCs w:val="0"/>
                <w:sz w:val="21"/>
                <w:szCs w:val="21"/>
              </w:rPr>
            </w:pPr>
            <w:r>
              <w:rPr>
                <w:rFonts w:hint="eastAsia" w:ascii="新宋体" w:hAnsi="新宋体" w:eastAsia="新宋体" w:cs="宋体"/>
                <w:b w:val="0"/>
                <w:bCs w:val="0"/>
                <w:sz w:val="21"/>
                <w:szCs w:val="21"/>
              </w:rPr>
              <w:t>3、质量保障措施一般的评价为中得1分；</w:t>
            </w:r>
          </w:p>
          <w:p w14:paraId="1D31DB5B">
            <w:pPr>
              <w:pStyle w:val="2"/>
              <w:spacing w:line="240" w:lineRule="auto"/>
            </w:pPr>
            <w:r>
              <w:rPr>
                <w:rFonts w:hint="eastAsia" w:ascii="新宋体" w:hAnsi="新宋体" w:eastAsia="新宋体" w:cs="宋体"/>
                <w:b w:val="0"/>
                <w:bCs w:val="0"/>
                <w:sz w:val="21"/>
                <w:szCs w:val="21"/>
              </w:rPr>
              <w:t>4、质量保障措施不够完整，不具备可行性的评价为差不得分。</w:t>
            </w:r>
          </w:p>
        </w:tc>
      </w:tr>
      <w:tr w14:paraId="5AF6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14:paraId="4E778D76">
            <w:pPr>
              <w:rPr>
                <w:rFonts w:ascii="新宋体" w:hAnsi="新宋体" w:eastAsia="新宋体"/>
                <w:szCs w:val="21"/>
              </w:rPr>
            </w:pPr>
          </w:p>
        </w:tc>
        <w:tc>
          <w:tcPr>
            <w:tcW w:w="709" w:type="dxa"/>
            <w:vAlign w:val="center"/>
          </w:tcPr>
          <w:p w14:paraId="2FEE77F1">
            <w:pPr>
              <w:rPr>
                <w:rFonts w:ascii="新宋体" w:hAnsi="新宋体" w:eastAsia="新宋体"/>
                <w:szCs w:val="21"/>
              </w:rPr>
            </w:pPr>
            <w:r>
              <w:rPr>
                <w:rFonts w:ascii="新宋体" w:hAnsi="新宋体" w:eastAsia="新宋体"/>
                <w:szCs w:val="21"/>
              </w:rPr>
              <w:t>2</w:t>
            </w:r>
          </w:p>
        </w:tc>
        <w:tc>
          <w:tcPr>
            <w:tcW w:w="1559" w:type="dxa"/>
            <w:vAlign w:val="center"/>
          </w:tcPr>
          <w:p w14:paraId="7D158992">
            <w:pPr>
              <w:rPr>
                <w:rFonts w:ascii="新宋体" w:hAnsi="新宋体" w:eastAsia="新宋体"/>
                <w:szCs w:val="21"/>
              </w:rPr>
            </w:pPr>
            <w:r>
              <w:rPr>
                <w:rFonts w:hint="eastAsia" w:cs="宋体" w:asciiTheme="minorEastAsia" w:hAnsiTheme="minorEastAsia" w:eastAsiaTheme="minorEastAsia"/>
                <w:kern w:val="0"/>
                <w:szCs w:val="21"/>
              </w:rPr>
              <w:t>设计方案</w:t>
            </w:r>
          </w:p>
        </w:tc>
        <w:tc>
          <w:tcPr>
            <w:tcW w:w="851" w:type="dxa"/>
            <w:vAlign w:val="center"/>
          </w:tcPr>
          <w:p w14:paraId="359ACF31">
            <w:pPr>
              <w:rPr>
                <w:rFonts w:ascii="新宋体" w:hAnsi="新宋体" w:eastAsia="新宋体"/>
                <w:color w:val="auto"/>
                <w:szCs w:val="21"/>
              </w:rPr>
            </w:pPr>
            <w:r>
              <w:rPr>
                <w:rFonts w:hint="eastAsia" w:ascii="新宋体" w:hAnsi="新宋体" w:eastAsia="新宋体" w:cs="宋体"/>
                <w:color w:val="auto"/>
                <w:szCs w:val="21"/>
              </w:rPr>
              <w:t>1</w:t>
            </w:r>
            <w:r>
              <w:rPr>
                <w:rFonts w:ascii="新宋体" w:hAnsi="新宋体" w:eastAsia="新宋体" w:cs="宋体"/>
                <w:color w:val="auto"/>
                <w:szCs w:val="21"/>
              </w:rPr>
              <w:t>5</w:t>
            </w:r>
          </w:p>
        </w:tc>
        <w:tc>
          <w:tcPr>
            <w:tcW w:w="1134" w:type="dxa"/>
            <w:vAlign w:val="center"/>
          </w:tcPr>
          <w:p w14:paraId="052C9772">
            <w:pPr>
              <w:rPr>
                <w:rFonts w:ascii="新宋体" w:hAnsi="新宋体" w:eastAsia="新宋体"/>
                <w:szCs w:val="21"/>
              </w:rPr>
            </w:pPr>
            <w:r>
              <w:rPr>
                <w:rFonts w:hint="eastAsia" w:ascii="新宋体" w:hAnsi="新宋体" w:eastAsia="新宋体"/>
                <w:szCs w:val="21"/>
              </w:rPr>
              <w:t>专家打分</w:t>
            </w:r>
          </w:p>
        </w:tc>
        <w:tc>
          <w:tcPr>
            <w:tcW w:w="4819" w:type="dxa"/>
            <w:vAlign w:val="center"/>
          </w:tcPr>
          <w:p w14:paraId="718317A7">
            <w:pPr>
              <w:rPr>
                <w:rFonts w:ascii="新宋体" w:hAnsi="新宋体" w:eastAsia="新宋体" w:cs="宋体"/>
                <w:szCs w:val="21"/>
              </w:rPr>
            </w:pPr>
            <w:r>
              <w:rPr>
                <w:rFonts w:hint="eastAsia" w:ascii="新宋体" w:hAnsi="新宋体" w:eastAsia="新宋体" w:cs="宋体"/>
                <w:szCs w:val="21"/>
              </w:rPr>
              <w:t>（一）评审标准：</w:t>
            </w:r>
          </w:p>
          <w:p w14:paraId="30A2F9C6">
            <w:pPr>
              <w:rPr>
                <w:rFonts w:ascii="新宋体" w:hAnsi="新宋体" w:eastAsia="新宋体" w:cs="宋体"/>
                <w:szCs w:val="21"/>
              </w:rPr>
            </w:pPr>
            <w:r>
              <w:rPr>
                <w:rFonts w:hint="eastAsia" w:ascii="新宋体" w:hAnsi="新宋体" w:eastAsia="新宋体" w:cs="宋体"/>
                <w:szCs w:val="21"/>
              </w:rPr>
              <w:t>投标人提供结合用户需求与现场环境相匹配的效果图。</w:t>
            </w:r>
          </w:p>
          <w:p w14:paraId="26063942">
            <w:pPr>
              <w:rPr>
                <w:rFonts w:ascii="新宋体" w:hAnsi="新宋体" w:eastAsia="新宋体" w:cs="宋体"/>
                <w:szCs w:val="21"/>
              </w:rPr>
            </w:pPr>
            <w:r>
              <w:rPr>
                <w:rFonts w:hint="eastAsia" w:ascii="新宋体" w:hAnsi="新宋体" w:eastAsia="新宋体" w:cs="宋体"/>
                <w:szCs w:val="21"/>
              </w:rPr>
              <w:t>（二）评分依据：</w:t>
            </w:r>
          </w:p>
          <w:p w14:paraId="0536642C">
            <w:pPr>
              <w:rPr>
                <w:rFonts w:ascii="新宋体" w:hAnsi="新宋体" w:eastAsia="新宋体" w:cs="宋体"/>
                <w:szCs w:val="21"/>
              </w:rPr>
            </w:pPr>
            <w:r>
              <w:rPr>
                <w:rFonts w:hint="eastAsia" w:ascii="新宋体" w:hAnsi="新宋体" w:eastAsia="新宋体" w:cs="宋体"/>
                <w:szCs w:val="21"/>
              </w:rPr>
              <w:t>提供5张不同角度的效果图（针对性强、布局科学、合理施工） 得</w:t>
            </w:r>
            <w:r>
              <w:rPr>
                <w:rFonts w:ascii="新宋体" w:hAnsi="新宋体" w:eastAsia="新宋体" w:cs="宋体"/>
                <w:szCs w:val="21"/>
              </w:rPr>
              <w:t>3</w:t>
            </w:r>
            <w:r>
              <w:rPr>
                <w:rFonts w:hint="eastAsia" w:ascii="新宋体" w:hAnsi="新宋体" w:eastAsia="新宋体" w:cs="宋体"/>
                <w:szCs w:val="21"/>
              </w:rPr>
              <w:t>分。</w:t>
            </w:r>
          </w:p>
          <w:p w14:paraId="35512C9F">
            <w:pPr>
              <w:rPr>
                <w:rFonts w:ascii="新宋体" w:hAnsi="新宋体" w:eastAsia="新宋体" w:cs="宋体"/>
                <w:szCs w:val="21"/>
              </w:rPr>
            </w:pPr>
            <w:r>
              <w:rPr>
                <w:rFonts w:hint="eastAsia" w:ascii="新宋体" w:hAnsi="新宋体" w:eastAsia="新宋体" w:cs="宋体"/>
                <w:szCs w:val="21"/>
              </w:rPr>
              <w:t>在此基础上：</w:t>
            </w:r>
          </w:p>
          <w:p w14:paraId="77184DA1">
            <w:pPr>
              <w:rPr>
                <w:rFonts w:ascii="新宋体" w:hAnsi="新宋体" w:eastAsia="新宋体" w:cs="宋体"/>
                <w:szCs w:val="21"/>
              </w:rPr>
            </w:pPr>
            <w:r>
              <w:rPr>
                <w:rFonts w:hint="eastAsia" w:ascii="新宋体" w:hAnsi="新宋体" w:eastAsia="新宋体" w:cs="宋体"/>
                <w:szCs w:val="21"/>
              </w:rPr>
              <w:t>1、设计方案详细完整，切实可行的，评价为优得</w:t>
            </w:r>
            <w:r>
              <w:rPr>
                <w:rFonts w:ascii="新宋体" w:hAnsi="新宋体" w:eastAsia="新宋体" w:cs="宋体"/>
                <w:szCs w:val="21"/>
              </w:rPr>
              <w:t>12</w:t>
            </w:r>
            <w:r>
              <w:rPr>
                <w:rFonts w:hint="eastAsia" w:ascii="新宋体" w:hAnsi="新宋体" w:eastAsia="新宋体" w:cs="宋体"/>
                <w:szCs w:val="21"/>
              </w:rPr>
              <w:t>分；</w:t>
            </w:r>
          </w:p>
          <w:p w14:paraId="7C8D156A">
            <w:pPr>
              <w:rPr>
                <w:rFonts w:ascii="新宋体" w:hAnsi="新宋体" w:eastAsia="新宋体" w:cs="宋体"/>
                <w:szCs w:val="21"/>
              </w:rPr>
            </w:pPr>
            <w:r>
              <w:rPr>
                <w:rFonts w:ascii="新宋体" w:hAnsi="新宋体" w:eastAsia="新宋体" w:cs="宋体"/>
                <w:szCs w:val="21"/>
              </w:rPr>
              <w:t>2、</w:t>
            </w:r>
            <w:r>
              <w:rPr>
                <w:rFonts w:hint="eastAsia" w:ascii="新宋体" w:hAnsi="新宋体" w:eastAsia="新宋体" w:cs="宋体"/>
                <w:szCs w:val="21"/>
              </w:rPr>
              <w:t>设计方案基本完整，可行性较合理的评价为良得</w:t>
            </w:r>
            <w:r>
              <w:rPr>
                <w:rFonts w:ascii="新宋体" w:hAnsi="新宋体" w:eastAsia="新宋体" w:cs="宋体"/>
                <w:szCs w:val="21"/>
              </w:rPr>
              <w:t>6</w:t>
            </w:r>
            <w:r>
              <w:rPr>
                <w:rFonts w:hint="eastAsia" w:ascii="新宋体" w:hAnsi="新宋体" w:eastAsia="新宋体" w:cs="宋体"/>
                <w:szCs w:val="21"/>
              </w:rPr>
              <w:t>分；</w:t>
            </w:r>
          </w:p>
          <w:p w14:paraId="318358C2">
            <w:pPr>
              <w:rPr>
                <w:rFonts w:ascii="新宋体" w:hAnsi="新宋体" w:eastAsia="新宋体" w:cs="宋体"/>
                <w:szCs w:val="21"/>
              </w:rPr>
            </w:pPr>
            <w:r>
              <w:rPr>
                <w:rFonts w:hint="eastAsia" w:ascii="新宋体" w:hAnsi="新宋体" w:eastAsia="新宋体" w:cs="宋体"/>
                <w:szCs w:val="21"/>
              </w:rPr>
              <w:t>3、设计方案一般的评价为中得1分；</w:t>
            </w:r>
          </w:p>
          <w:p w14:paraId="09CA0599">
            <w:pPr>
              <w:rPr>
                <w:rFonts w:ascii="新宋体" w:hAnsi="新宋体" w:eastAsia="新宋体" w:cs="宋体"/>
                <w:szCs w:val="21"/>
              </w:rPr>
            </w:pPr>
            <w:r>
              <w:rPr>
                <w:rFonts w:hint="eastAsia" w:ascii="新宋体" w:hAnsi="新宋体" w:eastAsia="新宋体" w:cs="宋体"/>
                <w:szCs w:val="21"/>
              </w:rPr>
              <w:t>4、不够完整，不具备可行性的评价为差不得分。</w:t>
            </w:r>
          </w:p>
        </w:tc>
      </w:tr>
      <w:tr w14:paraId="1FF1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Merge w:val="continue"/>
            <w:vAlign w:val="center"/>
          </w:tcPr>
          <w:p w14:paraId="296BB274">
            <w:pPr>
              <w:rPr>
                <w:rFonts w:ascii="新宋体" w:hAnsi="新宋体" w:eastAsia="新宋体"/>
                <w:szCs w:val="21"/>
              </w:rPr>
            </w:pPr>
          </w:p>
        </w:tc>
        <w:tc>
          <w:tcPr>
            <w:tcW w:w="709" w:type="dxa"/>
            <w:vAlign w:val="center"/>
          </w:tcPr>
          <w:p w14:paraId="42D9D0CA">
            <w:pPr>
              <w:rPr>
                <w:rFonts w:ascii="新宋体" w:hAnsi="新宋体" w:eastAsia="新宋体"/>
                <w:szCs w:val="21"/>
              </w:rPr>
            </w:pPr>
            <w:r>
              <w:rPr>
                <w:rFonts w:ascii="新宋体" w:hAnsi="新宋体" w:eastAsia="新宋体"/>
                <w:szCs w:val="21"/>
              </w:rPr>
              <w:t>3</w:t>
            </w:r>
          </w:p>
        </w:tc>
        <w:tc>
          <w:tcPr>
            <w:tcW w:w="1559" w:type="dxa"/>
            <w:vAlign w:val="center"/>
          </w:tcPr>
          <w:p w14:paraId="34C36F3F">
            <w:pPr>
              <w:rPr>
                <w:rFonts w:ascii="新宋体" w:hAnsi="新宋体" w:eastAsia="新宋体"/>
                <w:color w:val="FF0000"/>
                <w:szCs w:val="21"/>
              </w:rPr>
            </w:pPr>
            <w:r>
              <w:rPr>
                <w:rFonts w:cs="宋体" w:asciiTheme="minorEastAsia" w:hAnsiTheme="minorEastAsia" w:eastAsiaTheme="minorEastAsia"/>
                <w:kern w:val="0"/>
                <w:szCs w:val="21"/>
              </w:rPr>
              <w:t>重要</w:t>
            </w:r>
            <w:r>
              <w:rPr>
                <w:rFonts w:hint="eastAsia" w:cs="宋体" w:asciiTheme="minorEastAsia" w:hAnsiTheme="minorEastAsia" w:eastAsiaTheme="minorEastAsia"/>
                <w:kern w:val="0"/>
                <w:szCs w:val="21"/>
              </w:rPr>
              <w:t>技术</w:t>
            </w:r>
            <w:r>
              <w:rPr>
                <w:rFonts w:cs="宋体" w:asciiTheme="minorEastAsia" w:hAnsiTheme="minorEastAsia" w:eastAsiaTheme="minorEastAsia"/>
                <w:kern w:val="0"/>
                <w:szCs w:val="21"/>
              </w:rPr>
              <w:t>参数技术响应评分</w:t>
            </w:r>
          </w:p>
        </w:tc>
        <w:tc>
          <w:tcPr>
            <w:tcW w:w="851" w:type="dxa"/>
            <w:vAlign w:val="center"/>
          </w:tcPr>
          <w:p w14:paraId="7B56BC5D">
            <w:pPr>
              <w:rPr>
                <w:rFonts w:ascii="新宋体" w:hAnsi="新宋体" w:eastAsia="新宋体"/>
                <w:color w:val="auto"/>
                <w:szCs w:val="21"/>
              </w:rPr>
            </w:pPr>
            <w:r>
              <w:rPr>
                <w:rFonts w:ascii="新宋体" w:hAnsi="新宋体" w:eastAsia="新宋体"/>
                <w:color w:val="auto"/>
                <w:szCs w:val="21"/>
              </w:rPr>
              <w:t>24</w:t>
            </w:r>
          </w:p>
        </w:tc>
        <w:tc>
          <w:tcPr>
            <w:tcW w:w="1134" w:type="dxa"/>
            <w:vAlign w:val="center"/>
          </w:tcPr>
          <w:p w14:paraId="1D25442E">
            <w:pPr>
              <w:rPr>
                <w:rFonts w:ascii="新宋体" w:hAnsi="新宋体" w:eastAsia="新宋体"/>
                <w:szCs w:val="21"/>
              </w:rPr>
            </w:pPr>
            <w:r>
              <w:rPr>
                <w:rFonts w:hint="eastAsia" w:ascii="新宋体" w:hAnsi="新宋体" w:eastAsia="新宋体"/>
                <w:szCs w:val="21"/>
              </w:rPr>
              <w:t>专家打分</w:t>
            </w:r>
          </w:p>
        </w:tc>
        <w:tc>
          <w:tcPr>
            <w:tcW w:w="4819" w:type="dxa"/>
            <w:vAlign w:val="center"/>
          </w:tcPr>
          <w:p w14:paraId="7A809296">
            <w:pPr>
              <w:rPr>
                <w:rFonts w:ascii="新宋体" w:hAnsi="新宋体" w:eastAsia="新宋体" w:cs="宋体"/>
                <w:color w:val="000000"/>
                <w:kern w:val="0"/>
                <w:szCs w:val="21"/>
              </w:rPr>
            </w:pPr>
            <w:r>
              <w:rPr>
                <w:rFonts w:cs="宋体" w:asciiTheme="minorEastAsia" w:hAnsiTheme="minorEastAsia" w:eastAsiaTheme="minorEastAsia"/>
                <w:kern w:val="0"/>
                <w:szCs w:val="21"/>
              </w:rPr>
              <w:t>投标供应商应如实填写《技术规格偏离表》，由评审委员会根据技术需求参数响应情况进行打分，</w:t>
            </w:r>
            <w:r>
              <w:rPr>
                <w:rFonts w:hint="eastAsia" w:cs="宋体" w:asciiTheme="minorEastAsia" w:hAnsiTheme="minorEastAsia" w:eastAsiaTheme="minorEastAsia"/>
                <w:kern w:val="0"/>
                <w:szCs w:val="21"/>
              </w:rPr>
              <w:t>标注</w:t>
            </w:r>
            <w:r>
              <w:rPr>
                <w:rFonts w:cs="宋体" w:asciiTheme="minorEastAsia" w:hAnsiTheme="minorEastAsia" w:eastAsiaTheme="minorEastAsia"/>
                <w:kern w:val="0"/>
                <w:szCs w:val="21"/>
              </w:rPr>
              <w:t>▲的为重要技术参数，每1项负偏离的扣</w:t>
            </w:r>
            <w:r>
              <w:rPr>
                <w:rFonts w:hint="eastAsia" w:cs="宋体" w:asciiTheme="minorEastAsia" w:hAnsiTheme="minorEastAsia" w:eastAsiaTheme="minorEastAsia"/>
                <w:kern w:val="0"/>
                <w:szCs w:val="21"/>
              </w:rPr>
              <w:t>4</w:t>
            </w:r>
            <w:r>
              <w:rPr>
                <w:rFonts w:cs="宋体" w:asciiTheme="minorEastAsia" w:hAnsiTheme="minorEastAsia" w:eastAsiaTheme="minorEastAsia"/>
                <w:kern w:val="0"/>
                <w:szCs w:val="21"/>
              </w:rPr>
              <w:t>分</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扣完为止</w:t>
            </w:r>
            <w:r>
              <w:rPr>
                <w:rFonts w:hint="eastAsia" w:ascii="新宋体" w:hAnsi="新宋体" w:eastAsia="新宋体" w:cs="宋体"/>
                <w:color w:val="000000"/>
                <w:kern w:val="0"/>
                <w:szCs w:val="21"/>
              </w:rPr>
              <w:t>；</w:t>
            </w:r>
          </w:p>
        </w:tc>
      </w:tr>
      <w:tr w14:paraId="5427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75" w:type="dxa"/>
            <w:vMerge w:val="continue"/>
            <w:vAlign w:val="center"/>
          </w:tcPr>
          <w:p w14:paraId="2895F9C0">
            <w:pPr>
              <w:rPr>
                <w:rFonts w:ascii="新宋体" w:hAnsi="新宋体" w:eastAsia="新宋体"/>
                <w:szCs w:val="21"/>
              </w:rPr>
            </w:pPr>
          </w:p>
        </w:tc>
        <w:tc>
          <w:tcPr>
            <w:tcW w:w="709" w:type="dxa"/>
            <w:vAlign w:val="center"/>
          </w:tcPr>
          <w:p w14:paraId="0AC24B6F">
            <w:pPr>
              <w:rPr>
                <w:rFonts w:ascii="新宋体" w:hAnsi="新宋体" w:eastAsia="新宋体"/>
                <w:szCs w:val="21"/>
              </w:rPr>
            </w:pPr>
            <w:r>
              <w:rPr>
                <w:rFonts w:ascii="新宋体" w:hAnsi="新宋体" w:eastAsia="新宋体"/>
                <w:szCs w:val="21"/>
              </w:rPr>
              <w:t>4</w:t>
            </w:r>
          </w:p>
        </w:tc>
        <w:tc>
          <w:tcPr>
            <w:tcW w:w="1559" w:type="dxa"/>
            <w:vAlign w:val="center"/>
          </w:tcPr>
          <w:p w14:paraId="77CB9B92">
            <w:pPr>
              <w:rPr>
                <w:rFonts w:ascii="新宋体" w:hAnsi="新宋体" w:eastAsia="新宋体"/>
                <w:color w:val="FF0000"/>
                <w:szCs w:val="21"/>
              </w:rPr>
            </w:pPr>
            <w:r>
              <w:rPr>
                <w:rFonts w:cs="宋体" w:asciiTheme="minorEastAsia" w:hAnsiTheme="minorEastAsia" w:eastAsiaTheme="minorEastAsia"/>
                <w:kern w:val="0"/>
                <w:szCs w:val="21"/>
              </w:rPr>
              <w:t>一般技术参数响应</w:t>
            </w:r>
            <w:r>
              <w:rPr>
                <w:rFonts w:hint="eastAsia" w:cs="宋体" w:asciiTheme="minorEastAsia" w:hAnsiTheme="minorEastAsia" w:eastAsiaTheme="minorEastAsia"/>
                <w:kern w:val="0"/>
                <w:szCs w:val="21"/>
              </w:rPr>
              <w:t>评分</w:t>
            </w:r>
          </w:p>
        </w:tc>
        <w:tc>
          <w:tcPr>
            <w:tcW w:w="851" w:type="dxa"/>
            <w:vAlign w:val="center"/>
          </w:tcPr>
          <w:p w14:paraId="24C42712">
            <w:pPr>
              <w:rPr>
                <w:rFonts w:ascii="新宋体" w:hAnsi="新宋体" w:eastAsia="新宋体"/>
                <w:color w:val="auto"/>
                <w:szCs w:val="21"/>
              </w:rPr>
            </w:pPr>
            <w:r>
              <w:rPr>
                <w:rFonts w:ascii="新宋体" w:hAnsi="新宋体" w:eastAsia="新宋体" w:cs="宋体"/>
                <w:color w:val="auto"/>
                <w:szCs w:val="21"/>
              </w:rPr>
              <w:t>4</w:t>
            </w:r>
          </w:p>
        </w:tc>
        <w:tc>
          <w:tcPr>
            <w:tcW w:w="1134" w:type="dxa"/>
            <w:vAlign w:val="center"/>
          </w:tcPr>
          <w:p w14:paraId="41D678A6">
            <w:pPr>
              <w:rPr>
                <w:rFonts w:ascii="新宋体" w:hAnsi="新宋体" w:eastAsia="新宋体"/>
                <w:szCs w:val="21"/>
              </w:rPr>
            </w:pPr>
            <w:r>
              <w:rPr>
                <w:rFonts w:hint="eastAsia" w:ascii="新宋体" w:hAnsi="新宋体" w:eastAsia="新宋体"/>
                <w:szCs w:val="21"/>
              </w:rPr>
              <w:t>专家打分</w:t>
            </w:r>
          </w:p>
        </w:tc>
        <w:tc>
          <w:tcPr>
            <w:tcW w:w="4819" w:type="dxa"/>
            <w:vAlign w:val="center"/>
          </w:tcPr>
          <w:p w14:paraId="42BAE1C0">
            <w:pPr>
              <w:rPr>
                <w:rFonts w:ascii="新宋体" w:hAnsi="新宋体" w:eastAsia="新宋体" w:cs="宋体"/>
                <w:szCs w:val="21"/>
              </w:rPr>
            </w:pPr>
            <w:r>
              <w:rPr>
                <w:rFonts w:hint="eastAsia" w:ascii="新宋体" w:hAnsi="新宋体" w:eastAsia="新宋体" w:cs="宋体"/>
                <w:szCs w:val="21"/>
              </w:rPr>
              <w:t>投标供应商应如实填写《技术规格偏离表》，评审委员会根据技术需求参数响应情况进行打分，一般技术参数每1项负偏离的扣0.5分，扣完为止。。</w:t>
            </w:r>
          </w:p>
        </w:tc>
      </w:tr>
      <w:tr w14:paraId="7FF9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5EFBCB82">
            <w:pPr>
              <w:jc w:val="center"/>
              <w:rPr>
                <w:rFonts w:ascii="新宋体" w:hAnsi="新宋体" w:eastAsia="新宋体"/>
                <w:b/>
                <w:szCs w:val="21"/>
              </w:rPr>
            </w:pPr>
            <w:r>
              <w:rPr>
                <w:rFonts w:ascii="新宋体" w:hAnsi="新宋体" w:eastAsia="新宋体"/>
                <w:b/>
                <w:szCs w:val="21"/>
              </w:rPr>
              <w:t>3</w:t>
            </w:r>
          </w:p>
        </w:tc>
        <w:tc>
          <w:tcPr>
            <w:tcW w:w="4253" w:type="dxa"/>
            <w:gridSpan w:val="4"/>
            <w:vAlign w:val="center"/>
          </w:tcPr>
          <w:p w14:paraId="1F80A837">
            <w:pPr>
              <w:jc w:val="center"/>
              <w:rPr>
                <w:rFonts w:ascii="新宋体" w:hAnsi="新宋体" w:eastAsia="新宋体"/>
                <w:b/>
                <w:szCs w:val="21"/>
              </w:rPr>
            </w:pPr>
            <w:r>
              <w:rPr>
                <w:rFonts w:hint="eastAsia" w:ascii="新宋体" w:hAnsi="新宋体" w:eastAsia="新宋体"/>
                <w:b/>
                <w:szCs w:val="21"/>
              </w:rPr>
              <w:t>商务需求</w:t>
            </w:r>
          </w:p>
        </w:tc>
        <w:tc>
          <w:tcPr>
            <w:tcW w:w="4819" w:type="dxa"/>
            <w:vAlign w:val="center"/>
          </w:tcPr>
          <w:p w14:paraId="44CCE7DF">
            <w:pPr>
              <w:jc w:val="center"/>
              <w:rPr>
                <w:rFonts w:ascii="新宋体" w:hAnsi="新宋体" w:eastAsia="新宋体"/>
                <w:b/>
                <w:szCs w:val="21"/>
              </w:rPr>
            </w:pPr>
            <w:r>
              <w:rPr>
                <w:rFonts w:hint="eastAsia" w:ascii="新宋体" w:hAnsi="新宋体" w:eastAsia="新宋体"/>
                <w:b/>
                <w:szCs w:val="21"/>
              </w:rPr>
              <w:t>12</w:t>
            </w:r>
          </w:p>
        </w:tc>
      </w:tr>
      <w:tr w14:paraId="22AC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vAlign w:val="center"/>
          </w:tcPr>
          <w:p w14:paraId="393F7906">
            <w:pPr>
              <w:rPr>
                <w:rFonts w:ascii="新宋体" w:hAnsi="新宋体" w:eastAsia="新宋体"/>
                <w:szCs w:val="21"/>
              </w:rPr>
            </w:pPr>
          </w:p>
        </w:tc>
        <w:tc>
          <w:tcPr>
            <w:tcW w:w="709" w:type="dxa"/>
            <w:vAlign w:val="center"/>
          </w:tcPr>
          <w:p w14:paraId="7DC697D8">
            <w:pPr>
              <w:rPr>
                <w:rFonts w:ascii="新宋体" w:hAnsi="新宋体" w:eastAsia="新宋体"/>
                <w:szCs w:val="21"/>
              </w:rPr>
            </w:pPr>
            <w:r>
              <w:rPr>
                <w:rFonts w:hint="eastAsia" w:ascii="新宋体" w:hAnsi="新宋体" w:eastAsia="新宋体"/>
                <w:szCs w:val="21"/>
              </w:rPr>
              <w:t>序号</w:t>
            </w:r>
          </w:p>
        </w:tc>
        <w:tc>
          <w:tcPr>
            <w:tcW w:w="1559" w:type="dxa"/>
            <w:vAlign w:val="center"/>
          </w:tcPr>
          <w:p w14:paraId="1D17835B">
            <w:pPr>
              <w:rPr>
                <w:rFonts w:ascii="新宋体" w:hAnsi="新宋体" w:eastAsia="新宋体"/>
                <w:szCs w:val="21"/>
              </w:rPr>
            </w:pPr>
            <w:r>
              <w:rPr>
                <w:rFonts w:hint="eastAsia" w:ascii="新宋体" w:hAnsi="新宋体" w:eastAsia="新宋体"/>
                <w:szCs w:val="21"/>
              </w:rPr>
              <w:t>评分因素</w:t>
            </w:r>
          </w:p>
        </w:tc>
        <w:tc>
          <w:tcPr>
            <w:tcW w:w="851" w:type="dxa"/>
            <w:vAlign w:val="center"/>
          </w:tcPr>
          <w:p w14:paraId="440CB499">
            <w:pPr>
              <w:rPr>
                <w:rFonts w:ascii="新宋体" w:hAnsi="新宋体" w:eastAsia="新宋体"/>
                <w:szCs w:val="21"/>
              </w:rPr>
            </w:pPr>
            <w:r>
              <w:rPr>
                <w:rFonts w:hint="eastAsia" w:ascii="新宋体" w:hAnsi="新宋体" w:eastAsia="新宋体"/>
                <w:szCs w:val="21"/>
              </w:rPr>
              <w:t>权重</w:t>
            </w:r>
          </w:p>
        </w:tc>
        <w:tc>
          <w:tcPr>
            <w:tcW w:w="1134" w:type="dxa"/>
            <w:vAlign w:val="center"/>
          </w:tcPr>
          <w:p w14:paraId="466DE6EB">
            <w:pPr>
              <w:rPr>
                <w:rFonts w:ascii="新宋体" w:hAnsi="新宋体" w:eastAsia="新宋体"/>
                <w:szCs w:val="21"/>
              </w:rPr>
            </w:pPr>
            <w:r>
              <w:rPr>
                <w:rFonts w:hint="eastAsia" w:ascii="新宋体" w:hAnsi="新宋体" w:eastAsia="新宋体"/>
                <w:szCs w:val="21"/>
              </w:rPr>
              <w:t>评分方式</w:t>
            </w:r>
          </w:p>
        </w:tc>
        <w:tc>
          <w:tcPr>
            <w:tcW w:w="4819" w:type="dxa"/>
            <w:vAlign w:val="center"/>
          </w:tcPr>
          <w:p w14:paraId="48B43B50">
            <w:pPr>
              <w:rPr>
                <w:rFonts w:ascii="新宋体" w:hAnsi="新宋体" w:eastAsia="新宋体"/>
                <w:szCs w:val="21"/>
              </w:rPr>
            </w:pPr>
            <w:r>
              <w:rPr>
                <w:rFonts w:hint="eastAsia" w:ascii="新宋体" w:hAnsi="新宋体" w:eastAsia="新宋体"/>
                <w:szCs w:val="21"/>
              </w:rPr>
              <w:t>评分准则</w:t>
            </w:r>
          </w:p>
        </w:tc>
      </w:tr>
      <w:tr w14:paraId="6B5A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14:paraId="70409A27">
            <w:pPr>
              <w:rPr>
                <w:rFonts w:ascii="新宋体" w:hAnsi="新宋体" w:eastAsia="新宋体"/>
                <w:szCs w:val="21"/>
              </w:rPr>
            </w:pPr>
          </w:p>
        </w:tc>
        <w:tc>
          <w:tcPr>
            <w:tcW w:w="709" w:type="dxa"/>
            <w:vAlign w:val="center"/>
          </w:tcPr>
          <w:p w14:paraId="5BF066F6">
            <w:pPr>
              <w:rPr>
                <w:rFonts w:ascii="新宋体" w:hAnsi="新宋体" w:eastAsia="新宋体"/>
                <w:szCs w:val="21"/>
              </w:rPr>
            </w:pPr>
            <w:r>
              <w:rPr>
                <w:rFonts w:ascii="新宋体" w:hAnsi="新宋体" w:eastAsia="新宋体"/>
                <w:szCs w:val="21"/>
              </w:rPr>
              <w:t>1</w:t>
            </w:r>
          </w:p>
        </w:tc>
        <w:tc>
          <w:tcPr>
            <w:tcW w:w="1559" w:type="dxa"/>
            <w:vAlign w:val="center"/>
          </w:tcPr>
          <w:p w14:paraId="1ABC854F">
            <w:pPr>
              <w:rPr>
                <w:rFonts w:ascii="新宋体" w:hAnsi="新宋体" w:eastAsia="新宋体"/>
                <w:szCs w:val="21"/>
              </w:rPr>
            </w:pPr>
            <w:r>
              <w:rPr>
                <w:rFonts w:hint="eastAsia"/>
                <w:szCs w:val="20"/>
              </w:rPr>
              <w:t>同类项目业绩</w:t>
            </w:r>
          </w:p>
        </w:tc>
        <w:tc>
          <w:tcPr>
            <w:tcW w:w="851" w:type="dxa"/>
            <w:vAlign w:val="center"/>
          </w:tcPr>
          <w:p w14:paraId="15FA5D92">
            <w:pPr>
              <w:rPr>
                <w:rFonts w:ascii="新宋体" w:hAnsi="新宋体" w:eastAsia="新宋体"/>
                <w:szCs w:val="21"/>
              </w:rPr>
            </w:pPr>
            <w:r>
              <w:rPr>
                <w:rFonts w:hint="eastAsia" w:ascii="新宋体" w:hAnsi="新宋体" w:eastAsia="新宋体" w:cs="宋体"/>
                <w:szCs w:val="21"/>
              </w:rPr>
              <w:t>2</w:t>
            </w:r>
          </w:p>
        </w:tc>
        <w:tc>
          <w:tcPr>
            <w:tcW w:w="1134" w:type="dxa"/>
            <w:vAlign w:val="center"/>
          </w:tcPr>
          <w:p w14:paraId="2A379906">
            <w:pPr>
              <w:rPr>
                <w:rFonts w:ascii="新宋体" w:hAnsi="新宋体" w:eastAsia="新宋体"/>
                <w:szCs w:val="21"/>
              </w:rPr>
            </w:pPr>
            <w:r>
              <w:rPr>
                <w:rFonts w:hint="eastAsia" w:ascii="新宋体" w:hAnsi="新宋体" w:eastAsia="新宋体"/>
                <w:szCs w:val="21"/>
              </w:rPr>
              <w:t>专家评分</w:t>
            </w:r>
          </w:p>
        </w:tc>
        <w:tc>
          <w:tcPr>
            <w:tcW w:w="4819" w:type="dxa"/>
            <w:vAlign w:val="center"/>
          </w:tcPr>
          <w:p w14:paraId="38A3890D">
            <w:pPr>
              <w:rPr>
                <w:rFonts w:ascii="新宋体" w:hAnsi="新宋体" w:eastAsia="新宋体" w:cs="宋体"/>
                <w:szCs w:val="21"/>
              </w:rPr>
            </w:pPr>
            <w:r>
              <w:rPr>
                <w:rFonts w:hint="eastAsia" w:ascii="新宋体" w:hAnsi="新宋体" w:eastAsia="新宋体" w:cs="宋体"/>
                <w:szCs w:val="21"/>
              </w:rPr>
              <w:t>评审标准：</w:t>
            </w:r>
          </w:p>
          <w:p w14:paraId="0456FB5A">
            <w:pPr>
              <w:rPr>
                <w:rFonts w:ascii="新宋体" w:hAnsi="新宋体" w:eastAsia="新宋体" w:cs="宋体"/>
                <w:szCs w:val="21"/>
              </w:rPr>
            </w:pPr>
            <w:r>
              <w:rPr>
                <w:rFonts w:hint="eastAsia" w:ascii="新宋体" w:hAnsi="新宋体" w:eastAsia="新宋体" w:cs="宋体"/>
                <w:szCs w:val="21"/>
              </w:rPr>
              <w:t>投标人每提供一项同类项目业绩的得0.7分，最高得2分。</w:t>
            </w:r>
          </w:p>
          <w:p w14:paraId="177D1E04">
            <w:pPr>
              <w:rPr>
                <w:rFonts w:ascii="新宋体" w:hAnsi="新宋体" w:eastAsia="新宋体" w:cs="宋体"/>
                <w:szCs w:val="21"/>
              </w:rPr>
            </w:pPr>
            <w:r>
              <w:rPr>
                <w:rFonts w:hint="eastAsia" w:ascii="新宋体" w:hAnsi="新宋体" w:eastAsia="新宋体" w:cs="宋体"/>
                <w:szCs w:val="21"/>
              </w:rPr>
              <w:t>证明文件：</w:t>
            </w:r>
          </w:p>
          <w:p w14:paraId="2E2D9023">
            <w:pPr>
              <w:rPr>
                <w:rFonts w:ascii="新宋体" w:hAnsi="新宋体" w:eastAsia="新宋体" w:cs="宋体"/>
                <w:szCs w:val="21"/>
              </w:rPr>
            </w:pPr>
            <w:r>
              <w:rPr>
                <w:rFonts w:hint="eastAsia" w:ascii="新宋体" w:hAnsi="新宋体" w:eastAsia="新宋体" w:cs="宋体"/>
                <w:szCs w:val="21"/>
              </w:rPr>
              <w:t>投标人须提供合同关键页或中标通知书，原件备查，未按要求提供或提供不清晰导致专家无法辨别的不计得分。</w:t>
            </w:r>
          </w:p>
        </w:tc>
      </w:tr>
      <w:tr w14:paraId="3203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14:paraId="13E30667">
            <w:pPr>
              <w:rPr>
                <w:rFonts w:ascii="新宋体" w:hAnsi="新宋体" w:eastAsia="新宋体"/>
                <w:szCs w:val="21"/>
              </w:rPr>
            </w:pPr>
          </w:p>
        </w:tc>
        <w:tc>
          <w:tcPr>
            <w:tcW w:w="709" w:type="dxa"/>
            <w:vAlign w:val="center"/>
          </w:tcPr>
          <w:p w14:paraId="3518C5EF">
            <w:pPr>
              <w:rPr>
                <w:rFonts w:ascii="新宋体" w:hAnsi="新宋体" w:eastAsia="新宋体"/>
                <w:szCs w:val="21"/>
              </w:rPr>
            </w:pPr>
            <w:r>
              <w:rPr>
                <w:rFonts w:ascii="新宋体" w:hAnsi="新宋体" w:eastAsia="新宋体"/>
                <w:szCs w:val="21"/>
              </w:rPr>
              <w:t>2</w:t>
            </w:r>
          </w:p>
        </w:tc>
        <w:tc>
          <w:tcPr>
            <w:tcW w:w="1559" w:type="dxa"/>
            <w:vAlign w:val="center"/>
          </w:tcPr>
          <w:p w14:paraId="555BF967">
            <w:pPr>
              <w:rPr>
                <w:rFonts w:ascii="新宋体" w:hAnsi="新宋体" w:eastAsia="新宋体"/>
                <w:color w:val="FF0000"/>
                <w:szCs w:val="21"/>
              </w:rPr>
            </w:pPr>
            <w:r>
              <w:rPr>
                <w:rFonts w:hint="eastAsia" w:asciiTheme="minorEastAsia" w:hAnsiTheme="minorEastAsia" w:eastAsiaTheme="minorEastAsia"/>
                <w:szCs w:val="21"/>
              </w:rPr>
              <w:t>免费保修期内售后服务条款偏离情况</w:t>
            </w:r>
          </w:p>
        </w:tc>
        <w:tc>
          <w:tcPr>
            <w:tcW w:w="851" w:type="dxa"/>
            <w:vAlign w:val="center"/>
          </w:tcPr>
          <w:p w14:paraId="3F749F79">
            <w:pPr>
              <w:rPr>
                <w:rFonts w:ascii="新宋体" w:hAnsi="新宋体" w:eastAsia="新宋体"/>
                <w:szCs w:val="21"/>
              </w:rPr>
            </w:pPr>
            <w:r>
              <w:rPr>
                <w:rFonts w:hint="eastAsia" w:ascii="新宋体" w:hAnsi="新宋体" w:eastAsia="新宋体" w:cs="宋体"/>
                <w:szCs w:val="21"/>
              </w:rPr>
              <w:t>5</w:t>
            </w:r>
          </w:p>
        </w:tc>
        <w:tc>
          <w:tcPr>
            <w:tcW w:w="1134" w:type="dxa"/>
            <w:vAlign w:val="center"/>
          </w:tcPr>
          <w:p w14:paraId="6C213B84">
            <w:pPr>
              <w:rPr>
                <w:rFonts w:ascii="新宋体" w:hAnsi="新宋体" w:eastAsia="新宋体"/>
                <w:szCs w:val="21"/>
              </w:rPr>
            </w:pPr>
            <w:r>
              <w:rPr>
                <w:rFonts w:hint="eastAsia" w:ascii="新宋体" w:hAnsi="新宋体" w:eastAsia="新宋体"/>
                <w:szCs w:val="21"/>
              </w:rPr>
              <w:t>专家评分</w:t>
            </w:r>
          </w:p>
        </w:tc>
        <w:tc>
          <w:tcPr>
            <w:tcW w:w="4819" w:type="dxa"/>
            <w:vAlign w:val="center"/>
          </w:tcPr>
          <w:p w14:paraId="5D2389FA">
            <w:pPr>
              <w:rPr>
                <w:rFonts w:ascii="新宋体" w:hAnsi="新宋体" w:eastAsia="新宋体" w:cs="宋体"/>
                <w:szCs w:val="21"/>
              </w:rPr>
            </w:pPr>
            <w:r>
              <w:rPr>
                <w:rFonts w:hint="eastAsia" w:ascii="新宋体" w:hAnsi="新宋体" w:eastAsia="新宋体" w:cs="宋体"/>
                <w:szCs w:val="21"/>
              </w:rPr>
              <w:t>投标供应商应如实填写《免费保修期内售后服务条款偏离表》，评审小组根据响应情况进行打分，全部满足要求的得满分，每负偏离一项扣1分，扣完为止。</w:t>
            </w:r>
          </w:p>
        </w:tc>
      </w:tr>
      <w:tr w14:paraId="1981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14:paraId="46340B5D">
            <w:pPr>
              <w:rPr>
                <w:rFonts w:ascii="新宋体" w:hAnsi="新宋体" w:eastAsia="新宋体"/>
                <w:szCs w:val="21"/>
              </w:rPr>
            </w:pPr>
          </w:p>
        </w:tc>
        <w:tc>
          <w:tcPr>
            <w:tcW w:w="709" w:type="dxa"/>
            <w:vAlign w:val="center"/>
          </w:tcPr>
          <w:p w14:paraId="1ED2410F">
            <w:pPr>
              <w:rPr>
                <w:rFonts w:ascii="新宋体" w:hAnsi="新宋体" w:eastAsia="新宋体"/>
                <w:szCs w:val="21"/>
              </w:rPr>
            </w:pPr>
            <w:r>
              <w:rPr>
                <w:rFonts w:ascii="新宋体" w:hAnsi="新宋体" w:eastAsia="新宋体"/>
                <w:szCs w:val="21"/>
              </w:rPr>
              <w:t>3</w:t>
            </w:r>
          </w:p>
        </w:tc>
        <w:tc>
          <w:tcPr>
            <w:tcW w:w="1559" w:type="dxa"/>
            <w:vAlign w:val="center"/>
          </w:tcPr>
          <w:p w14:paraId="383631BD">
            <w:pPr>
              <w:rPr>
                <w:rFonts w:ascii="新宋体" w:hAnsi="新宋体" w:eastAsia="新宋体"/>
                <w:szCs w:val="21"/>
              </w:rPr>
            </w:pPr>
            <w:r>
              <w:rPr>
                <w:rFonts w:hint="eastAsia"/>
                <w:szCs w:val="21"/>
              </w:rPr>
              <w:t>诚信管理情况</w:t>
            </w:r>
          </w:p>
        </w:tc>
        <w:tc>
          <w:tcPr>
            <w:tcW w:w="851" w:type="dxa"/>
            <w:vAlign w:val="center"/>
          </w:tcPr>
          <w:p w14:paraId="18FCF60C">
            <w:pPr>
              <w:rPr>
                <w:rFonts w:ascii="新宋体" w:hAnsi="新宋体" w:eastAsia="新宋体"/>
                <w:szCs w:val="21"/>
              </w:rPr>
            </w:pPr>
            <w:r>
              <w:rPr>
                <w:rFonts w:hint="eastAsia" w:ascii="新宋体" w:hAnsi="新宋体" w:eastAsia="新宋体" w:cs="宋体"/>
                <w:szCs w:val="21"/>
              </w:rPr>
              <w:t>5</w:t>
            </w:r>
          </w:p>
        </w:tc>
        <w:tc>
          <w:tcPr>
            <w:tcW w:w="1134" w:type="dxa"/>
            <w:vAlign w:val="center"/>
          </w:tcPr>
          <w:p w14:paraId="4D8541F3">
            <w:pPr>
              <w:rPr>
                <w:rFonts w:ascii="新宋体" w:hAnsi="新宋体" w:eastAsia="新宋体"/>
                <w:szCs w:val="21"/>
              </w:rPr>
            </w:pPr>
            <w:r>
              <w:rPr>
                <w:rFonts w:hint="eastAsia" w:ascii="新宋体" w:hAnsi="新宋体" w:eastAsia="新宋体"/>
                <w:szCs w:val="21"/>
              </w:rPr>
              <w:t>专家评分</w:t>
            </w:r>
          </w:p>
        </w:tc>
        <w:tc>
          <w:tcPr>
            <w:tcW w:w="4819" w:type="dxa"/>
            <w:vAlign w:val="center"/>
          </w:tcPr>
          <w:p w14:paraId="324C5988">
            <w:pPr>
              <w:rPr>
                <w:rFonts w:ascii="新宋体" w:hAnsi="新宋体" w:eastAsia="新宋体" w:cs="宋体"/>
                <w:szCs w:val="21"/>
              </w:rPr>
            </w:pPr>
            <w:r>
              <w:rPr>
                <w:rFonts w:hint="eastAsia" w:ascii="新宋体" w:hAnsi="新宋体" w:eastAsia="新宋体" w:cs="宋体"/>
                <w:szCs w:val="21"/>
              </w:rPr>
              <w:t>投标人在参与政府采购活动中存在被记入诚信档案的情形（被禁止参与政府采购活动除外）且在主管部门相关处理措施实施期限内的，本项不得分，否则得满分。投标人无需提供任何证明材料，由工作人员向评审委员会提供相关信息。</w:t>
            </w:r>
          </w:p>
        </w:tc>
      </w:tr>
    </w:tbl>
    <w:p w14:paraId="0EF5FE37"/>
    <w:p w14:paraId="5418FA13"/>
    <w:p w14:paraId="4F7D1E8C"/>
    <w:p w14:paraId="0DE6DDA4"/>
    <w:p w14:paraId="1E2FEBFC"/>
    <w:p w14:paraId="65779881"/>
    <w:p w14:paraId="37EFB11E"/>
    <w:p w14:paraId="6BB4BDE7"/>
    <w:p w14:paraId="4C844391"/>
    <w:p w14:paraId="11CAA968"/>
    <w:p w14:paraId="6F38C85C"/>
    <w:p w14:paraId="5D09677C"/>
    <w:p w14:paraId="4E35407B"/>
    <w:p w14:paraId="43B37EE3"/>
    <w:p w14:paraId="6896190A"/>
    <w:p w14:paraId="022DC18A"/>
    <w:p w14:paraId="60710172"/>
    <w:p w14:paraId="7E4F847D"/>
    <w:p w14:paraId="5D12F3CF"/>
    <w:p w14:paraId="370B7D42"/>
    <w:p w14:paraId="60515C9F">
      <w:pPr>
        <w:pStyle w:val="3"/>
        <w:rPr>
          <w:rFonts w:ascii="新宋体" w:hAnsi="新宋体" w:eastAsia="新宋体"/>
          <w:sz w:val="30"/>
          <w:szCs w:val="30"/>
        </w:rPr>
      </w:pPr>
      <w:r>
        <w:rPr>
          <w:rFonts w:hint="eastAsia" w:ascii="新宋体" w:hAnsi="新宋体" w:eastAsia="新宋体"/>
          <w:sz w:val="30"/>
          <w:szCs w:val="30"/>
        </w:rPr>
        <w:t>其它关键信息</w:t>
      </w:r>
    </w:p>
    <w:p w14:paraId="6E19AECF">
      <w:pPr>
        <w:pStyle w:val="73"/>
        <w:numPr>
          <w:ilvl w:val="0"/>
          <w:numId w:val="8"/>
        </w:numPr>
        <w:spacing w:line="360" w:lineRule="auto"/>
        <w:ind w:firstLineChars="0"/>
        <w:rPr>
          <w:rFonts w:ascii="新宋体" w:hAnsi="新宋体" w:eastAsia="新宋体"/>
          <w:b/>
        </w:rPr>
      </w:pPr>
      <w:r>
        <w:rPr>
          <w:rFonts w:hint="eastAsia" w:ascii="新宋体" w:hAnsi="新宋体" w:eastAsia="新宋体"/>
          <w:b/>
        </w:rPr>
        <w:t>评标定标信息</w:t>
      </w:r>
    </w:p>
    <w:p w14:paraId="49A0E1AC">
      <w:pPr>
        <w:spacing w:line="360" w:lineRule="auto"/>
        <w:jc w:val="center"/>
        <w:rPr>
          <w:rFonts w:ascii="新宋体" w:hAnsi="新宋体" w:eastAsia="新宋体"/>
        </w:rPr>
      </w:pPr>
      <w:r>
        <w:rPr>
          <w:rFonts w:hint="eastAsia" w:ascii="新宋体" w:hAnsi="新宋体" w:eastAsia="新宋体"/>
        </w:rPr>
        <w:t>非评定分离项目</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133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B40BFF1">
            <w:pPr>
              <w:spacing w:line="360" w:lineRule="auto"/>
              <w:jc w:val="center"/>
              <w:rPr>
                <w:rFonts w:ascii="新宋体" w:hAnsi="新宋体" w:eastAsia="新宋体"/>
              </w:rPr>
            </w:pPr>
            <w:r>
              <w:rPr>
                <w:rFonts w:hint="eastAsia" w:ascii="新宋体" w:hAnsi="新宋体" w:eastAsia="新宋体"/>
              </w:rPr>
              <w:t>评标方法</w:t>
            </w:r>
          </w:p>
        </w:tc>
        <w:tc>
          <w:tcPr>
            <w:tcW w:w="4265" w:type="dxa"/>
          </w:tcPr>
          <w:p w14:paraId="7CEFDE75">
            <w:pPr>
              <w:spacing w:line="360" w:lineRule="auto"/>
              <w:jc w:val="center"/>
              <w:rPr>
                <w:rFonts w:ascii="新宋体" w:hAnsi="新宋体" w:eastAsia="新宋体"/>
              </w:rPr>
            </w:pPr>
            <w:r>
              <w:rPr>
                <w:rFonts w:hint="eastAsia" w:ascii="新宋体" w:hAnsi="新宋体" w:eastAsia="新宋体"/>
              </w:rPr>
              <w:t>综合评分法</w:t>
            </w:r>
          </w:p>
        </w:tc>
      </w:tr>
      <w:tr w14:paraId="61B0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5AAE06C">
            <w:pPr>
              <w:spacing w:line="360" w:lineRule="auto"/>
              <w:jc w:val="center"/>
              <w:rPr>
                <w:rFonts w:ascii="新宋体" w:hAnsi="新宋体" w:eastAsia="新宋体"/>
              </w:rPr>
            </w:pPr>
            <w:r>
              <w:rPr>
                <w:rFonts w:hint="eastAsia" w:ascii="新宋体" w:hAnsi="新宋体" w:eastAsia="新宋体"/>
              </w:rPr>
              <w:t>推荐候选中标供应商家数</w:t>
            </w:r>
          </w:p>
        </w:tc>
        <w:tc>
          <w:tcPr>
            <w:tcW w:w="4265" w:type="dxa"/>
          </w:tcPr>
          <w:p w14:paraId="68DB072E">
            <w:pPr>
              <w:spacing w:line="360" w:lineRule="auto"/>
              <w:jc w:val="center"/>
              <w:rPr>
                <w:rFonts w:ascii="新宋体" w:hAnsi="新宋体" w:eastAsia="新宋体"/>
              </w:rPr>
            </w:pPr>
            <w:r>
              <w:rPr>
                <w:rFonts w:hint="eastAsia" w:ascii="新宋体" w:hAnsi="新宋体" w:eastAsia="新宋体"/>
              </w:rPr>
              <w:t>3</w:t>
            </w:r>
          </w:p>
        </w:tc>
      </w:tr>
      <w:tr w14:paraId="7D42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93BD992">
            <w:pPr>
              <w:spacing w:line="360" w:lineRule="auto"/>
              <w:jc w:val="center"/>
              <w:rPr>
                <w:rFonts w:ascii="新宋体" w:hAnsi="新宋体" w:eastAsia="新宋体"/>
              </w:rPr>
            </w:pPr>
            <w:r>
              <w:rPr>
                <w:rFonts w:hint="eastAsia" w:ascii="新宋体" w:hAnsi="新宋体" w:eastAsia="新宋体"/>
              </w:rPr>
              <w:t>中标供应商家数</w:t>
            </w:r>
          </w:p>
        </w:tc>
        <w:tc>
          <w:tcPr>
            <w:tcW w:w="4265" w:type="dxa"/>
          </w:tcPr>
          <w:p w14:paraId="0EB3ED1D">
            <w:pPr>
              <w:spacing w:line="360" w:lineRule="auto"/>
              <w:jc w:val="center"/>
              <w:rPr>
                <w:rFonts w:ascii="新宋体" w:hAnsi="新宋体" w:eastAsia="新宋体"/>
              </w:rPr>
            </w:pPr>
            <w:r>
              <w:rPr>
                <w:rFonts w:hint="eastAsia" w:ascii="新宋体" w:hAnsi="新宋体" w:eastAsia="新宋体"/>
              </w:rPr>
              <w:t>1</w:t>
            </w:r>
          </w:p>
        </w:tc>
      </w:tr>
    </w:tbl>
    <w:p w14:paraId="6C9A3113">
      <w:pPr>
        <w:spacing w:line="360" w:lineRule="auto"/>
        <w:rPr>
          <w:rFonts w:ascii="新宋体" w:hAnsi="新宋体" w:eastAsia="新宋体"/>
          <w:b/>
        </w:rPr>
      </w:pPr>
      <w:r>
        <w:rPr>
          <w:rFonts w:hint="eastAsia" w:ascii="新宋体" w:hAnsi="新宋体" w:eastAsia="新宋体"/>
          <w:b/>
        </w:rPr>
        <w:t>二、关于享受优惠政策的主体及价格扣除比例</w:t>
      </w:r>
    </w:p>
    <w:p w14:paraId="6C87317E">
      <w:pPr>
        <w:spacing w:line="360" w:lineRule="auto"/>
        <w:rPr>
          <w:rFonts w:ascii="新宋体" w:hAnsi="新宋体" w:eastAsia="新宋体"/>
        </w:rPr>
      </w:pPr>
      <w:r>
        <w:rPr>
          <w:rFonts w:hint="eastAsia" w:ascii="新宋体" w:hAnsi="新宋体" w:eastAsia="新宋体"/>
        </w:rPr>
        <w:t>（一）小型企业、微型企业、监狱企业、残疾人福利性单位提供本企业制造的货物，或者提供其他符合优惠主体资格条件企业制造的货物，以及非小微企业提供（代理销售）小微企业制造的货物，对其所投产品的价格给予10</w:t>
      </w:r>
      <w:r>
        <w:rPr>
          <w:rFonts w:ascii="新宋体" w:hAnsi="新宋体" w:eastAsia="新宋体"/>
        </w:rPr>
        <w:t>%</w:t>
      </w:r>
      <w:r>
        <w:rPr>
          <w:rFonts w:hint="eastAsia" w:ascii="新宋体" w:hAnsi="新宋体" w:eastAsia="新宋体"/>
        </w:rPr>
        <w:t>的扣除，用扣除后的价格参与评审。满足多项优惠政策的企业，不重复享受多项价格扣除政策。（以上所提货物，是指单一产品采购项目中的货物，或者非单一产品采购项目中的核心产品（货物），不包括使用大型企业注册商标的货物。）</w:t>
      </w:r>
    </w:p>
    <w:p w14:paraId="6EBA6270">
      <w:pPr>
        <w:spacing w:line="360" w:lineRule="auto"/>
        <w:rPr>
          <w:rFonts w:hint="eastAsia" w:ascii="新宋体" w:hAnsi="新宋体" w:eastAsia="新宋体"/>
          <w:lang w:val="en-US" w:eastAsia="zh-CN"/>
        </w:rPr>
      </w:pPr>
      <w:r>
        <w:rPr>
          <w:rFonts w:hint="eastAsia" w:ascii="新宋体" w:hAnsi="新宋体" w:eastAsia="新宋体"/>
        </w:rPr>
        <w:t>（二）优惠主体资格的认定资料为《中小企业声明函》、《残疾人福利性单位声明函》以及《监狱企业声明函》等承诺性质的资料（声明函样式见本招标文件第一册第三章“投标文件格式、附件”中“四、投标人情况介绍”章节提供的格式）；监狱企业或者代理提供监狱企业货物的供应商如须享受优惠政策，除上述资料外，还须提供省级以上监狱管理局、戒毒管理局出具的监狱企业证明文件。本项目采购标的（服务需求）对应的中小企业划分标准所属行业为</w:t>
      </w:r>
      <w:r>
        <w:rPr>
          <w:rFonts w:hint="eastAsia" w:ascii="新宋体" w:hAnsi="新宋体" w:eastAsia="新宋体"/>
          <w:u w:val="single"/>
        </w:rPr>
        <w:t>其他未列明行业</w:t>
      </w:r>
      <w:r>
        <w:rPr>
          <w:rFonts w:hint="eastAsia" w:ascii="新宋体" w:hAnsi="新宋体" w:eastAsia="新宋体"/>
          <w:u w:val="single"/>
          <w:lang w:eastAsia="zh-CN"/>
        </w:rPr>
        <w:t>。</w:t>
      </w:r>
    </w:p>
    <w:p w14:paraId="36EEDC2D"/>
    <w:p w14:paraId="37F864AC">
      <w:pPr>
        <w:spacing w:line="360" w:lineRule="auto"/>
        <w:rPr>
          <w:rFonts w:ascii="新宋体" w:hAnsi="新宋体" w:eastAsia="新宋体"/>
          <w:b/>
        </w:rPr>
      </w:pPr>
      <w:r>
        <w:rPr>
          <w:rFonts w:hint="eastAsia" w:ascii="新宋体" w:hAnsi="新宋体" w:eastAsia="新宋体"/>
          <w:b/>
        </w:rPr>
        <w:t>三、关于失信供应商的价格上浮</w:t>
      </w:r>
    </w:p>
    <w:p w14:paraId="7FAF94E3">
      <w:pPr>
        <w:spacing w:line="360" w:lineRule="auto"/>
        <w:rPr>
          <w:rFonts w:ascii="新宋体" w:hAnsi="新宋体" w:eastAsia="新宋体"/>
        </w:rPr>
      </w:pPr>
      <w:r>
        <w:rPr>
          <w:rFonts w:hint="eastAsia" w:ascii="新宋体" w:hAnsi="新宋体" w:eastAsia="新宋体"/>
        </w:rPr>
        <w:t>采取价格评比法（比如最低价法）的项目，因违法违规行为被记入诚信档案的失信供应商最终报价在该企业最后一轮报价的基础上上浮</w:t>
      </w:r>
      <w:r>
        <w:rPr>
          <w:rFonts w:ascii="新宋体" w:hAnsi="新宋体" w:eastAsia="新宋体"/>
        </w:rPr>
        <w:t>10%</w:t>
      </w:r>
      <w:r>
        <w:rPr>
          <w:rFonts w:hint="eastAsia" w:ascii="新宋体" w:hAnsi="新宋体" w:eastAsia="新宋体"/>
        </w:rPr>
        <w:t>。失信供应商符合优惠主体资格的，价格扣除和价格上浮一并执行。</w:t>
      </w:r>
    </w:p>
    <w:p w14:paraId="1FDFA964"/>
    <w:p w14:paraId="7C19E0DD">
      <w:pPr>
        <w:spacing w:line="360" w:lineRule="auto"/>
        <w:rPr>
          <w:rFonts w:ascii="新宋体" w:hAnsi="新宋体" w:eastAsia="新宋体"/>
          <w:b/>
        </w:rPr>
      </w:pPr>
      <w:r>
        <w:rPr>
          <w:rFonts w:hint="eastAsia" w:ascii="新宋体" w:hAnsi="新宋体" w:eastAsia="新宋体"/>
          <w:b/>
        </w:rPr>
        <w:t>四、其他说明</w:t>
      </w:r>
    </w:p>
    <w:p w14:paraId="7510A152">
      <w:pPr>
        <w:spacing w:line="360" w:lineRule="auto"/>
        <w:rPr>
          <w:rFonts w:ascii="新宋体" w:hAnsi="新宋体" w:eastAsia="新宋体"/>
        </w:rPr>
      </w:pPr>
      <w:r>
        <w:rPr>
          <w:rFonts w:hint="eastAsia" w:ascii="新宋体" w:hAnsi="新宋体" w:eastAsia="新宋体"/>
        </w:rPr>
        <w:t>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14:paraId="6A6BFC9D"/>
    <w:p w14:paraId="05CCEDBE">
      <w:pPr>
        <w:spacing w:line="360" w:lineRule="auto"/>
      </w:pPr>
      <w:r>
        <w:rPr>
          <w:rFonts w:hint="eastAsia"/>
        </w:rPr>
        <w:t>采购人拟采购的项目中，如涉及《深圳市财政局关于大力推广政府绿色采购有关事项的通知》（深财购〔2023〕49 号）相关内容的，要依据该通知要求执行。</w:t>
      </w:r>
    </w:p>
    <w:p w14:paraId="49513E9B"/>
    <w:p w14:paraId="61906CCF">
      <w:pPr>
        <w:widowControl/>
        <w:spacing w:after="100" w:afterAutospacing="1"/>
        <w:jc w:val="center"/>
        <w:rPr>
          <w:rFonts w:ascii="华文中宋" w:hAnsi="华文中宋" w:eastAsia="华文中宋"/>
          <w:kern w:val="0"/>
          <w:sz w:val="30"/>
          <w:szCs w:val="30"/>
        </w:rPr>
      </w:pPr>
      <w:r>
        <w:rPr>
          <w:rFonts w:hint="eastAsia" w:ascii="华文中宋" w:hAnsi="华文中宋" w:eastAsia="华文中宋"/>
          <w:kern w:val="0"/>
          <w:sz w:val="30"/>
          <w:szCs w:val="30"/>
        </w:rPr>
        <w:t>目  录</w:t>
      </w:r>
    </w:p>
    <w:p w14:paraId="0B6E44E2">
      <w:pPr>
        <w:spacing w:line="360" w:lineRule="auto"/>
        <w:rPr>
          <w:rFonts w:ascii="华文中宋" w:hAnsi="华文中宋" w:eastAsia="华文中宋"/>
          <w:sz w:val="28"/>
          <w:szCs w:val="28"/>
        </w:rPr>
      </w:pPr>
      <w:r>
        <w:rPr>
          <w:rFonts w:hint="eastAsia" w:ascii="华文中宋" w:hAnsi="华文中宋" w:eastAsia="华文中宋"/>
          <w:sz w:val="28"/>
          <w:szCs w:val="28"/>
        </w:rPr>
        <w:t>第一册  专用条款</w:t>
      </w:r>
    </w:p>
    <w:p w14:paraId="71FD6F5C">
      <w:pPr>
        <w:spacing w:line="360" w:lineRule="auto"/>
        <w:rPr>
          <w:rFonts w:ascii="华文中宋" w:hAnsi="华文中宋" w:eastAsia="华文中宋"/>
          <w:sz w:val="28"/>
          <w:szCs w:val="28"/>
        </w:rPr>
      </w:pPr>
      <w:r>
        <w:rPr>
          <w:rFonts w:hint="eastAsia" w:ascii="华文中宋" w:hAnsi="华文中宋" w:eastAsia="华文中宋"/>
          <w:sz w:val="28"/>
          <w:szCs w:val="28"/>
        </w:rPr>
        <w:t xml:space="preserve">       关键信息</w:t>
      </w:r>
    </w:p>
    <w:p w14:paraId="690DD24A">
      <w:pPr>
        <w:spacing w:line="360" w:lineRule="auto"/>
        <w:ind w:left="141" w:leftChars="67" w:firstLine="840" w:firstLineChars="300"/>
        <w:rPr>
          <w:rFonts w:ascii="华文中宋" w:hAnsi="华文中宋" w:eastAsia="华文中宋"/>
          <w:sz w:val="28"/>
          <w:szCs w:val="28"/>
        </w:rPr>
      </w:pPr>
      <w:r>
        <w:rPr>
          <w:rFonts w:hint="eastAsia" w:ascii="华文中宋" w:hAnsi="华文中宋" w:eastAsia="华文中宋"/>
          <w:sz w:val="28"/>
          <w:szCs w:val="28"/>
        </w:rPr>
        <w:t>第一章  采购邀请函</w:t>
      </w:r>
    </w:p>
    <w:p w14:paraId="04028AA2">
      <w:pPr>
        <w:spacing w:line="360" w:lineRule="auto"/>
        <w:ind w:left="141" w:leftChars="67" w:firstLine="840" w:firstLineChars="300"/>
        <w:rPr>
          <w:rFonts w:ascii="华文中宋" w:hAnsi="华文中宋" w:eastAsia="华文中宋"/>
          <w:sz w:val="28"/>
          <w:szCs w:val="28"/>
        </w:rPr>
      </w:pPr>
      <w:r>
        <w:rPr>
          <w:rFonts w:hint="eastAsia" w:ascii="华文中宋" w:hAnsi="华文中宋" w:eastAsia="华文中宋"/>
          <w:sz w:val="28"/>
          <w:szCs w:val="28"/>
        </w:rPr>
        <w:t>第二章  招标项目需求</w:t>
      </w:r>
    </w:p>
    <w:p w14:paraId="597D1812">
      <w:pPr>
        <w:spacing w:line="360" w:lineRule="auto"/>
        <w:ind w:left="141" w:leftChars="67" w:firstLine="840" w:firstLineChars="300"/>
        <w:rPr>
          <w:rFonts w:ascii="华文中宋" w:hAnsi="华文中宋" w:eastAsia="华文中宋"/>
          <w:sz w:val="28"/>
          <w:szCs w:val="28"/>
        </w:rPr>
      </w:pPr>
      <w:r>
        <w:rPr>
          <w:rFonts w:hint="eastAsia" w:ascii="华文中宋" w:hAnsi="华文中宋" w:eastAsia="华文中宋"/>
          <w:sz w:val="28"/>
          <w:szCs w:val="28"/>
        </w:rPr>
        <w:t>第三章  投标文件格式、附件</w:t>
      </w:r>
    </w:p>
    <w:p w14:paraId="53A5F5B5">
      <w:pPr>
        <w:spacing w:line="360" w:lineRule="auto"/>
        <w:ind w:left="141" w:leftChars="67" w:firstLine="840" w:firstLineChars="300"/>
        <w:rPr>
          <w:rFonts w:ascii="华文中宋" w:hAnsi="华文中宋" w:eastAsia="华文中宋"/>
          <w:sz w:val="28"/>
          <w:szCs w:val="28"/>
        </w:rPr>
      </w:pPr>
      <w:r>
        <w:rPr>
          <w:rFonts w:hint="eastAsia" w:ascii="华文中宋" w:hAnsi="华文中宋" w:eastAsia="华文中宋"/>
          <w:sz w:val="28"/>
          <w:szCs w:val="28"/>
        </w:rPr>
        <w:t>第四章  政府采购合同的签订、履行及验收</w:t>
      </w:r>
    </w:p>
    <w:p w14:paraId="1C431345">
      <w:pPr>
        <w:spacing w:line="360" w:lineRule="auto"/>
        <w:rPr>
          <w:rFonts w:ascii="华文中宋" w:hAnsi="华文中宋" w:eastAsia="华文中宋"/>
          <w:sz w:val="28"/>
          <w:szCs w:val="28"/>
        </w:rPr>
      </w:pPr>
      <w:r>
        <w:rPr>
          <w:rFonts w:hint="eastAsia" w:ascii="华文中宋" w:hAnsi="华文中宋" w:eastAsia="华文中宋"/>
          <w:sz w:val="28"/>
          <w:szCs w:val="28"/>
        </w:rPr>
        <w:t>第二册  通用条款</w:t>
      </w:r>
    </w:p>
    <w:p w14:paraId="3BBA5AE8">
      <w:pPr>
        <w:spacing w:line="360" w:lineRule="auto"/>
        <w:rPr>
          <w:rFonts w:ascii="华文中宋" w:hAnsi="华文中宋" w:eastAsia="华文中宋"/>
          <w:sz w:val="28"/>
          <w:szCs w:val="28"/>
        </w:rPr>
      </w:pPr>
      <w:r>
        <w:rPr>
          <w:rFonts w:hint="eastAsia" w:ascii="华文中宋" w:hAnsi="华文中宋" w:eastAsia="华文中宋"/>
          <w:sz w:val="28"/>
          <w:szCs w:val="28"/>
        </w:rPr>
        <w:t>备注：</w:t>
      </w:r>
    </w:p>
    <w:p w14:paraId="1C1B6D52">
      <w:pPr>
        <w:spacing w:line="360" w:lineRule="auto"/>
        <w:rPr>
          <w:rFonts w:ascii="华文中宋" w:hAnsi="华文中宋" w:eastAsia="华文中宋"/>
          <w:b/>
          <w:sz w:val="28"/>
          <w:szCs w:val="28"/>
        </w:rPr>
      </w:pPr>
      <w:r>
        <w:rPr>
          <w:rFonts w:hint="eastAsia" w:ascii="华文中宋" w:hAnsi="华文中宋" w:eastAsia="华文中宋"/>
          <w:sz w:val="28"/>
          <w:szCs w:val="28"/>
        </w:rPr>
        <w:t>1.本招标文件分为第一册“专用条款”和第二册“通用条款”。</w:t>
      </w:r>
    </w:p>
    <w:p w14:paraId="1F88A383">
      <w:pPr>
        <w:spacing w:line="360" w:lineRule="auto"/>
        <w:jc w:val="left"/>
        <w:rPr>
          <w:rFonts w:ascii="华文中宋" w:hAnsi="华文中宋" w:eastAsia="华文中宋"/>
          <w:sz w:val="28"/>
          <w:szCs w:val="28"/>
        </w:rPr>
      </w:pPr>
      <w:r>
        <w:rPr>
          <w:rFonts w:hint="eastAsia" w:ascii="华文中宋" w:hAnsi="华文中宋" w:eastAsia="华文中宋"/>
          <w:sz w:val="28"/>
          <w:szCs w:val="28"/>
        </w:rPr>
        <w:t>2.“专用条款”是对本次采购项目的具体要求，包含招标公告、招标项目需求、投标文件格式、合同条款及格式、附件等内容。</w:t>
      </w:r>
    </w:p>
    <w:p w14:paraId="20ABA2E4">
      <w:pPr>
        <w:spacing w:line="360" w:lineRule="auto"/>
        <w:jc w:val="left"/>
        <w:rPr>
          <w:rFonts w:ascii="华文中宋" w:hAnsi="华文中宋" w:eastAsia="华文中宋"/>
          <w:sz w:val="28"/>
          <w:szCs w:val="28"/>
        </w:rPr>
      </w:pPr>
      <w:r>
        <w:rPr>
          <w:rFonts w:hint="eastAsia" w:ascii="华文中宋" w:hAnsi="华文中宋" w:eastAsia="华文中宋"/>
          <w:sz w:val="28"/>
          <w:szCs w:val="28"/>
        </w:rPr>
        <w:t>3.“通用条款”是通用于政府采购项目的基础性条款，具有普遍性和通用性。</w:t>
      </w:r>
    </w:p>
    <w:p w14:paraId="05FEA6B0">
      <w:pPr>
        <w:spacing w:line="360" w:lineRule="auto"/>
        <w:jc w:val="left"/>
        <w:rPr>
          <w:rFonts w:ascii="华文中宋" w:hAnsi="华文中宋" w:eastAsia="华文中宋"/>
          <w:sz w:val="28"/>
          <w:szCs w:val="28"/>
        </w:rPr>
      </w:pPr>
      <w:r>
        <w:rPr>
          <w:rFonts w:hint="eastAsia" w:ascii="华文中宋" w:hAnsi="华文中宋" w:eastAsia="华文中宋"/>
          <w:sz w:val="28"/>
          <w:szCs w:val="28"/>
        </w:rPr>
        <w:t>4.当出现“专用条款”和“通用条款”表述不一致或有冲突时，以“专用条款”为准。</w:t>
      </w:r>
    </w:p>
    <w:p w14:paraId="1FDFC104"/>
    <w:p w14:paraId="66E7C195"/>
    <w:p w14:paraId="4D358AC3"/>
    <w:p w14:paraId="7026BF73"/>
    <w:p w14:paraId="75A921C5"/>
    <w:p w14:paraId="36B4A2C3"/>
    <w:p w14:paraId="70E87FE4"/>
    <w:p w14:paraId="320CD958"/>
    <w:p w14:paraId="0646493E"/>
    <w:p w14:paraId="6C1AE274"/>
    <w:p w14:paraId="2ADD270D"/>
    <w:p w14:paraId="510870B6">
      <w:pPr>
        <w:pStyle w:val="3"/>
        <w:rPr>
          <w:rFonts w:ascii="新宋体" w:hAnsi="新宋体" w:eastAsia="新宋体"/>
          <w:sz w:val="30"/>
          <w:szCs w:val="30"/>
        </w:rPr>
      </w:pPr>
      <w:r>
        <w:rPr>
          <w:rFonts w:hint="eastAsia" w:ascii="新宋体" w:hAnsi="新宋体" w:eastAsia="新宋体"/>
          <w:sz w:val="30"/>
          <w:szCs w:val="30"/>
        </w:rPr>
        <w:t>第一册  专用条款</w:t>
      </w:r>
    </w:p>
    <w:p w14:paraId="4F8728ED">
      <w:pPr>
        <w:pStyle w:val="6"/>
        <w:rPr>
          <w:rFonts w:ascii="新宋体" w:hAnsi="新宋体" w:eastAsia="新宋体"/>
          <w:kern w:val="44"/>
          <w:sz w:val="30"/>
          <w:szCs w:val="30"/>
        </w:rPr>
      </w:pPr>
      <w:r>
        <w:rPr>
          <w:rFonts w:hint="eastAsia" w:ascii="新宋体" w:hAnsi="新宋体" w:eastAsia="新宋体"/>
          <w:kern w:val="44"/>
          <w:sz w:val="30"/>
          <w:szCs w:val="30"/>
        </w:rPr>
        <w:t>第一章 采购公告</w:t>
      </w:r>
    </w:p>
    <w:p w14:paraId="1A02517B">
      <w:pPr>
        <w:spacing w:line="360" w:lineRule="auto"/>
        <w:rPr>
          <w:rFonts w:ascii="新宋体" w:hAnsi="新宋体" w:eastAsia="新宋体"/>
          <w:szCs w:val="21"/>
        </w:rPr>
      </w:pPr>
      <w:r>
        <w:rPr>
          <w:rFonts w:hint="eastAsia" w:ascii="新宋体" w:hAnsi="新宋体" w:eastAsia="新宋体"/>
          <w:szCs w:val="21"/>
        </w:rPr>
        <w:t>项目概况：</w:t>
      </w:r>
      <w:r>
        <w:rPr>
          <w:rFonts w:hint="eastAsia" w:ascii="新宋体" w:hAnsi="新宋体" w:eastAsia="新宋体"/>
        </w:rPr>
        <w:t>校内垃圾房项目</w:t>
      </w:r>
      <w:r>
        <w:rPr>
          <w:rFonts w:hint="eastAsia" w:ascii="新宋体" w:hAnsi="新宋体" w:eastAsia="新宋体"/>
          <w:szCs w:val="21"/>
        </w:rPr>
        <w:t>采购项目的潜在投标人应在</w:t>
      </w:r>
      <w:r>
        <w:rPr>
          <w:rFonts w:hint="eastAsia" w:ascii="新宋体" w:hAnsi="新宋体" w:eastAsia="新宋体"/>
          <w:szCs w:val="21"/>
          <w:u w:val="single"/>
        </w:rPr>
        <w:t>深圳市福田区天安数码城创新科技广场一期B座811</w:t>
      </w:r>
      <w:r>
        <w:rPr>
          <w:rFonts w:hint="eastAsia" w:ascii="新宋体" w:hAnsi="新宋体" w:eastAsia="新宋体"/>
          <w:szCs w:val="21"/>
        </w:rPr>
        <w:t>获取招标文件，并于</w:t>
      </w:r>
      <w:r>
        <w:rPr>
          <w:rFonts w:hint="eastAsia" w:ascii="新宋体" w:hAnsi="新宋体" w:eastAsia="新宋体"/>
          <w:szCs w:val="21"/>
          <w:u w:val="single"/>
        </w:rPr>
        <w:t>2025</w:t>
      </w:r>
      <w:r>
        <w:rPr>
          <w:rFonts w:hint="eastAsia" w:ascii="新宋体" w:hAnsi="新宋体" w:eastAsia="新宋体"/>
          <w:bCs/>
          <w:szCs w:val="21"/>
          <w:u w:val="single"/>
        </w:rPr>
        <w:t>年12月08日14:30（</w:t>
      </w:r>
      <w:r>
        <w:rPr>
          <w:rFonts w:hint="eastAsia" w:ascii="新宋体" w:hAnsi="新宋体" w:eastAsia="新宋体"/>
          <w:bCs/>
          <w:szCs w:val="21"/>
        </w:rPr>
        <w:t>北京时间）前提交响应文件</w:t>
      </w:r>
      <w:r>
        <w:rPr>
          <w:rFonts w:hint="eastAsia" w:ascii="新宋体" w:hAnsi="新宋体" w:eastAsia="新宋体"/>
          <w:szCs w:val="21"/>
        </w:rPr>
        <w:t>。</w:t>
      </w:r>
    </w:p>
    <w:p w14:paraId="414A182B">
      <w:pPr>
        <w:spacing w:line="360" w:lineRule="auto"/>
        <w:rPr>
          <w:rFonts w:ascii="新宋体" w:hAnsi="新宋体" w:eastAsia="新宋体" w:cs="宋体"/>
          <w:b/>
          <w:szCs w:val="21"/>
        </w:rPr>
      </w:pPr>
      <w:r>
        <w:rPr>
          <w:rFonts w:hint="eastAsia" w:ascii="新宋体" w:hAnsi="新宋体" w:eastAsia="新宋体" w:cs="宋体"/>
          <w:b/>
          <w:szCs w:val="21"/>
        </w:rPr>
        <w:t>一、项目基本情况</w:t>
      </w:r>
    </w:p>
    <w:p w14:paraId="10691851">
      <w:pPr>
        <w:spacing w:line="360" w:lineRule="auto"/>
        <w:rPr>
          <w:rFonts w:ascii="新宋体" w:hAnsi="新宋体" w:eastAsia="新宋体"/>
          <w:color w:val="FF0000"/>
          <w:szCs w:val="21"/>
        </w:rPr>
      </w:pPr>
      <w:r>
        <w:rPr>
          <w:rFonts w:hint="eastAsia" w:ascii="新宋体" w:hAnsi="新宋体" w:eastAsia="新宋体"/>
          <w:szCs w:val="21"/>
        </w:rPr>
        <w:t>1.项目编号：</w:t>
      </w:r>
      <w:r>
        <w:rPr>
          <w:rFonts w:hint="eastAsia" w:ascii="新宋体" w:hAnsi="新宋体" w:eastAsia="新宋体"/>
        </w:rPr>
        <w:t>RNX2025201ZC-NSDXX</w:t>
      </w:r>
    </w:p>
    <w:p w14:paraId="4C93925D">
      <w:pPr>
        <w:spacing w:line="360" w:lineRule="auto"/>
        <w:rPr>
          <w:rFonts w:ascii="新宋体" w:hAnsi="新宋体" w:eastAsia="新宋体"/>
          <w:szCs w:val="21"/>
        </w:rPr>
      </w:pPr>
      <w:r>
        <w:rPr>
          <w:rFonts w:hint="eastAsia" w:ascii="新宋体" w:hAnsi="新宋体" w:eastAsia="新宋体"/>
          <w:szCs w:val="21"/>
        </w:rPr>
        <w:t>2.项目名称：</w:t>
      </w:r>
      <w:r>
        <w:rPr>
          <w:rFonts w:hint="eastAsia" w:ascii="新宋体" w:hAnsi="新宋体" w:eastAsia="新宋体"/>
        </w:rPr>
        <w:t>校内垃圾房项目</w:t>
      </w:r>
    </w:p>
    <w:p w14:paraId="71137CF8">
      <w:pPr>
        <w:spacing w:line="360" w:lineRule="auto"/>
        <w:rPr>
          <w:rFonts w:ascii="新宋体" w:hAnsi="新宋体" w:eastAsia="新宋体"/>
          <w:szCs w:val="21"/>
        </w:rPr>
      </w:pPr>
      <w:r>
        <w:rPr>
          <w:rFonts w:hint="eastAsia" w:ascii="新宋体" w:hAnsi="新宋体" w:eastAsia="新宋体"/>
          <w:szCs w:val="21"/>
        </w:rPr>
        <w:t>3.预算金额：人民币</w:t>
      </w:r>
      <w:r>
        <w:rPr>
          <w:rFonts w:ascii="新宋体" w:hAnsi="新宋体" w:eastAsia="新宋体"/>
          <w:szCs w:val="21"/>
        </w:rPr>
        <w:t>壹拾万元整（</w:t>
      </w:r>
      <w:r>
        <w:rPr>
          <w:rFonts w:hint="eastAsia" w:ascii="新宋体" w:hAnsi="新宋体" w:eastAsia="新宋体"/>
          <w:szCs w:val="21"/>
        </w:rPr>
        <w:t>100</w:t>
      </w:r>
      <w:r>
        <w:rPr>
          <w:rFonts w:ascii="新宋体" w:hAnsi="新宋体" w:eastAsia="新宋体"/>
          <w:szCs w:val="21"/>
        </w:rPr>
        <w:t>,</w:t>
      </w:r>
      <w:r>
        <w:rPr>
          <w:rFonts w:hint="eastAsia" w:ascii="新宋体" w:hAnsi="新宋体" w:eastAsia="新宋体"/>
          <w:szCs w:val="21"/>
        </w:rPr>
        <w:t>000.00</w:t>
      </w:r>
      <w:r>
        <w:rPr>
          <w:rFonts w:ascii="新宋体" w:hAnsi="新宋体" w:eastAsia="新宋体"/>
          <w:szCs w:val="21"/>
        </w:rPr>
        <w:t>）</w:t>
      </w:r>
    </w:p>
    <w:p w14:paraId="58CFF5A4">
      <w:pPr>
        <w:spacing w:line="360" w:lineRule="auto"/>
        <w:rPr>
          <w:rFonts w:ascii="新宋体" w:hAnsi="新宋体" w:eastAsia="新宋体"/>
          <w:szCs w:val="21"/>
        </w:rPr>
      </w:pPr>
      <w:r>
        <w:rPr>
          <w:rFonts w:hint="eastAsia" w:ascii="新宋体" w:hAnsi="新宋体" w:eastAsia="新宋体"/>
          <w:szCs w:val="21"/>
        </w:rPr>
        <w:t>4.最高限价：人民币</w:t>
      </w:r>
      <w:r>
        <w:rPr>
          <w:rFonts w:ascii="新宋体" w:hAnsi="新宋体" w:eastAsia="新宋体"/>
          <w:szCs w:val="21"/>
        </w:rPr>
        <w:t>壹拾万元整（</w:t>
      </w:r>
      <w:r>
        <w:rPr>
          <w:rFonts w:hint="eastAsia" w:ascii="新宋体" w:hAnsi="新宋体" w:eastAsia="新宋体"/>
          <w:szCs w:val="21"/>
        </w:rPr>
        <w:t>100</w:t>
      </w:r>
      <w:r>
        <w:rPr>
          <w:rFonts w:ascii="新宋体" w:hAnsi="新宋体" w:eastAsia="新宋体"/>
          <w:szCs w:val="21"/>
        </w:rPr>
        <w:t>,</w:t>
      </w:r>
      <w:r>
        <w:rPr>
          <w:rFonts w:hint="eastAsia" w:ascii="新宋体" w:hAnsi="新宋体" w:eastAsia="新宋体"/>
          <w:szCs w:val="21"/>
        </w:rPr>
        <w:t>000.00</w:t>
      </w:r>
      <w:r>
        <w:rPr>
          <w:rFonts w:ascii="新宋体" w:hAnsi="新宋体" w:eastAsia="新宋体"/>
          <w:szCs w:val="21"/>
        </w:rPr>
        <w:t>）</w:t>
      </w:r>
    </w:p>
    <w:p w14:paraId="31D02046">
      <w:pPr>
        <w:spacing w:line="360" w:lineRule="auto"/>
        <w:rPr>
          <w:rFonts w:ascii="新宋体" w:hAnsi="新宋体" w:eastAsia="新宋体"/>
          <w:color w:val="FF0000"/>
          <w:szCs w:val="21"/>
        </w:rPr>
      </w:pPr>
      <w:r>
        <w:rPr>
          <w:rFonts w:hint="eastAsia" w:ascii="新宋体" w:hAnsi="新宋体" w:eastAsia="新宋体"/>
          <w:szCs w:val="21"/>
        </w:rPr>
        <w:t>5.采购需求：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1134"/>
        <w:gridCol w:w="3686"/>
        <w:gridCol w:w="1092"/>
      </w:tblGrid>
      <w:tr w14:paraId="4A38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66" w:type="dxa"/>
            <w:shd w:val="clear" w:color="auto" w:fill="4BACC6"/>
            <w:vAlign w:val="center"/>
          </w:tcPr>
          <w:p w14:paraId="6C5E6117">
            <w:pPr>
              <w:spacing w:line="360" w:lineRule="auto"/>
              <w:jc w:val="center"/>
              <w:rPr>
                <w:rFonts w:ascii="新宋体" w:hAnsi="新宋体" w:eastAsia="新宋体"/>
                <w:szCs w:val="21"/>
              </w:rPr>
            </w:pPr>
            <w:r>
              <w:rPr>
                <w:rFonts w:hint="eastAsia" w:ascii="新宋体" w:hAnsi="新宋体" w:eastAsia="新宋体"/>
                <w:szCs w:val="21"/>
              </w:rPr>
              <w:t>标的名称</w:t>
            </w:r>
          </w:p>
        </w:tc>
        <w:tc>
          <w:tcPr>
            <w:tcW w:w="1134" w:type="dxa"/>
            <w:shd w:val="clear" w:color="auto" w:fill="4BACC6"/>
            <w:vAlign w:val="center"/>
          </w:tcPr>
          <w:p w14:paraId="35AE4F3C">
            <w:pPr>
              <w:spacing w:line="360" w:lineRule="auto"/>
              <w:jc w:val="center"/>
              <w:rPr>
                <w:rFonts w:ascii="新宋体" w:hAnsi="新宋体" w:eastAsia="新宋体"/>
                <w:szCs w:val="21"/>
              </w:rPr>
            </w:pPr>
            <w:r>
              <w:rPr>
                <w:rFonts w:hint="eastAsia" w:ascii="新宋体" w:hAnsi="新宋体" w:eastAsia="新宋体"/>
                <w:szCs w:val="21"/>
              </w:rPr>
              <w:t>数量</w:t>
            </w:r>
          </w:p>
        </w:tc>
        <w:tc>
          <w:tcPr>
            <w:tcW w:w="3686" w:type="dxa"/>
            <w:shd w:val="clear" w:color="auto" w:fill="4BACC6"/>
            <w:vAlign w:val="center"/>
          </w:tcPr>
          <w:p w14:paraId="292F9AA9">
            <w:pPr>
              <w:spacing w:line="360" w:lineRule="auto"/>
              <w:jc w:val="center"/>
              <w:rPr>
                <w:rFonts w:ascii="新宋体" w:hAnsi="新宋体" w:eastAsia="新宋体"/>
                <w:szCs w:val="21"/>
              </w:rPr>
            </w:pPr>
            <w:r>
              <w:rPr>
                <w:rFonts w:hint="eastAsia" w:ascii="新宋体" w:hAnsi="新宋体" w:eastAsia="新宋体"/>
                <w:szCs w:val="21"/>
              </w:rPr>
              <w:t>简要技术需求（服务需求）</w:t>
            </w:r>
          </w:p>
        </w:tc>
        <w:tc>
          <w:tcPr>
            <w:tcW w:w="1092" w:type="dxa"/>
            <w:shd w:val="clear" w:color="auto" w:fill="4BACC6"/>
            <w:vAlign w:val="center"/>
          </w:tcPr>
          <w:p w14:paraId="7933B2AC">
            <w:pPr>
              <w:spacing w:line="360" w:lineRule="auto"/>
              <w:jc w:val="center"/>
              <w:rPr>
                <w:rFonts w:ascii="新宋体" w:hAnsi="新宋体" w:eastAsia="新宋体"/>
                <w:szCs w:val="21"/>
              </w:rPr>
            </w:pPr>
            <w:r>
              <w:rPr>
                <w:rFonts w:hint="eastAsia" w:ascii="新宋体" w:hAnsi="新宋体" w:eastAsia="新宋体"/>
                <w:szCs w:val="21"/>
              </w:rPr>
              <w:t>备注</w:t>
            </w:r>
          </w:p>
        </w:tc>
      </w:tr>
      <w:tr w14:paraId="5891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6" w:type="dxa"/>
            <w:shd w:val="clear" w:color="auto" w:fill="auto"/>
            <w:vAlign w:val="center"/>
          </w:tcPr>
          <w:p w14:paraId="4915B934">
            <w:pPr>
              <w:spacing w:line="360" w:lineRule="auto"/>
              <w:jc w:val="center"/>
              <w:rPr>
                <w:rFonts w:ascii="新宋体" w:hAnsi="新宋体" w:eastAsia="新宋体"/>
                <w:szCs w:val="21"/>
                <w:u w:val="single"/>
              </w:rPr>
            </w:pPr>
            <w:r>
              <w:rPr>
                <w:rFonts w:hint="eastAsia" w:ascii="新宋体" w:hAnsi="新宋体" w:eastAsia="新宋体"/>
              </w:rPr>
              <w:t>校内垃圾房项目</w:t>
            </w:r>
          </w:p>
        </w:tc>
        <w:tc>
          <w:tcPr>
            <w:tcW w:w="1134" w:type="dxa"/>
            <w:shd w:val="clear" w:color="auto" w:fill="auto"/>
            <w:vAlign w:val="center"/>
          </w:tcPr>
          <w:p w14:paraId="7EFF3DFC">
            <w:pPr>
              <w:spacing w:line="360" w:lineRule="auto"/>
              <w:jc w:val="center"/>
              <w:rPr>
                <w:rFonts w:ascii="新宋体" w:hAnsi="新宋体" w:eastAsia="新宋体"/>
                <w:szCs w:val="21"/>
                <w:u w:val="single"/>
              </w:rPr>
            </w:pPr>
            <w:r>
              <w:rPr>
                <w:rFonts w:hint="eastAsia" w:ascii="新宋体" w:hAnsi="新宋体" w:eastAsia="新宋体"/>
                <w:szCs w:val="21"/>
                <w:u w:val="single"/>
              </w:rPr>
              <w:t>1项</w:t>
            </w:r>
          </w:p>
        </w:tc>
        <w:tc>
          <w:tcPr>
            <w:tcW w:w="3686" w:type="dxa"/>
            <w:shd w:val="clear" w:color="auto" w:fill="auto"/>
            <w:vAlign w:val="center"/>
          </w:tcPr>
          <w:p w14:paraId="6D497BAE">
            <w:pPr>
              <w:spacing w:line="360" w:lineRule="auto"/>
              <w:jc w:val="center"/>
              <w:rPr>
                <w:rFonts w:ascii="新宋体" w:hAnsi="新宋体" w:eastAsia="新宋体"/>
                <w:szCs w:val="21"/>
                <w:u w:val="single"/>
              </w:rPr>
            </w:pPr>
            <w:r>
              <w:rPr>
                <w:rFonts w:hint="eastAsia" w:ascii="新宋体" w:hAnsi="新宋体" w:eastAsia="新宋体"/>
                <w:szCs w:val="21"/>
                <w:u w:val="single"/>
              </w:rPr>
              <w:t>详见附件内容</w:t>
            </w:r>
          </w:p>
        </w:tc>
        <w:tc>
          <w:tcPr>
            <w:tcW w:w="1092" w:type="dxa"/>
            <w:shd w:val="clear" w:color="auto" w:fill="auto"/>
            <w:vAlign w:val="center"/>
          </w:tcPr>
          <w:p w14:paraId="5F536D32">
            <w:pPr>
              <w:spacing w:line="360" w:lineRule="auto"/>
              <w:jc w:val="center"/>
              <w:rPr>
                <w:rFonts w:ascii="新宋体" w:hAnsi="新宋体" w:eastAsia="新宋体"/>
                <w:szCs w:val="21"/>
                <w:u w:val="single"/>
              </w:rPr>
            </w:pPr>
          </w:p>
        </w:tc>
      </w:tr>
    </w:tbl>
    <w:p w14:paraId="54098AE9">
      <w:pPr>
        <w:spacing w:line="360" w:lineRule="auto"/>
        <w:rPr>
          <w:rFonts w:ascii="新宋体" w:hAnsi="新宋体" w:eastAsia="新宋体"/>
          <w:szCs w:val="21"/>
          <w:u w:val="single"/>
        </w:rPr>
      </w:pPr>
      <w:r>
        <w:rPr>
          <w:rFonts w:hint="eastAsia" w:ascii="新宋体" w:hAnsi="新宋体" w:eastAsia="新宋体"/>
          <w:szCs w:val="21"/>
        </w:rPr>
        <w:t xml:space="preserve">6.合同履行期限：合同签订后30日内 </w:t>
      </w:r>
    </w:p>
    <w:p w14:paraId="0A828E1C">
      <w:pPr>
        <w:spacing w:line="360" w:lineRule="auto"/>
        <w:rPr>
          <w:rFonts w:ascii="新宋体" w:hAnsi="新宋体" w:eastAsia="新宋体"/>
          <w:szCs w:val="21"/>
        </w:rPr>
      </w:pPr>
      <w:r>
        <w:rPr>
          <w:rFonts w:hint="eastAsia" w:ascii="新宋体" w:hAnsi="新宋体" w:eastAsia="新宋体"/>
          <w:szCs w:val="21"/>
        </w:rPr>
        <w:t>7.本项目不接受联合体投标。</w:t>
      </w:r>
    </w:p>
    <w:p w14:paraId="30F52377">
      <w:pPr>
        <w:spacing w:line="360" w:lineRule="auto"/>
        <w:rPr>
          <w:rFonts w:ascii="新宋体" w:hAnsi="新宋体" w:eastAsia="新宋体" w:cs="宋体"/>
          <w:b/>
          <w:szCs w:val="21"/>
        </w:rPr>
      </w:pPr>
      <w:r>
        <w:rPr>
          <w:rFonts w:hint="eastAsia" w:ascii="新宋体" w:hAnsi="新宋体" w:eastAsia="新宋体" w:cs="宋体"/>
          <w:b/>
          <w:szCs w:val="21"/>
        </w:rPr>
        <w:t>二、供应商的资格要求：</w:t>
      </w:r>
    </w:p>
    <w:p w14:paraId="26F830E4">
      <w:pPr>
        <w:spacing w:line="360" w:lineRule="auto"/>
        <w:rPr>
          <w:rFonts w:ascii="新宋体" w:hAnsi="新宋体" w:eastAsia="新宋体"/>
        </w:rPr>
      </w:pPr>
      <w:r>
        <w:rPr>
          <w:rFonts w:hint="eastAsia" w:ascii="新宋体" w:hAnsi="新宋体" w:eastAsia="新宋体"/>
        </w:rPr>
        <w:t>（1）满足《中华人民共和国政府采购法》第二十二条规定；</w:t>
      </w:r>
    </w:p>
    <w:p w14:paraId="3D72AB03">
      <w:pPr>
        <w:spacing w:line="360" w:lineRule="auto"/>
        <w:rPr>
          <w:rFonts w:ascii="新宋体" w:hAnsi="新宋体" w:eastAsia="新宋体"/>
          <w:color w:val="FF0000"/>
          <w:u w:val="single"/>
        </w:rPr>
      </w:pPr>
      <w:r>
        <w:rPr>
          <w:rFonts w:hint="eastAsia" w:ascii="新宋体" w:hAnsi="新宋体" w:eastAsia="新宋体"/>
        </w:rPr>
        <w:t>（2）落实政府采购政策需满足的资格要求：</w:t>
      </w:r>
      <w:r>
        <w:rPr>
          <w:rFonts w:hint="eastAsia" w:ascii="新宋体" w:hAnsi="新宋体" w:eastAsia="新宋体"/>
          <w:u w:val="single"/>
        </w:rPr>
        <w:t>非专门面向中小企业；</w:t>
      </w:r>
    </w:p>
    <w:p w14:paraId="14C77CD1">
      <w:pPr>
        <w:spacing w:line="360" w:lineRule="auto"/>
        <w:rPr>
          <w:rFonts w:ascii="新宋体" w:hAnsi="新宋体" w:eastAsia="新宋体"/>
        </w:rPr>
      </w:pPr>
      <w:r>
        <w:rPr>
          <w:rFonts w:hint="eastAsia" w:ascii="新宋体" w:hAnsi="新宋体" w:eastAsia="新宋体"/>
        </w:rPr>
        <w:t>（3）</w:t>
      </w:r>
      <w:r>
        <w:rPr>
          <w:rFonts w:hint="eastAsia" w:ascii="新宋体" w:hAnsi="新宋体" w:eastAsia="新宋体" w:cs="宋体"/>
          <w:kern w:val="0"/>
        </w:rPr>
        <w:t>本项目的特定资格要求：</w:t>
      </w:r>
      <w:r>
        <w:rPr>
          <w:rFonts w:hint="eastAsia" w:ascii="新宋体" w:hAnsi="新宋体" w:eastAsia="新宋体" w:cs="宋体"/>
          <w:kern w:val="0"/>
          <w:u w:val="single"/>
        </w:rPr>
        <w:t xml:space="preserve">无 </w:t>
      </w:r>
      <w:r>
        <w:rPr>
          <w:rFonts w:hint="eastAsia" w:ascii="新宋体" w:hAnsi="新宋体" w:eastAsia="新宋体"/>
        </w:rPr>
        <w:t>。</w:t>
      </w:r>
    </w:p>
    <w:p w14:paraId="1F082621">
      <w:pPr>
        <w:spacing w:line="360" w:lineRule="auto"/>
        <w:rPr>
          <w:rFonts w:ascii="新宋体" w:hAnsi="新宋体" w:eastAsia="新宋体"/>
        </w:rPr>
      </w:pPr>
      <w:r>
        <w:rPr>
          <w:rFonts w:hint="eastAsia" w:ascii="新宋体" w:hAnsi="新宋体" w:eastAsia="新宋体"/>
        </w:rPr>
        <w:t>（4）参与本项目政府采购活动时不存在被有关部门禁止参与政府采购活动且在有效期内的情况（由供应商在《政府采购投标及履约承诺函》中作出声明）；</w:t>
      </w:r>
    </w:p>
    <w:p w14:paraId="1E0D17A1">
      <w:pPr>
        <w:spacing w:line="360" w:lineRule="auto"/>
        <w:rPr>
          <w:rFonts w:ascii="新宋体" w:hAnsi="新宋体" w:eastAsia="新宋体"/>
        </w:rPr>
      </w:pPr>
      <w:r>
        <w:rPr>
          <w:rFonts w:hint="eastAsia" w:ascii="新宋体" w:hAnsi="新宋体" w:eastAsia="新宋体"/>
        </w:rPr>
        <w:t>（5）未被列入失信被执行人、重大税收违法案件当事人名单、政府采购严重违法失信行为记录名单（由供应商在《政府采购投标及履约承诺函》中作出声明）。注：“信用中国”、“中国政府采购网”以及“深圳市政府采购监管网”为供应商信用信息的查询渠道，相关信息以开标当日的查询结果为准。</w:t>
      </w:r>
    </w:p>
    <w:p w14:paraId="5452C925">
      <w:pPr>
        <w:spacing w:line="360" w:lineRule="auto"/>
        <w:rPr>
          <w:rFonts w:ascii="新宋体" w:hAnsi="新宋体" w:eastAsia="新宋体"/>
        </w:rPr>
      </w:pPr>
      <w:r>
        <w:rPr>
          <w:rFonts w:hint="eastAsia" w:ascii="新宋体" w:hAnsi="新宋体" w:eastAsia="新宋体"/>
        </w:rPr>
        <w:t>（6）参与本项目投标前三年内，在经营活动中没有重大违法记录（由供应商在《政府采购投标及履约承诺函》中作出声明）。</w:t>
      </w:r>
    </w:p>
    <w:p w14:paraId="1DB51B76">
      <w:pPr>
        <w:spacing w:line="360" w:lineRule="auto"/>
        <w:rPr>
          <w:rFonts w:ascii="新宋体" w:hAnsi="新宋体" w:eastAsia="新宋体"/>
        </w:rPr>
      </w:pPr>
      <w:r>
        <w:rPr>
          <w:rFonts w:hint="eastAsia" w:ascii="新宋体" w:hAnsi="新宋体" w:eastAsia="新宋体"/>
        </w:rPr>
        <w:t>（7）不接受投标人选用进口产品参与投标。</w:t>
      </w:r>
    </w:p>
    <w:p w14:paraId="348B926D">
      <w:pPr>
        <w:spacing w:line="360" w:lineRule="auto"/>
        <w:rPr>
          <w:rFonts w:ascii="新宋体" w:hAnsi="新宋体" w:eastAsia="新宋体"/>
        </w:rPr>
      </w:pPr>
      <w:r>
        <w:rPr>
          <w:rFonts w:hint="eastAsia" w:ascii="新宋体" w:hAnsi="新宋体" w:eastAsia="新宋体"/>
        </w:rPr>
        <w:t>（8）若所投产品为进口，则投标人必须提供由设备制造商或授权的中国总代理签署的合法有效的保修、维修承诺函；若所投产品为国产产品，则无需提供。</w:t>
      </w:r>
    </w:p>
    <w:p w14:paraId="5081D157">
      <w:pPr>
        <w:spacing w:line="360" w:lineRule="auto"/>
        <w:rPr>
          <w:rFonts w:ascii="新宋体" w:hAnsi="新宋体" w:eastAsia="新宋体" w:cs="宋体"/>
          <w:b/>
          <w:szCs w:val="21"/>
        </w:rPr>
      </w:pPr>
      <w:r>
        <w:rPr>
          <w:rFonts w:hint="eastAsia" w:ascii="新宋体" w:hAnsi="新宋体" w:eastAsia="新宋体" w:cs="宋体"/>
          <w:b/>
          <w:szCs w:val="21"/>
        </w:rPr>
        <w:t>三、获取招标文件</w:t>
      </w:r>
    </w:p>
    <w:p w14:paraId="50CC6860">
      <w:pPr>
        <w:spacing w:line="360" w:lineRule="auto"/>
        <w:rPr>
          <w:rFonts w:ascii="新宋体" w:hAnsi="新宋体" w:eastAsia="新宋体" w:cs="宋体"/>
          <w:szCs w:val="21"/>
        </w:rPr>
      </w:pPr>
      <w:r>
        <w:rPr>
          <w:rFonts w:hint="eastAsia" w:ascii="新宋体" w:hAnsi="新宋体" w:eastAsia="新宋体"/>
          <w:szCs w:val="21"/>
        </w:rPr>
        <w:t>1.</w:t>
      </w:r>
      <w:r>
        <w:rPr>
          <w:rFonts w:hint="eastAsia" w:ascii="新宋体" w:hAnsi="新宋体" w:eastAsia="新宋体" w:cs="宋体"/>
          <w:szCs w:val="21"/>
        </w:rPr>
        <w:t>时间：2025</w:t>
      </w:r>
      <w:r>
        <w:rPr>
          <w:rFonts w:ascii="新宋体" w:hAnsi="新宋体" w:eastAsia="新宋体"/>
          <w:szCs w:val="21"/>
        </w:rPr>
        <w:t>年</w:t>
      </w:r>
      <w:r>
        <w:rPr>
          <w:rFonts w:hint="eastAsia" w:ascii="新宋体" w:hAnsi="新宋体" w:eastAsia="新宋体"/>
          <w:szCs w:val="21"/>
        </w:rPr>
        <w:t>11</w:t>
      </w:r>
      <w:r>
        <w:rPr>
          <w:rFonts w:ascii="新宋体" w:hAnsi="新宋体" w:eastAsia="新宋体"/>
          <w:szCs w:val="21"/>
        </w:rPr>
        <w:t>月</w:t>
      </w:r>
      <w:r>
        <w:rPr>
          <w:rFonts w:hint="eastAsia" w:ascii="新宋体" w:hAnsi="新宋体" w:eastAsia="新宋体"/>
          <w:szCs w:val="21"/>
        </w:rPr>
        <w:t>28</w:t>
      </w:r>
      <w:r>
        <w:rPr>
          <w:rFonts w:ascii="新宋体" w:hAnsi="新宋体" w:eastAsia="新宋体"/>
          <w:szCs w:val="21"/>
        </w:rPr>
        <w:t>日</w:t>
      </w:r>
      <w:r>
        <w:rPr>
          <w:rFonts w:hint="eastAsia" w:ascii="新宋体" w:hAnsi="新宋体" w:eastAsia="新宋体" w:cs="宋体"/>
          <w:szCs w:val="21"/>
        </w:rPr>
        <w:t>起至2025</w:t>
      </w:r>
      <w:r>
        <w:rPr>
          <w:rFonts w:ascii="新宋体" w:hAnsi="新宋体" w:eastAsia="新宋体"/>
          <w:szCs w:val="21"/>
        </w:rPr>
        <w:t>年</w:t>
      </w:r>
      <w:r>
        <w:rPr>
          <w:rFonts w:hint="eastAsia" w:ascii="新宋体" w:hAnsi="新宋体" w:eastAsia="新宋体"/>
          <w:szCs w:val="21"/>
        </w:rPr>
        <w:t>12</w:t>
      </w:r>
      <w:r>
        <w:rPr>
          <w:rFonts w:ascii="新宋体" w:hAnsi="新宋体" w:eastAsia="新宋体"/>
          <w:szCs w:val="21"/>
        </w:rPr>
        <w:t>月</w:t>
      </w:r>
      <w:r>
        <w:rPr>
          <w:rFonts w:hint="eastAsia" w:ascii="新宋体" w:hAnsi="新宋体" w:eastAsia="新宋体"/>
          <w:szCs w:val="21"/>
        </w:rPr>
        <w:t>04</w:t>
      </w:r>
      <w:r>
        <w:rPr>
          <w:rFonts w:ascii="新宋体" w:hAnsi="新宋体" w:eastAsia="新宋体"/>
          <w:szCs w:val="21"/>
        </w:rPr>
        <w:t>日</w:t>
      </w:r>
      <w:r>
        <w:rPr>
          <w:rFonts w:hint="eastAsia" w:ascii="新宋体" w:hAnsi="新宋体" w:eastAsia="新宋体" w:cs="宋体"/>
          <w:szCs w:val="21"/>
        </w:rPr>
        <w:t>，每天09:00至12:00，14:00至17：30（北京时间，</w:t>
      </w:r>
      <w:r>
        <w:rPr>
          <w:rFonts w:ascii="新宋体" w:hAnsi="新宋体" w:eastAsia="新宋体" w:cs="宋体"/>
          <w:szCs w:val="21"/>
        </w:rPr>
        <w:t>法定节假日</w:t>
      </w:r>
      <w:r>
        <w:rPr>
          <w:rFonts w:hint="eastAsia" w:ascii="新宋体" w:hAnsi="新宋体" w:eastAsia="新宋体" w:cs="宋体"/>
          <w:szCs w:val="21"/>
        </w:rPr>
        <w:t>除外）。</w:t>
      </w:r>
    </w:p>
    <w:p w14:paraId="01F9E28E">
      <w:pPr>
        <w:spacing w:line="360" w:lineRule="auto"/>
        <w:rPr>
          <w:rFonts w:ascii="新宋体" w:hAnsi="新宋体" w:eastAsia="新宋体" w:cs="宋体"/>
          <w:szCs w:val="21"/>
          <w:u w:val="single"/>
        </w:rPr>
      </w:pPr>
      <w:r>
        <w:rPr>
          <w:rFonts w:hint="eastAsia" w:ascii="新宋体" w:hAnsi="新宋体" w:eastAsia="新宋体"/>
          <w:szCs w:val="21"/>
        </w:rPr>
        <w:t>2.</w:t>
      </w:r>
      <w:r>
        <w:rPr>
          <w:rFonts w:hint="eastAsia" w:ascii="新宋体" w:hAnsi="新宋体" w:eastAsia="新宋体" w:cs="宋体"/>
          <w:szCs w:val="21"/>
        </w:rPr>
        <w:t>地点：深圳市福田区天安数码城创新科技广场一期B座811室；</w:t>
      </w:r>
    </w:p>
    <w:p w14:paraId="6515495A">
      <w:pPr>
        <w:spacing w:line="360" w:lineRule="auto"/>
        <w:rPr>
          <w:rFonts w:ascii="新宋体" w:hAnsi="新宋体" w:eastAsia="新宋体" w:cs="宋体"/>
          <w:szCs w:val="21"/>
        </w:rPr>
      </w:pPr>
      <w:r>
        <w:rPr>
          <w:rFonts w:hint="eastAsia" w:ascii="新宋体" w:hAnsi="新宋体" w:eastAsia="新宋体"/>
          <w:szCs w:val="21"/>
        </w:rPr>
        <w:t>3.</w:t>
      </w:r>
      <w:r>
        <w:rPr>
          <w:rFonts w:hint="eastAsia" w:ascii="新宋体" w:hAnsi="新宋体" w:eastAsia="新宋体" w:cs="宋体"/>
          <w:szCs w:val="21"/>
        </w:rPr>
        <w:t>方式：投标人获取招标文件须提交投标人营业执照复印件并加盖公章；</w:t>
      </w:r>
      <w:r>
        <w:rPr>
          <w:rFonts w:ascii="新宋体" w:hAnsi="新宋体" w:eastAsia="新宋体" w:cs="宋体"/>
          <w:szCs w:val="21"/>
        </w:rPr>
        <w:t>现场登记；</w:t>
      </w:r>
    </w:p>
    <w:p w14:paraId="1C255EBE">
      <w:pPr>
        <w:spacing w:line="360" w:lineRule="auto"/>
        <w:rPr>
          <w:rFonts w:ascii="新宋体" w:hAnsi="新宋体" w:eastAsia="新宋体" w:cs="宋体"/>
          <w:szCs w:val="21"/>
        </w:rPr>
      </w:pPr>
      <w:r>
        <w:rPr>
          <w:rFonts w:hint="eastAsia" w:ascii="新宋体" w:hAnsi="新宋体" w:eastAsia="新宋体" w:cs="宋体"/>
          <w:szCs w:val="21"/>
        </w:rPr>
        <w:t>4</w:t>
      </w:r>
      <w:r>
        <w:rPr>
          <w:rFonts w:ascii="新宋体" w:hAnsi="新宋体" w:eastAsia="新宋体" w:cs="宋体"/>
          <w:szCs w:val="21"/>
        </w:rPr>
        <w:t>.</w:t>
      </w:r>
      <w:r>
        <w:rPr>
          <w:rFonts w:hint="eastAsia" w:ascii="新宋体" w:hAnsi="新宋体" w:eastAsia="新宋体" w:cs="宋体"/>
          <w:szCs w:val="21"/>
        </w:rPr>
        <w:t>招标文件售价：每套售价6</w:t>
      </w:r>
      <w:r>
        <w:rPr>
          <w:rFonts w:ascii="新宋体" w:hAnsi="新宋体" w:eastAsia="新宋体" w:cs="宋体"/>
          <w:szCs w:val="21"/>
        </w:rPr>
        <w:t>00元。</w:t>
      </w:r>
    </w:p>
    <w:p w14:paraId="6191FAF0">
      <w:pPr>
        <w:spacing w:line="360" w:lineRule="auto"/>
        <w:rPr>
          <w:rFonts w:ascii="新宋体" w:hAnsi="新宋体" w:eastAsia="新宋体" w:cs="宋体"/>
          <w:b/>
          <w:szCs w:val="21"/>
        </w:rPr>
      </w:pPr>
      <w:r>
        <w:rPr>
          <w:rFonts w:hint="eastAsia" w:ascii="新宋体" w:hAnsi="新宋体" w:eastAsia="新宋体" w:cs="宋体"/>
          <w:b/>
          <w:szCs w:val="21"/>
        </w:rPr>
        <w:t>四、提交投标文件截止时间、开标时间和地点</w:t>
      </w:r>
    </w:p>
    <w:p w14:paraId="0E0F0DDF">
      <w:pPr>
        <w:spacing w:line="360" w:lineRule="auto"/>
        <w:rPr>
          <w:rFonts w:ascii="新宋体" w:hAnsi="新宋体" w:eastAsia="新宋体" w:cs="宋体"/>
          <w:kern w:val="0"/>
          <w:szCs w:val="21"/>
        </w:rPr>
      </w:pPr>
      <w:r>
        <w:rPr>
          <w:rFonts w:hint="eastAsia" w:ascii="新宋体" w:hAnsi="新宋体" w:eastAsia="新宋体" w:cs="宋体"/>
          <w:kern w:val="0"/>
          <w:szCs w:val="21"/>
        </w:rPr>
        <w:t>1.</w:t>
      </w:r>
      <w:r>
        <w:rPr>
          <w:rFonts w:ascii="新宋体" w:hAnsi="新宋体" w:eastAsia="新宋体" w:cs="宋体"/>
          <w:kern w:val="0"/>
          <w:szCs w:val="21"/>
        </w:rPr>
        <w:t>投标截止时间</w:t>
      </w:r>
      <w:r>
        <w:rPr>
          <w:rFonts w:hint="eastAsia" w:ascii="新宋体" w:hAnsi="新宋体" w:eastAsia="新宋体" w:cs="宋体"/>
          <w:kern w:val="0"/>
          <w:szCs w:val="21"/>
        </w:rPr>
        <w:t>：2025</w:t>
      </w:r>
      <w:r>
        <w:rPr>
          <w:rFonts w:ascii="新宋体" w:hAnsi="新宋体" w:eastAsia="新宋体"/>
          <w:szCs w:val="21"/>
        </w:rPr>
        <w:t>年</w:t>
      </w:r>
      <w:r>
        <w:rPr>
          <w:rFonts w:hint="eastAsia" w:ascii="新宋体" w:hAnsi="新宋体" w:eastAsia="新宋体"/>
          <w:szCs w:val="21"/>
        </w:rPr>
        <w:t>12</w:t>
      </w:r>
      <w:r>
        <w:rPr>
          <w:rFonts w:ascii="新宋体" w:hAnsi="新宋体" w:eastAsia="新宋体"/>
          <w:szCs w:val="21"/>
        </w:rPr>
        <w:t>月</w:t>
      </w:r>
      <w:r>
        <w:rPr>
          <w:rFonts w:hint="eastAsia" w:ascii="新宋体" w:hAnsi="新宋体" w:eastAsia="新宋体"/>
          <w:szCs w:val="21"/>
        </w:rPr>
        <w:t>08</w:t>
      </w:r>
      <w:r>
        <w:rPr>
          <w:rFonts w:ascii="新宋体" w:hAnsi="新宋体" w:eastAsia="新宋体"/>
          <w:szCs w:val="21"/>
        </w:rPr>
        <w:t>日</w:t>
      </w:r>
      <w:r>
        <w:rPr>
          <w:rFonts w:hint="eastAsia" w:ascii="新宋体" w:hAnsi="新宋体" w:eastAsia="新宋体"/>
          <w:szCs w:val="21"/>
        </w:rPr>
        <w:t>14</w:t>
      </w:r>
      <w:r>
        <w:rPr>
          <w:rFonts w:ascii="新宋体" w:hAnsi="新宋体" w:eastAsia="新宋体"/>
          <w:szCs w:val="21"/>
        </w:rPr>
        <w:t>:</w:t>
      </w:r>
      <w:r>
        <w:rPr>
          <w:rFonts w:hint="eastAsia" w:ascii="新宋体" w:hAnsi="新宋体" w:eastAsia="新宋体"/>
          <w:szCs w:val="21"/>
        </w:rPr>
        <w:t>30</w:t>
      </w:r>
      <w:r>
        <w:rPr>
          <w:rFonts w:hint="eastAsia" w:ascii="新宋体" w:hAnsi="新宋体" w:eastAsia="新宋体" w:cs="宋体"/>
          <w:szCs w:val="21"/>
          <w:u w:val="single"/>
        </w:rPr>
        <w:t>（北京时间）</w:t>
      </w:r>
      <w:r>
        <w:rPr>
          <w:rFonts w:ascii="新宋体" w:hAnsi="新宋体" w:eastAsia="新宋体" w:cs="宋体"/>
          <w:kern w:val="0"/>
          <w:szCs w:val="21"/>
        </w:rPr>
        <w:t xml:space="preserve">时。 </w:t>
      </w:r>
    </w:p>
    <w:p w14:paraId="62C456B0">
      <w:pPr>
        <w:spacing w:line="360" w:lineRule="auto"/>
        <w:rPr>
          <w:rFonts w:ascii="新宋体" w:hAnsi="新宋体" w:eastAsia="新宋体" w:cs="宋体"/>
          <w:kern w:val="0"/>
          <w:szCs w:val="21"/>
        </w:rPr>
      </w:pPr>
      <w:r>
        <w:rPr>
          <w:rFonts w:hint="eastAsia" w:ascii="新宋体" w:hAnsi="新宋体" w:eastAsia="新宋体" w:cs="宋体"/>
          <w:kern w:val="0"/>
          <w:szCs w:val="21"/>
        </w:rPr>
        <w:t>2.</w:t>
      </w:r>
      <w:r>
        <w:rPr>
          <w:rFonts w:ascii="新宋体" w:hAnsi="新宋体" w:eastAsia="新宋体" w:cs="宋体"/>
          <w:kern w:val="0"/>
          <w:szCs w:val="21"/>
        </w:rPr>
        <w:t>开标时间和地点</w:t>
      </w:r>
      <w:r>
        <w:rPr>
          <w:rFonts w:hint="eastAsia" w:ascii="新宋体" w:hAnsi="新宋体" w:eastAsia="新宋体" w:cs="宋体"/>
          <w:kern w:val="0"/>
          <w:szCs w:val="21"/>
        </w:rPr>
        <w:t>：</w:t>
      </w:r>
      <w:r>
        <w:rPr>
          <w:rFonts w:ascii="新宋体" w:hAnsi="新宋体" w:eastAsia="新宋体" w:cs="宋体"/>
          <w:kern w:val="0"/>
          <w:szCs w:val="21"/>
        </w:rPr>
        <w:t>定于</w:t>
      </w:r>
      <w:r>
        <w:rPr>
          <w:rFonts w:hint="eastAsia" w:ascii="新宋体" w:hAnsi="新宋体" w:eastAsia="新宋体" w:cs="宋体"/>
          <w:kern w:val="0"/>
          <w:szCs w:val="21"/>
        </w:rPr>
        <w:t>2025</w:t>
      </w:r>
      <w:r>
        <w:rPr>
          <w:rFonts w:ascii="新宋体" w:hAnsi="新宋体" w:eastAsia="新宋体"/>
          <w:szCs w:val="21"/>
        </w:rPr>
        <w:t>年</w:t>
      </w:r>
      <w:r>
        <w:rPr>
          <w:rFonts w:hint="eastAsia" w:ascii="新宋体" w:hAnsi="新宋体" w:eastAsia="新宋体"/>
          <w:szCs w:val="21"/>
        </w:rPr>
        <w:t>12</w:t>
      </w:r>
      <w:r>
        <w:rPr>
          <w:rFonts w:ascii="新宋体" w:hAnsi="新宋体" w:eastAsia="新宋体"/>
          <w:szCs w:val="21"/>
        </w:rPr>
        <w:t>月</w:t>
      </w:r>
      <w:r>
        <w:rPr>
          <w:rFonts w:hint="eastAsia" w:ascii="新宋体" w:hAnsi="新宋体" w:eastAsia="新宋体"/>
          <w:szCs w:val="21"/>
        </w:rPr>
        <w:t>08</w:t>
      </w:r>
      <w:r>
        <w:rPr>
          <w:rFonts w:ascii="新宋体" w:hAnsi="新宋体" w:eastAsia="新宋体"/>
          <w:szCs w:val="21"/>
        </w:rPr>
        <w:t>日</w:t>
      </w:r>
      <w:r>
        <w:rPr>
          <w:rFonts w:hint="eastAsia" w:ascii="新宋体" w:hAnsi="新宋体" w:eastAsia="新宋体"/>
          <w:szCs w:val="21"/>
        </w:rPr>
        <w:t>14</w:t>
      </w:r>
      <w:r>
        <w:rPr>
          <w:rFonts w:ascii="新宋体" w:hAnsi="新宋体" w:eastAsia="新宋体"/>
          <w:szCs w:val="21"/>
        </w:rPr>
        <w:t>:</w:t>
      </w:r>
      <w:r>
        <w:rPr>
          <w:rFonts w:hint="eastAsia" w:ascii="新宋体" w:hAnsi="新宋体" w:eastAsia="新宋体"/>
          <w:szCs w:val="21"/>
        </w:rPr>
        <w:t>30</w:t>
      </w:r>
      <w:r>
        <w:rPr>
          <w:rFonts w:hint="eastAsia" w:ascii="新宋体" w:hAnsi="新宋体" w:eastAsia="新宋体" w:cs="宋体"/>
          <w:szCs w:val="21"/>
          <w:u w:val="single"/>
        </w:rPr>
        <w:t>（北京时间）</w:t>
      </w:r>
      <w:r>
        <w:rPr>
          <w:rFonts w:ascii="新宋体" w:hAnsi="新宋体" w:eastAsia="新宋体" w:cs="宋体"/>
          <w:kern w:val="0"/>
          <w:szCs w:val="21"/>
        </w:rPr>
        <w:t>时，在</w:t>
      </w:r>
      <w:r>
        <w:rPr>
          <w:rFonts w:hint="eastAsia" w:ascii="新宋体" w:hAnsi="新宋体" w:eastAsia="新宋体" w:cs="宋体"/>
          <w:kern w:val="0"/>
          <w:szCs w:val="21"/>
        </w:rPr>
        <w:t>深圳市福田区天安数码城创新科技广场一期B座811室</w:t>
      </w:r>
      <w:r>
        <w:rPr>
          <w:rFonts w:ascii="新宋体" w:hAnsi="新宋体" w:eastAsia="新宋体" w:cs="宋体"/>
          <w:kern w:val="0"/>
          <w:szCs w:val="21"/>
        </w:rPr>
        <w:t>公开开标</w:t>
      </w:r>
      <w:r>
        <w:rPr>
          <w:rFonts w:hint="eastAsia" w:ascii="新宋体" w:hAnsi="新宋体" w:eastAsia="新宋体" w:cs="宋体"/>
          <w:kern w:val="0"/>
          <w:szCs w:val="21"/>
        </w:rPr>
        <w:t>；响应文件不接受邮寄，需法定代表（负责人）或其授权代表委托人送达开标现场，逾期送达的、未送达指定地点的或者不按照招标文件要求密封的投标</w:t>
      </w:r>
      <w:r>
        <w:rPr>
          <w:rFonts w:hint="eastAsia" w:ascii="新宋体" w:hAnsi="新宋体" w:eastAsia="新宋体" w:cs="宋体"/>
          <w:color w:val="000000"/>
          <w:kern w:val="0"/>
          <w:szCs w:val="21"/>
        </w:rPr>
        <w:t>文件，采购人将予以拒收。</w:t>
      </w:r>
    </w:p>
    <w:p w14:paraId="310D8C01">
      <w:pPr>
        <w:spacing w:line="360" w:lineRule="auto"/>
        <w:rPr>
          <w:rFonts w:ascii="新宋体" w:hAnsi="新宋体" w:eastAsia="新宋体" w:cs="宋体"/>
          <w:kern w:val="0"/>
          <w:szCs w:val="21"/>
        </w:rPr>
      </w:pPr>
      <w:r>
        <w:rPr>
          <w:rFonts w:hint="eastAsia" w:ascii="新宋体" w:hAnsi="新宋体" w:eastAsia="新宋体" w:cs="宋体"/>
          <w:b/>
          <w:szCs w:val="21"/>
        </w:rPr>
        <w:t>五、公告期限：</w:t>
      </w:r>
      <w:r>
        <w:rPr>
          <w:rFonts w:hint="eastAsia" w:ascii="新宋体" w:hAnsi="新宋体" w:eastAsia="新宋体" w:cs="宋体"/>
          <w:kern w:val="0"/>
          <w:szCs w:val="21"/>
        </w:rPr>
        <w:t>自本公告发布之日起5个工作日。</w:t>
      </w:r>
    </w:p>
    <w:p w14:paraId="1A292545">
      <w:pPr>
        <w:spacing w:line="360" w:lineRule="auto"/>
        <w:rPr>
          <w:rFonts w:ascii="新宋体" w:hAnsi="新宋体" w:eastAsia="新宋体" w:cs="宋体"/>
          <w:b/>
          <w:szCs w:val="21"/>
        </w:rPr>
      </w:pPr>
      <w:r>
        <w:rPr>
          <w:rFonts w:hint="eastAsia" w:ascii="新宋体" w:hAnsi="新宋体" w:eastAsia="新宋体" w:cs="宋体"/>
          <w:b/>
          <w:szCs w:val="21"/>
        </w:rPr>
        <w:t>六、其他补充事宜</w:t>
      </w:r>
    </w:p>
    <w:p w14:paraId="0F77AC02">
      <w:pPr>
        <w:spacing w:line="360" w:lineRule="auto"/>
        <w:rPr>
          <w:rFonts w:ascii="新宋体" w:hAnsi="新宋体" w:eastAsia="新宋体" w:cs="宋体"/>
          <w:szCs w:val="21"/>
        </w:rPr>
      </w:pPr>
      <w:r>
        <w:rPr>
          <w:rFonts w:hint="eastAsia" w:ascii="新宋体" w:hAnsi="新宋体" w:eastAsia="新宋体" w:cs="宋体"/>
          <w:szCs w:val="21"/>
        </w:rPr>
        <w:t>1.</w:t>
      </w:r>
      <w:r>
        <w:rPr>
          <w:rFonts w:ascii="新宋体" w:hAnsi="新宋体" w:eastAsia="新宋体" w:cs="宋体"/>
          <w:szCs w:val="21"/>
        </w:rPr>
        <w:t>本项目实行网下投标，采用纸质投标文件。</w:t>
      </w:r>
    </w:p>
    <w:p w14:paraId="5BA20345">
      <w:pPr>
        <w:spacing w:line="360" w:lineRule="auto"/>
        <w:rPr>
          <w:rFonts w:ascii="新宋体" w:hAnsi="新宋体" w:eastAsia="新宋体" w:cs="宋体"/>
          <w:szCs w:val="21"/>
        </w:rPr>
      </w:pPr>
      <w:r>
        <w:rPr>
          <w:rFonts w:hint="eastAsia" w:ascii="新宋体" w:hAnsi="新宋体" w:eastAsia="新宋体" w:cs="宋体"/>
          <w:szCs w:val="21"/>
        </w:rPr>
        <w:t>2.</w:t>
      </w:r>
      <w:r>
        <w:rPr>
          <w:rFonts w:ascii="新宋体" w:hAnsi="新宋体" w:eastAsia="新宋体" w:cs="宋体"/>
          <w:szCs w:val="21"/>
        </w:rPr>
        <w:t>采购文件澄清/修改事</w:t>
      </w:r>
      <w:r>
        <w:rPr>
          <w:rFonts w:hint="eastAsia" w:ascii="新宋体" w:hAnsi="新宋体" w:eastAsia="新宋体" w:cs="宋体"/>
          <w:szCs w:val="21"/>
        </w:rPr>
        <w:t>项：2025</w:t>
      </w:r>
      <w:r>
        <w:rPr>
          <w:rFonts w:ascii="新宋体" w:hAnsi="新宋体" w:eastAsia="新宋体"/>
          <w:szCs w:val="21"/>
        </w:rPr>
        <w:t>年</w:t>
      </w:r>
      <w:r>
        <w:rPr>
          <w:rFonts w:hint="eastAsia" w:ascii="新宋体" w:hAnsi="新宋体" w:eastAsia="新宋体"/>
          <w:szCs w:val="21"/>
        </w:rPr>
        <w:t>12</w:t>
      </w:r>
      <w:r>
        <w:rPr>
          <w:rFonts w:ascii="新宋体" w:hAnsi="新宋体" w:eastAsia="新宋体"/>
          <w:szCs w:val="21"/>
        </w:rPr>
        <w:t>月</w:t>
      </w:r>
      <w:r>
        <w:rPr>
          <w:rFonts w:hint="eastAsia" w:ascii="新宋体" w:hAnsi="新宋体" w:eastAsia="新宋体"/>
          <w:szCs w:val="21"/>
        </w:rPr>
        <w:t>04</w:t>
      </w:r>
      <w:r>
        <w:rPr>
          <w:rFonts w:ascii="新宋体" w:hAnsi="新宋体" w:eastAsia="新宋体"/>
          <w:szCs w:val="21"/>
        </w:rPr>
        <w:t>日</w:t>
      </w:r>
      <w:r>
        <w:rPr>
          <w:rFonts w:hint="eastAsia" w:ascii="新宋体" w:hAnsi="新宋体" w:eastAsia="新宋体"/>
          <w:szCs w:val="21"/>
        </w:rPr>
        <w:t>17</w:t>
      </w:r>
      <w:r>
        <w:rPr>
          <w:rFonts w:ascii="新宋体" w:hAnsi="新宋体" w:eastAsia="新宋体"/>
          <w:szCs w:val="21"/>
        </w:rPr>
        <w:t>:</w:t>
      </w:r>
      <w:r>
        <w:rPr>
          <w:rFonts w:hint="eastAsia" w:ascii="新宋体" w:hAnsi="新宋体" w:eastAsia="新宋体"/>
          <w:szCs w:val="21"/>
        </w:rPr>
        <w:t>30</w:t>
      </w:r>
      <w:r>
        <w:rPr>
          <w:rFonts w:hint="eastAsia" w:ascii="新宋体" w:hAnsi="新宋体" w:eastAsia="新宋体" w:cs="宋体"/>
          <w:szCs w:val="21"/>
          <w:u w:val="single"/>
        </w:rPr>
        <w:t>（北京时间）</w:t>
      </w:r>
      <w:r>
        <w:rPr>
          <w:rFonts w:ascii="新宋体" w:hAnsi="新宋体" w:eastAsia="新宋体" w:cs="宋体"/>
          <w:szCs w:val="21"/>
        </w:rPr>
        <w:t>时前，供应商如认为采购文件存在不明确、不清晰和前后不一致等问题，要求对采购文件作出澄清的</w:t>
      </w:r>
      <w:r>
        <w:rPr>
          <w:rFonts w:hint="eastAsia" w:ascii="新宋体" w:hAnsi="新宋体" w:eastAsia="新宋体" w:cs="宋体"/>
          <w:szCs w:val="21"/>
        </w:rPr>
        <w:t>以书面形式通知招标代理机构，逾期不予受理</w:t>
      </w:r>
      <w:r>
        <w:rPr>
          <w:rFonts w:ascii="新宋体" w:hAnsi="新宋体" w:eastAsia="新宋体" w:cs="宋体"/>
          <w:szCs w:val="21"/>
        </w:rPr>
        <w:t>。供应商提出的澄清要求内容如出现“质疑”字眼，将予以退回。</w:t>
      </w:r>
      <w:r>
        <w:rPr>
          <w:rFonts w:hint="eastAsia" w:ascii="新宋体" w:hAnsi="新宋体" w:eastAsia="新宋体" w:cs="宋体"/>
          <w:szCs w:val="21"/>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采购代理机构递交书面质疑函。质疑材料可以采用现场或邮寄方式提交，采用邮寄方式提交的，交邮时间应在本公告发布之日起七个工作日内。现场提交、邮寄地址：深圳市福田区天安数码城创新科技广场一期B座811室。质疑咨询电话：</w:t>
      </w:r>
      <w:r>
        <w:rPr>
          <w:rFonts w:ascii="新宋体" w:hAnsi="新宋体" w:eastAsia="新宋体" w:cs="宋体"/>
          <w:szCs w:val="21"/>
        </w:rPr>
        <w:t>0755-83232102</w:t>
      </w:r>
      <w:r>
        <w:rPr>
          <w:rFonts w:hint="eastAsia" w:ascii="新宋体" w:hAnsi="新宋体" w:eastAsia="新宋体" w:cs="宋体"/>
          <w:szCs w:val="21"/>
        </w:rPr>
        <w:t>。）</w:t>
      </w:r>
      <w:r>
        <w:rPr>
          <w:rFonts w:ascii="新宋体" w:hAnsi="新宋体" w:eastAsia="新宋体" w:cs="宋体"/>
          <w:szCs w:val="21"/>
        </w:rPr>
        <w:t xml:space="preserve"> </w:t>
      </w:r>
    </w:p>
    <w:p w14:paraId="17585731">
      <w:pPr>
        <w:spacing w:line="360" w:lineRule="auto"/>
        <w:rPr>
          <w:rFonts w:ascii="新宋体" w:hAnsi="新宋体" w:eastAsia="新宋体" w:cs="宋体"/>
          <w:szCs w:val="21"/>
        </w:rPr>
      </w:pPr>
      <w:r>
        <w:rPr>
          <w:rFonts w:hint="eastAsia" w:ascii="新宋体" w:hAnsi="新宋体" w:eastAsia="新宋体" w:cs="宋体"/>
          <w:szCs w:val="21"/>
        </w:rPr>
        <w:t>3.代理机构</w:t>
      </w:r>
      <w:r>
        <w:rPr>
          <w:rFonts w:ascii="新宋体" w:hAnsi="新宋体" w:eastAsia="新宋体" w:cs="宋体"/>
          <w:szCs w:val="21"/>
        </w:rPr>
        <w:t xml:space="preserve">有权对中标供应商就本项目要求提供的相关证明资料（原件）进行审查。供应商提供虚假资料被查实的，则可能面临被取消本项目中标资格、列入不良行为记录名单和三年内禁止参与深圳市政府采购活动的风险。 </w:t>
      </w:r>
    </w:p>
    <w:p w14:paraId="15D48346">
      <w:pPr>
        <w:spacing w:line="360" w:lineRule="auto"/>
        <w:rPr>
          <w:rFonts w:ascii="新宋体" w:hAnsi="新宋体" w:eastAsia="新宋体" w:cs="宋体"/>
          <w:szCs w:val="21"/>
        </w:rPr>
      </w:pPr>
      <w:r>
        <w:rPr>
          <w:rFonts w:hint="eastAsia" w:ascii="新宋体" w:hAnsi="新宋体" w:eastAsia="新宋体" w:cs="宋体"/>
          <w:szCs w:val="21"/>
        </w:rPr>
        <w:t>4.</w:t>
      </w:r>
      <w:r>
        <w:rPr>
          <w:rFonts w:ascii="新宋体" w:hAnsi="新宋体" w:eastAsia="新宋体" w:cs="宋体"/>
          <w:szCs w:val="21"/>
        </w:rPr>
        <w:t>本招标公告及本项目招标文件所涉及的时间一律为北京时间。投标人有义务在招标活动期间浏览</w:t>
      </w:r>
      <w:r>
        <w:rPr>
          <w:rFonts w:hint="eastAsia" w:ascii="新宋体" w:hAnsi="新宋体" w:eastAsia="新宋体" w:cs="宋体"/>
          <w:szCs w:val="21"/>
        </w:rPr>
        <w:t>深圳公共资源交易中心</w:t>
      </w:r>
      <w:r>
        <w:rPr>
          <w:rFonts w:ascii="新宋体" w:hAnsi="新宋体" w:eastAsia="新宋体" w:cs="宋体"/>
          <w:szCs w:val="21"/>
        </w:rPr>
        <w:t>网</w:t>
      </w:r>
      <w:r>
        <w:rPr>
          <w:rFonts w:hint="eastAsia" w:ascii="新宋体" w:hAnsi="新宋体" w:eastAsia="新宋体" w:cs="宋体"/>
          <w:szCs w:val="21"/>
        </w:rPr>
        <w:t>、深圳市瑞凝信招标咨询有限公司招标网</w:t>
      </w:r>
      <w:r>
        <w:rPr>
          <w:rFonts w:ascii="新宋体" w:hAnsi="新宋体" w:eastAsia="新宋体" w:cs="宋体"/>
          <w:szCs w:val="21"/>
        </w:rPr>
        <w:t>，</w:t>
      </w:r>
      <w:r>
        <w:rPr>
          <w:rFonts w:hint="eastAsia" w:ascii="新宋体" w:hAnsi="新宋体" w:eastAsia="新宋体" w:cs="宋体"/>
          <w:szCs w:val="21"/>
        </w:rPr>
        <w:t>在以上网站公布的与本次招标项目有关的信息视为已送达各投标人</w:t>
      </w:r>
      <w:r>
        <w:rPr>
          <w:rFonts w:ascii="新宋体" w:hAnsi="新宋体" w:eastAsia="新宋体" w:cs="宋体"/>
          <w:szCs w:val="21"/>
        </w:rPr>
        <w:t>。</w:t>
      </w:r>
    </w:p>
    <w:p w14:paraId="10FAD3B4">
      <w:pPr>
        <w:spacing w:line="360" w:lineRule="auto"/>
        <w:rPr>
          <w:rFonts w:ascii="新宋体" w:hAnsi="新宋体" w:eastAsia="新宋体" w:cs="宋体"/>
          <w:color w:val="FF0000"/>
          <w:szCs w:val="21"/>
        </w:rPr>
      </w:pPr>
      <w:r>
        <w:rPr>
          <w:rFonts w:hint="eastAsia" w:ascii="新宋体" w:hAnsi="新宋体" w:eastAsia="新宋体" w:cs="宋体"/>
          <w:szCs w:val="21"/>
        </w:rPr>
        <w:t>5.</w:t>
      </w:r>
      <w:r>
        <w:rPr>
          <w:rFonts w:hint="eastAsia" w:ascii="新宋体" w:hAnsi="新宋体" w:eastAsia="新宋体" w:cs="宋体"/>
          <w:bCs/>
          <w:color w:val="333333"/>
          <w:kern w:val="0"/>
          <w:szCs w:val="21"/>
        </w:rPr>
        <w:t>在提交投标文件截止日对参加登记报名的供应商进行信用信息查询，通过“信用中国”网站、中国政府采购网、深圳市政府采购监督管理网等渠道查询相关主体信用记录，对列入失信被执行人、重大税收违法案件当事人名单、政府采购严重违法失信行为记录名单及其他不符合《中华人民共和国政府采购法》第二十二条规定条件的供应商，将取消其参与本次投标的资格。</w:t>
      </w:r>
    </w:p>
    <w:p w14:paraId="5A898C66">
      <w:pPr>
        <w:spacing w:line="360" w:lineRule="auto"/>
        <w:rPr>
          <w:rFonts w:ascii="新宋体" w:hAnsi="新宋体" w:eastAsia="新宋体" w:cs="宋体"/>
          <w:bCs/>
          <w:kern w:val="0"/>
          <w:szCs w:val="21"/>
        </w:rPr>
      </w:pPr>
      <w:r>
        <w:rPr>
          <w:rFonts w:hint="eastAsia" w:ascii="新宋体" w:hAnsi="新宋体" w:eastAsia="新宋体" w:cs="宋体"/>
          <w:szCs w:val="21"/>
        </w:rPr>
        <w:t>6.</w:t>
      </w:r>
      <w:r>
        <w:rPr>
          <w:rFonts w:hint="eastAsia" w:ascii="新宋体" w:hAnsi="新宋体" w:eastAsia="新宋体" w:cs="宋体"/>
          <w:bCs/>
          <w:kern w:val="0"/>
          <w:szCs w:val="21"/>
        </w:rPr>
        <w:t>评标方法：综合评分法。</w:t>
      </w:r>
    </w:p>
    <w:p w14:paraId="15207289">
      <w:pPr>
        <w:spacing w:line="360" w:lineRule="auto"/>
        <w:rPr>
          <w:rFonts w:ascii="新宋体" w:hAnsi="新宋体" w:eastAsia="新宋体" w:cs="宋体"/>
          <w:b/>
          <w:szCs w:val="21"/>
        </w:rPr>
      </w:pPr>
      <w:r>
        <w:rPr>
          <w:rFonts w:hint="eastAsia" w:ascii="新宋体" w:hAnsi="新宋体" w:eastAsia="新宋体" w:cs="宋体"/>
          <w:b/>
          <w:szCs w:val="21"/>
        </w:rPr>
        <w:t>七、对本次采购提出询问，请按</w:t>
      </w:r>
      <w:r>
        <w:rPr>
          <w:rFonts w:ascii="新宋体" w:hAnsi="新宋体" w:eastAsia="新宋体" w:cs="宋体"/>
          <w:b/>
          <w:szCs w:val="21"/>
        </w:rPr>
        <w:t>以下方式</w:t>
      </w:r>
      <w:r>
        <w:rPr>
          <w:rFonts w:hint="eastAsia" w:ascii="新宋体" w:hAnsi="新宋体" w:eastAsia="新宋体" w:cs="宋体"/>
          <w:b/>
          <w:szCs w:val="21"/>
        </w:rPr>
        <w:t>联系。</w:t>
      </w:r>
    </w:p>
    <w:p w14:paraId="08EB2FF9">
      <w:pPr>
        <w:spacing w:line="360" w:lineRule="auto"/>
        <w:rPr>
          <w:rFonts w:ascii="新宋体" w:hAnsi="新宋体" w:eastAsia="新宋体"/>
          <w:szCs w:val="21"/>
        </w:rPr>
      </w:pPr>
      <w:r>
        <w:rPr>
          <w:rFonts w:hint="eastAsia" w:ascii="新宋体" w:hAnsi="新宋体" w:eastAsia="新宋体" w:cs="宋体"/>
          <w:szCs w:val="21"/>
        </w:rPr>
        <w:t>1.采购人信息</w:t>
      </w:r>
    </w:p>
    <w:p w14:paraId="6F1260F4">
      <w:pPr>
        <w:spacing w:line="360" w:lineRule="auto"/>
        <w:rPr>
          <w:rFonts w:ascii="新宋体" w:hAnsi="新宋体" w:eastAsia="新宋体"/>
          <w:szCs w:val="21"/>
        </w:rPr>
      </w:pPr>
      <w:r>
        <w:rPr>
          <w:rFonts w:hint="eastAsia" w:ascii="新宋体" w:hAnsi="新宋体" w:eastAsia="新宋体"/>
          <w:szCs w:val="21"/>
        </w:rPr>
        <w:t>名 称：</w:t>
      </w:r>
      <w:r>
        <w:rPr>
          <w:rFonts w:hint="eastAsia" w:ascii="新宋体" w:hAnsi="新宋体" w:eastAsia="新宋体"/>
          <w:szCs w:val="21"/>
          <w:u w:val="single"/>
        </w:rPr>
        <w:t>深圳市龙岗区南京师范大学附属龙岗学校</w:t>
      </w:r>
    </w:p>
    <w:p w14:paraId="4F1351D8">
      <w:pPr>
        <w:spacing w:line="360" w:lineRule="auto"/>
        <w:rPr>
          <w:rFonts w:ascii="新宋体" w:hAnsi="新宋体" w:eastAsia="新宋体"/>
          <w:szCs w:val="21"/>
        </w:rPr>
      </w:pPr>
      <w:r>
        <w:rPr>
          <w:rFonts w:hint="eastAsia" w:ascii="新宋体" w:hAnsi="新宋体" w:eastAsia="新宋体"/>
          <w:szCs w:val="21"/>
        </w:rPr>
        <w:t>地 址：</w:t>
      </w:r>
      <w:r>
        <w:rPr>
          <w:rFonts w:hint="eastAsia" w:ascii="新宋体" w:hAnsi="新宋体" w:eastAsia="新宋体"/>
          <w:szCs w:val="21"/>
          <w:u w:val="single"/>
        </w:rPr>
        <w:t>深圳市龙岗区吉华街道三联社区文樾路3号</w:t>
      </w:r>
    </w:p>
    <w:p w14:paraId="561C1B58">
      <w:pPr>
        <w:spacing w:line="360" w:lineRule="auto"/>
        <w:rPr>
          <w:rFonts w:ascii="新宋体" w:hAnsi="新宋体" w:eastAsia="新宋体"/>
          <w:szCs w:val="21"/>
          <w:u w:val="single"/>
        </w:rPr>
      </w:pPr>
      <w:r>
        <w:rPr>
          <w:rFonts w:hint="eastAsia" w:ascii="新宋体" w:hAnsi="新宋体" w:eastAsia="新宋体"/>
          <w:szCs w:val="21"/>
        </w:rPr>
        <w:t>联系方式：</w:t>
      </w:r>
      <w:r>
        <w:rPr>
          <w:rFonts w:hint="eastAsia" w:ascii="新宋体" w:hAnsi="新宋体" w:eastAsia="新宋体"/>
          <w:szCs w:val="21"/>
          <w:u w:val="single"/>
        </w:rPr>
        <w:t>0755-84510335</w:t>
      </w:r>
    </w:p>
    <w:p w14:paraId="6C2D25A2">
      <w:pPr>
        <w:spacing w:line="360" w:lineRule="auto"/>
        <w:rPr>
          <w:rFonts w:ascii="新宋体" w:hAnsi="新宋体" w:eastAsia="新宋体"/>
          <w:szCs w:val="21"/>
        </w:rPr>
      </w:pPr>
      <w:r>
        <w:rPr>
          <w:rFonts w:hint="eastAsia" w:ascii="新宋体" w:hAnsi="新宋体" w:eastAsia="新宋体" w:cs="宋体"/>
          <w:szCs w:val="21"/>
        </w:rPr>
        <w:t>2.采购代理机构信息</w:t>
      </w:r>
    </w:p>
    <w:p w14:paraId="757DA8A4">
      <w:pPr>
        <w:spacing w:line="360" w:lineRule="auto"/>
        <w:rPr>
          <w:rFonts w:ascii="新宋体" w:hAnsi="新宋体" w:eastAsia="新宋体"/>
          <w:szCs w:val="21"/>
        </w:rPr>
      </w:pPr>
      <w:r>
        <w:rPr>
          <w:rFonts w:hint="eastAsia" w:ascii="新宋体" w:hAnsi="新宋体" w:eastAsia="新宋体"/>
          <w:szCs w:val="21"/>
        </w:rPr>
        <w:t>名 称：</w:t>
      </w:r>
      <w:r>
        <w:rPr>
          <w:rFonts w:hint="eastAsia" w:ascii="新宋体" w:hAnsi="新宋体" w:eastAsia="新宋体"/>
          <w:szCs w:val="21"/>
          <w:u w:val="single"/>
        </w:rPr>
        <w:t>深圳市瑞凝信招标咨询有限公司</w:t>
      </w:r>
    </w:p>
    <w:p w14:paraId="63AB7D52">
      <w:pPr>
        <w:spacing w:line="360" w:lineRule="auto"/>
        <w:rPr>
          <w:rFonts w:ascii="新宋体" w:hAnsi="新宋体" w:eastAsia="新宋体"/>
          <w:szCs w:val="21"/>
          <w:u w:val="single"/>
        </w:rPr>
      </w:pPr>
      <w:r>
        <w:rPr>
          <w:rFonts w:hint="eastAsia" w:ascii="新宋体" w:hAnsi="新宋体" w:eastAsia="新宋体"/>
          <w:szCs w:val="21"/>
        </w:rPr>
        <w:t>地　址：</w:t>
      </w:r>
      <w:r>
        <w:rPr>
          <w:rFonts w:hint="eastAsia" w:ascii="新宋体" w:hAnsi="新宋体" w:eastAsia="新宋体"/>
          <w:szCs w:val="21"/>
          <w:u w:val="single"/>
        </w:rPr>
        <w:t>深圳市福田区天安数码城创新科技广场一期B座811</w:t>
      </w:r>
    </w:p>
    <w:p w14:paraId="4A275984">
      <w:pPr>
        <w:spacing w:line="360" w:lineRule="auto"/>
        <w:rPr>
          <w:rFonts w:ascii="新宋体" w:hAnsi="新宋体" w:eastAsia="新宋体"/>
          <w:szCs w:val="21"/>
        </w:rPr>
      </w:pPr>
      <w:r>
        <w:rPr>
          <w:rFonts w:hint="eastAsia" w:ascii="新宋体" w:hAnsi="新宋体" w:eastAsia="新宋体"/>
          <w:szCs w:val="21"/>
        </w:rPr>
        <w:t>联系方式：</w:t>
      </w:r>
      <w:r>
        <w:rPr>
          <w:rFonts w:ascii="新宋体" w:hAnsi="新宋体" w:eastAsia="新宋体"/>
          <w:szCs w:val="21"/>
          <w:u w:val="single"/>
        </w:rPr>
        <w:t>0755-</w:t>
      </w:r>
      <w:r>
        <w:rPr>
          <w:rFonts w:hint="eastAsia" w:ascii="新宋体" w:hAnsi="新宋体" w:eastAsia="新宋体"/>
          <w:szCs w:val="21"/>
          <w:u w:val="single"/>
        </w:rPr>
        <w:t>88602731</w:t>
      </w:r>
    </w:p>
    <w:p w14:paraId="695FD4F0">
      <w:pPr>
        <w:spacing w:line="360" w:lineRule="auto"/>
        <w:rPr>
          <w:rFonts w:ascii="新宋体" w:hAnsi="新宋体" w:eastAsia="新宋体"/>
          <w:szCs w:val="21"/>
          <w:u w:val="single"/>
        </w:rPr>
      </w:pPr>
      <w:r>
        <w:rPr>
          <w:rFonts w:hint="eastAsia" w:ascii="新宋体" w:hAnsi="新宋体" w:eastAsia="新宋体" w:cs="宋体"/>
          <w:szCs w:val="21"/>
        </w:rPr>
        <w:t>3.项目</w:t>
      </w:r>
      <w:r>
        <w:rPr>
          <w:rFonts w:ascii="新宋体" w:hAnsi="新宋体" w:eastAsia="新宋体" w:cs="宋体"/>
          <w:szCs w:val="21"/>
        </w:rPr>
        <w:t>联系方式</w:t>
      </w:r>
    </w:p>
    <w:p w14:paraId="27C92BB8">
      <w:pPr>
        <w:spacing w:line="360" w:lineRule="auto"/>
        <w:rPr>
          <w:rFonts w:ascii="新宋体" w:hAnsi="新宋体" w:eastAsia="新宋体"/>
          <w:szCs w:val="21"/>
        </w:rPr>
      </w:pPr>
      <w:r>
        <w:rPr>
          <w:rFonts w:hint="eastAsia" w:ascii="新宋体" w:hAnsi="新宋体" w:eastAsia="新宋体"/>
          <w:szCs w:val="21"/>
        </w:rPr>
        <w:t>项目联系人：</w:t>
      </w:r>
      <w:r>
        <w:rPr>
          <w:rFonts w:hint="eastAsia" w:ascii="新宋体" w:hAnsi="新宋体" w:eastAsia="新宋体"/>
          <w:szCs w:val="21"/>
          <w:u w:val="single"/>
        </w:rPr>
        <w:t>方先生</w:t>
      </w:r>
    </w:p>
    <w:p w14:paraId="0317A319">
      <w:pPr>
        <w:spacing w:line="360" w:lineRule="auto"/>
        <w:rPr>
          <w:rFonts w:ascii="新宋体" w:hAnsi="新宋体" w:eastAsia="新宋体"/>
          <w:szCs w:val="21"/>
          <w:u w:val="single"/>
        </w:rPr>
      </w:pPr>
      <w:r>
        <w:rPr>
          <w:rFonts w:hint="eastAsia" w:ascii="新宋体" w:hAnsi="新宋体" w:eastAsia="新宋体"/>
          <w:szCs w:val="21"/>
        </w:rPr>
        <w:t>电　话：</w:t>
      </w:r>
      <w:r>
        <w:rPr>
          <w:rFonts w:ascii="新宋体" w:hAnsi="新宋体" w:eastAsia="新宋体"/>
          <w:szCs w:val="21"/>
          <w:u w:val="single"/>
        </w:rPr>
        <w:t>0755-</w:t>
      </w:r>
      <w:r>
        <w:rPr>
          <w:rFonts w:hint="eastAsia" w:ascii="新宋体" w:hAnsi="新宋体" w:eastAsia="新宋体"/>
          <w:szCs w:val="21"/>
          <w:u w:val="single"/>
        </w:rPr>
        <w:t>88602731</w:t>
      </w:r>
    </w:p>
    <w:p w14:paraId="7A9C0791">
      <w:pPr>
        <w:spacing w:line="360" w:lineRule="auto"/>
        <w:rPr>
          <w:rFonts w:ascii="新宋体" w:hAnsi="新宋体" w:eastAsia="新宋体"/>
          <w:szCs w:val="21"/>
        </w:rPr>
      </w:pPr>
    </w:p>
    <w:p w14:paraId="00ABBAF6">
      <w:pPr>
        <w:pStyle w:val="38"/>
        <w:spacing w:line="360" w:lineRule="auto"/>
        <w:jc w:val="right"/>
        <w:textAlignment w:val="baseline"/>
        <w:rPr>
          <w:rFonts w:ascii="新宋体" w:hAnsi="新宋体" w:eastAsia="新宋体"/>
          <w:bCs/>
          <w:sz w:val="21"/>
          <w:szCs w:val="21"/>
          <w:shd w:val="clear" w:color="auto" w:fill="FFFFFF"/>
        </w:rPr>
      </w:pPr>
      <w:r>
        <w:rPr>
          <w:rFonts w:hint="eastAsia" w:ascii="新宋体" w:hAnsi="新宋体" w:eastAsia="新宋体"/>
          <w:bCs/>
          <w:color w:val="333333"/>
          <w:sz w:val="21"/>
          <w:szCs w:val="21"/>
        </w:rPr>
        <w:t>深圳</w:t>
      </w:r>
      <w:r>
        <w:rPr>
          <w:rFonts w:hint="eastAsia" w:ascii="新宋体" w:hAnsi="新宋体" w:eastAsia="新宋体"/>
          <w:bCs/>
          <w:sz w:val="21"/>
          <w:szCs w:val="21"/>
        </w:rPr>
        <w:t>市瑞凝信招标咨询有限公司</w:t>
      </w:r>
    </w:p>
    <w:p w14:paraId="15769962">
      <w:pPr>
        <w:jc w:val="right"/>
      </w:pPr>
      <w:r>
        <w:rPr>
          <w:rFonts w:hint="eastAsia" w:ascii="新宋体" w:hAnsi="新宋体" w:eastAsia="新宋体"/>
          <w:bCs/>
          <w:szCs w:val="21"/>
        </w:rPr>
        <w:t>2025年11月27日</w:t>
      </w:r>
    </w:p>
    <w:p w14:paraId="67239A46"/>
    <w:p w14:paraId="05B7BFE8"/>
    <w:p w14:paraId="3C79CD52"/>
    <w:p w14:paraId="5D19249A"/>
    <w:p w14:paraId="5C271CC7"/>
    <w:p w14:paraId="0311EAD0"/>
    <w:p w14:paraId="057A1308"/>
    <w:p w14:paraId="55978F91"/>
    <w:p w14:paraId="1A61DD65"/>
    <w:p w14:paraId="5C29C065">
      <w:pPr>
        <w:widowControl/>
        <w:jc w:val="left"/>
      </w:pPr>
      <w:r>
        <w:br w:type="page"/>
      </w:r>
      <w:bookmarkStart w:id="52" w:name="_GoBack"/>
      <w:bookmarkEnd w:id="52"/>
    </w:p>
    <w:p w14:paraId="180E91E5">
      <w:pPr>
        <w:pStyle w:val="6"/>
        <w:rPr>
          <w:rFonts w:ascii="新宋体" w:hAnsi="新宋体" w:eastAsia="新宋体"/>
          <w:kern w:val="44"/>
          <w:sz w:val="30"/>
          <w:szCs w:val="30"/>
        </w:rPr>
      </w:pPr>
      <w:bookmarkStart w:id="1" w:name="bt其他资料由投标人自定"/>
      <w:bookmarkEnd w:id="1"/>
      <w:bookmarkStart w:id="2" w:name="bt技术标投标文件格式"/>
      <w:bookmarkEnd w:id="2"/>
      <w:bookmarkStart w:id="3" w:name="bt商务标投标文件格式"/>
      <w:bookmarkEnd w:id="3"/>
      <w:bookmarkStart w:id="4" w:name="bt投标报价汇总表"/>
      <w:bookmarkEnd w:id="4"/>
      <w:bookmarkStart w:id="5" w:name="bt投标函"/>
      <w:bookmarkEnd w:id="5"/>
      <w:bookmarkStart w:id="6" w:name="bt本工程承诺书"/>
      <w:bookmarkEnd w:id="6"/>
      <w:bookmarkStart w:id="7" w:name="bt合同格式"/>
      <w:bookmarkEnd w:id="7"/>
      <w:bookmarkStart w:id="8" w:name="bt投标人须知"/>
      <w:bookmarkEnd w:id="8"/>
      <w:bookmarkStart w:id="9" w:name="bt项目管理班子配备情况"/>
      <w:bookmarkEnd w:id="9"/>
      <w:bookmarkStart w:id="10" w:name="合同格式"/>
      <w:bookmarkEnd w:id="10"/>
      <w:bookmarkStart w:id="11" w:name="bt合同条款"/>
      <w:bookmarkEnd w:id="11"/>
      <w:bookmarkStart w:id="12" w:name="bt合同条款及格式"/>
      <w:bookmarkEnd w:id="12"/>
      <w:bookmarkStart w:id="13" w:name="bt投标文件签署授权委托书"/>
      <w:bookmarkEnd w:id="13"/>
      <w:bookmarkStart w:id="14" w:name="bt开标一览表"/>
      <w:bookmarkEnd w:id="14"/>
      <w:bookmarkStart w:id="15" w:name="bt说明"/>
      <w:bookmarkEnd w:id="15"/>
      <w:bookmarkStart w:id="16" w:name="bt投标人情况介绍"/>
      <w:bookmarkEnd w:id="16"/>
      <w:bookmarkStart w:id="17" w:name="bt其他资料2"/>
      <w:bookmarkEnd w:id="17"/>
      <w:r>
        <w:rPr>
          <w:rFonts w:hint="eastAsia" w:ascii="新宋体" w:hAnsi="新宋体" w:eastAsia="新宋体"/>
          <w:kern w:val="44"/>
          <w:sz w:val="30"/>
          <w:szCs w:val="30"/>
        </w:rPr>
        <w:t>第二章  招标项目需求</w:t>
      </w:r>
    </w:p>
    <w:p w14:paraId="3F520F33">
      <w:pPr>
        <w:pStyle w:val="4"/>
        <w:jc w:val="left"/>
        <w:rPr>
          <w:rFonts w:ascii="新宋体" w:hAnsi="新宋体" w:eastAsia="新宋体"/>
          <w:kern w:val="44"/>
          <w:sz w:val="30"/>
          <w:szCs w:val="30"/>
        </w:rPr>
      </w:pPr>
      <w:r>
        <w:rPr>
          <w:rFonts w:hint="eastAsia" w:ascii="新宋体" w:hAnsi="新宋体" w:eastAsia="新宋体"/>
          <w:kern w:val="44"/>
          <w:sz w:val="30"/>
          <w:szCs w:val="30"/>
        </w:rPr>
        <w:t>一、对通用条款的补充内容</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012"/>
        <w:gridCol w:w="6239"/>
      </w:tblGrid>
      <w:tr w14:paraId="14B4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14:paraId="5D0BE5B9">
            <w:pPr>
              <w:spacing w:line="276" w:lineRule="auto"/>
              <w:jc w:val="center"/>
              <w:rPr>
                <w:rFonts w:ascii="新宋体" w:hAnsi="新宋体" w:eastAsia="新宋体"/>
                <w:b/>
                <w:bCs/>
              </w:rPr>
            </w:pPr>
            <w:r>
              <w:rPr>
                <w:rFonts w:hint="eastAsia" w:ascii="新宋体" w:hAnsi="新宋体" w:eastAsia="新宋体"/>
                <w:b/>
                <w:bCs/>
              </w:rPr>
              <w:t>序号</w:t>
            </w:r>
          </w:p>
        </w:tc>
        <w:tc>
          <w:tcPr>
            <w:tcW w:w="2012" w:type="dxa"/>
            <w:vAlign w:val="center"/>
          </w:tcPr>
          <w:p w14:paraId="16D0ADE8">
            <w:pPr>
              <w:spacing w:line="276" w:lineRule="auto"/>
              <w:jc w:val="center"/>
              <w:rPr>
                <w:rFonts w:ascii="新宋体" w:hAnsi="新宋体" w:eastAsia="新宋体"/>
                <w:b/>
                <w:bCs/>
              </w:rPr>
            </w:pPr>
            <w:r>
              <w:rPr>
                <w:rFonts w:hint="eastAsia" w:ascii="新宋体" w:hAnsi="新宋体" w:eastAsia="新宋体"/>
                <w:b/>
                <w:bCs/>
              </w:rPr>
              <w:t>内   容</w:t>
            </w:r>
          </w:p>
        </w:tc>
        <w:tc>
          <w:tcPr>
            <w:tcW w:w="6239" w:type="dxa"/>
            <w:vAlign w:val="center"/>
          </w:tcPr>
          <w:p w14:paraId="474BDD6F">
            <w:pPr>
              <w:spacing w:line="276" w:lineRule="auto"/>
              <w:jc w:val="center"/>
              <w:rPr>
                <w:rFonts w:ascii="新宋体" w:hAnsi="新宋体" w:eastAsia="新宋体"/>
                <w:b/>
                <w:bCs/>
              </w:rPr>
            </w:pPr>
            <w:r>
              <w:rPr>
                <w:rFonts w:hint="eastAsia" w:ascii="新宋体" w:hAnsi="新宋体" w:eastAsia="新宋体"/>
                <w:b/>
                <w:bCs/>
              </w:rPr>
              <w:t>规      定</w:t>
            </w:r>
          </w:p>
        </w:tc>
      </w:tr>
      <w:tr w14:paraId="4784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14:paraId="2EA9715A">
            <w:pPr>
              <w:spacing w:line="276" w:lineRule="auto"/>
              <w:jc w:val="center"/>
              <w:rPr>
                <w:rFonts w:ascii="新宋体" w:hAnsi="新宋体" w:eastAsia="新宋体"/>
              </w:rPr>
            </w:pPr>
            <w:r>
              <w:rPr>
                <w:rFonts w:hint="eastAsia" w:ascii="新宋体" w:hAnsi="新宋体" w:eastAsia="新宋体"/>
              </w:rPr>
              <w:t>1</w:t>
            </w:r>
          </w:p>
        </w:tc>
        <w:tc>
          <w:tcPr>
            <w:tcW w:w="2012" w:type="dxa"/>
            <w:vAlign w:val="center"/>
          </w:tcPr>
          <w:p w14:paraId="1EC4869D">
            <w:pPr>
              <w:spacing w:line="276" w:lineRule="auto"/>
              <w:rPr>
                <w:rFonts w:ascii="新宋体" w:hAnsi="新宋体" w:eastAsia="新宋体"/>
              </w:rPr>
            </w:pPr>
            <w:r>
              <w:rPr>
                <w:rFonts w:hint="eastAsia" w:ascii="新宋体" w:hAnsi="新宋体" w:eastAsia="新宋体"/>
              </w:rPr>
              <w:t>联合体投标</w:t>
            </w:r>
          </w:p>
        </w:tc>
        <w:tc>
          <w:tcPr>
            <w:tcW w:w="6239" w:type="dxa"/>
            <w:vAlign w:val="center"/>
          </w:tcPr>
          <w:p w14:paraId="197B156A">
            <w:pPr>
              <w:spacing w:line="276" w:lineRule="auto"/>
              <w:rPr>
                <w:rFonts w:ascii="新宋体" w:hAnsi="新宋体" w:eastAsia="新宋体"/>
                <w:snapToGrid w:val="0"/>
                <w:kern w:val="0"/>
                <w:szCs w:val="32"/>
                <w:u w:val="single"/>
                <w:lang w:val="zh-CN"/>
              </w:rPr>
            </w:pPr>
            <w:r>
              <w:rPr>
                <w:rFonts w:hint="eastAsia" w:ascii="新宋体" w:hAnsi="新宋体" w:eastAsia="新宋体"/>
                <w:snapToGrid w:val="0"/>
                <w:kern w:val="0"/>
                <w:szCs w:val="32"/>
                <w:u w:val="single"/>
                <w:lang w:val="zh-CN"/>
              </w:rPr>
              <w:t>见《招标公告》中“投标人资格要求”部分的相关内容</w:t>
            </w:r>
          </w:p>
        </w:tc>
      </w:tr>
      <w:tr w14:paraId="53BC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14:paraId="1769E821">
            <w:pPr>
              <w:spacing w:line="276" w:lineRule="auto"/>
              <w:jc w:val="center"/>
              <w:rPr>
                <w:rFonts w:ascii="新宋体" w:hAnsi="新宋体" w:eastAsia="新宋体"/>
              </w:rPr>
            </w:pPr>
            <w:r>
              <w:rPr>
                <w:rFonts w:hint="eastAsia" w:ascii="新宋体" w:hAnsi="新宋体" w:eastAsia="新宋体"/>
              </w:rPr>
              <w:t>2</w:t>
            </w:r>
          </w:p>
        </w:tc>
        <w:tc>
          <w:tcPr>
            <w:tcW w:w="2012" w:type="dxa"/>
            <w:vAlign w:val="center"/>
          </w:tcPr>
          <w:p w14:paraId="3CE1532A">
            <w:pPr>
              <w:spacing w:line="276" w:lineRule="auto"/>
              <w:rPr>
                <w:rFonts w:ascii="新宋体" w:hAnsi="新宋体" w:eastAsia="新宋体"/>
              </w:rPr>
            </w:pPr>
            <w:r>
              <w:rPr>
                <w:rFonts w:hint="eastAsia" w:ascii="新宋体" w:hAnsi="新宋体" w:eastAsia="新宋体"/>
              </w:rPr>
              <w:t>投标有效期</w:t>
            </w:r>
          </w:p>
        </w:tc>
        <w:tc>
          <w:tcPr>
            <w:tcW w:w="6239" w:type="dxa"/>
            <w:vAlign w:val="center"/>
          </w:tcPr>
          <w:p w14:paraId="583D499D">
            <w:pPr>
              <w:spacing w:line="276" w:lineRule="auto"/>
              <w:rPr>
                <w:rFonts w:ascii="新宋体" w:hAnsi="新宋体" w:eastAsia="新宋体"/>
              </w:rPr>
            </w:pPr>
            <w:r>
              <w:rPr>
                <w:rFonts w:hint="eastAsia" w:ascii="新宋体" w:hAnsi="新宋体" w:eastAsia="新宋体"/>
                <w:u w:val="single"/>
              </w:rPr>
              <w:t>120</w:t>
            </w:r>
            <w:r>
              <w:rPr>
                <w:rFonts w:ascii="新宋体" w:hAnsi="新宋体" w:eastAsia="新宋体"/>
                <w:u w:val="single"/>
              </w:rPr>
              <w:t>日历天</w:t>
            </w:r>
            <w:r>
              <w:rPr>
                <w:rFonts w:ascii="新宋体" w:hAnsi="新宋体" w:eastAsia="新宋体"/>
              </w:rPr>
              <w:t>（从投标截止之日算起）</w:t>
            </w:r>
          </w:p>
        </w:tc>
      </w:tr>
      <w:tr w14:paraId="705A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14:paraId="3D78C016">
            <w:pPr>
              <w:spacing w:line="276" w:lineRule="auto"/>
              <w:jc w:val="center"/>
              <w:rPr>
                <w:rFonts w:ascii="新宋体" w:hAnsi="新宋体" w:eastAsia="新宋体"/>
              </w:rPr>
            </w:pPr>
            <w:r>
              <w:rPr>
                <w:rFonts w:hint="eastAsia" w:ascii="新宋体" w:hAnsi="新宋体" w:eastAsia="新宋体"/>
              </w:rPr>
              <w:t>3</w:t>
            </w:r>
          </w:p>
        </w:tc>
        <w:tc>
          <w:tcPr>
            <w:tcW w:w="2012" w:type="dxa"/>
            <w:vAlign w:val="center"/>
          </w:tcPr>
          <w:p w14:paraId="39CE319E">
            <w:pPr>
              <w:spacing w:line="276" w:lineRule="auto"/>
              <w:rPr>
                <w:rFonts w:ascii="新宋体" w:hAnsi="新宋体" w:eastAsia="新宋体"/>
              </w:rPr>
            </w:pPr>
            <w:r>
              <w:rPr>
                <w:rFonts w:hint="eastAsia" w:ascii="新宋体" w:hAnsi="新宋体" w:eastAsia="新宋体"/>
              </w:rPr>
              <w:t>投标人的替代方案</w:t>
            </w:r>
          </w:p>
        </w:tc>
        <w:tc>
          <w:tcPr>
            <w:tcW w:w="6239" w:type="dxa"/>
            <w:vAlign w:val="center"/>
          </w:tcPr>
          <w:p w14:paraId="7AAB74B0">
            <w:pPr>
              <w:spacing w:line="276" w:lineRule="auto"/>
              <w:rPr>
                <w:rFonts w:ascii="新宋体" w:hAnsi="新宋体" w:eastAsia="新宋体"/>
              </w:rPr>
            </w:pPr>
            <w:r>
              <w:rPr>
                <w:rFonts w:hint="eastAsia" w:ascii="新宋体" w:hAnsi="新宋体" w:eastAsia="新宋体"/>
              </w:rPr>
              <w:t>不允许</w:t>
            </w:r>
          </w:p>
        </w:tc>
      </w:tr>
      <w:tr w14:paraId="0B26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14:paraId="425442F2">
            <w:pPr>
              <w:spacing w:line="276" w:lineRule="auto"/>
              <w:jc w:val="center"/>
              <w:rPr>
                <w:rFonts w:ascii="新宋体" w:hAnsi="新宋体" w:eastAsia="新宋体"/>
              </w:rPr>
            </w:pPr>
            <w:r>
              <w:rPr>
                <w:rFonts w:hint="eastAsia" w:ascii="新宋体" w:hAnsi="新宋体" w:eastAsia="新宋体"/>
              </w:rPr>
              <w:t>4</w:t>
            </w:r>
          </w:p>
        </w:tc>
        <w:tc>
          <w:tcPr>
            <w:tcW w:w="2012" w:type="dxa"/>
            <w:vAlign w:val="center"/>
          </w:tcPr>
          <w:p w14:paraId="59B41200">
            <w:pPr>
              <w:spacing w:line="276" w:lineRule="auto"/>
              <w:rPr>
                <w:rFonts w:ascii="新宋体" w:hAnsi="新宋体" w:eastAsia="新宋体"/>
              </w:rPr>
            </w:pPr>
            <w:r>
              <w:rPr>
                <w:rFonts w:hint="eastAsia" w:ascii="新宋体" w:hAnsi="新宋体" w:eastAsia="新宋体"/>
              </w:rPr>
              <w:t>投标文件的投递</w:t>
            </w:r>
          </w:p>
        </w:tc>
        <w:tc>
          <w:tcPr>
            <w:tcW w:w="6239" w:type="dxa"/>
            <w:vAlign w:val="center"/>
          </w:tcPr>
          <w:p w14:paraId="6FC8E0E8">
            <w:pPr>
              <w:spacing w:line="276" w:lineRule="auto"/>
              <w:rPr>
                <w:rFonts w:ascii="新宋体" w:hAnsi="新宋体" w:eastAsia="新宋体"/>
              </w:rPr>
            </w:pPr>
            <w:r>
              <w:rPr>
                <w:rFonts w:hint="eastAsia" w:ascii="新宋体" w:hAnsi="新宋体" w:eastAsia="新宋体"/>
                <w:snapToGrid w:val="0"/>
                <w:szCs w:val="21"/>
                <w:lang w:val="zh-CN"/>
              </w:rPr>
              <w:t>本项目实行</w:t>
            </w:r>
            <w:r>
              <w:rPr>
                <w:rFonts w:hint="eastAsia" w:ascii="新宋体" w:hAnsi="新宋体" w:eastAsia="新宋体"/>
                <w:snapToGrid w:val="0"/>
                <w:szCs w:val="21"/>
                <w:u w:val="single"/>
                <w:lang w:val="zh-CN"/>
              </w:rPr>
              <w:t>网下投标</w:t>
            </w:r>
            <w:r>
              <w:rPr>
                <w:rFonts w:hint="eastAsia" w:ascii="新宋体" w:hAnsi="新宋体" w:eastAsia="新宋体"/>
                <w:snapToGrid w:val="0"/>
                <w:szCs w:val="21"/>
                <w:lang w:val="zh-CN"/>
              </w:rPr>
              <w:t>，按照投标文件的要求提交纸质文件正本1份，副本4份，电子文件1份（PDF格式电子文档1份）电子文档要求U盘，PDF格式有签字盖章，不留密码，无病毒，不压缩，密封提交），所有应答文件应于递交截止时间之前送达谈判文件规定的地址</w:t>
            </w:r>
            <w:r>
              <w:rPr>
                <w:rFonts w:ascii="新宋体" w:hAnsi="新宋体" w:eastAsia="新宋体"/>
                <w:snapToGrid w:val="0"/>
                <w:szCs w:val="21"/>
                <w:lang w:val="zh-CN"/>
              </w:rPr>
              <w:t>。</w:t>
            </w:r>
          </w:p>
        </w:tc>
      </w:tr>
      <w:tr w14:paraId="3C73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14:paraId="641C4FBC">
            <w:pPr>
              <w:spacing w:line="276" w:lineRule="auto"/>
              <w:jc w:val="center"/>
              <w:rPr>
                <w:rFonts w:ascii="新宋体" w:hAnsi="新宋体" w:eastAsia="新宋体"/>
              </w:rPr>
            </w:pPr>
            <w:r>
              <w:rPr>
                <w:rFonts w:hint="eastAsia" w:ascii="新宋体" w:hAnsi="新宋体" w:eastAsia="新宋体"/>
              </w:rPr>
              <w:t>5</w:t>
            </w:r>
          </w:p>
        </w:tc>
        <w:tc>
          <w:tcPr>
            <w:tcW w:w="2012" w:type="dxa"/>
            <w:vAlign w:val="center"/>
          </w:tcPr>
          <w:p w14:paraId="41929662">
            <w:pPr>
              <w:spacing w:line="276" w:lineRule="auto"/>
              <w:rPr>
                <w:rFonts w:ascii="新宋体" w:hAnsi="新宋体" w:eastAsia="新宋体"/>
              </w:rPr>
            </w:pPr>
            <w:r>
              <w:rPr>
                <w:rFonts w:hint="eastAsia" w:ascii="新宋体" w:hAnsi="新宋体" w:eastAsia="新宋体"/>
              </w:rPr>
              <w:t>履约保证金</w:t>
            </w:r>
          </w:p>
        </w:tc>
        <w:tc>
          <w:tcPr>
            <w:tcW w:w="6239" w:type="dxa"/>
            <w:vAlign w:val="center"/>
          </w:tcPr>
          <w:p w14:paraId="1DF83922">
            <w:pPr>
              <w:spacing w:line="276" w:lineRule="auto"/>
              <w:rPr>
                <w:rFonts w:ascii="新宋体" w:hAnsi="新宋体" w:eastAsia="新宋体"/>
              </w:rPr>
            </w:pPr>
            <w:r>
              <w:rPr>
                <w:rFonts w:hint="eastAsia" w:ascii="新宋体" w:hAnsi="新宋体" w:eastAsia="新宋体"/>
              </w:rPr>
              <w:t>_____万元或合同金额的_____%，缴纳方式：</w:t>
            </w:r>
          </w:p>
        </w:tc>
      </w:tr>
      <w:tr w14:paraId="2BFC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14:paraId="507A1173">
            <w:pPr>
              <w:spacing w:line="276" w:lineRule="auto"/>
              <w:jc w:val="center"/>
              <w:rPr>
                <w:rFonts w:ascii="新宋体" w:hAnsi="新宋体" w:eastAsia="新宋体"/>
              </w:rPr>
            </w:pPr>
            <w:r>
              <w:rPr>
                <w:rFonts w:hint="eastAsia" w:ascii="新宋体" w:hAnsi="新宋体" w:eastAsia="新宋体"/>
              </w:rPr>
              <w:t>6</w:t>
            </w:r>
          </w:p>
        </w:tc>
        <w:tc>
          <w:tcPr>
            <w:tcW w:w="2012" w:type="dxa"/>
            <w:vAlign w:val="center"/>
          </w:tcPr>
          <w:p w14:paraId="149DB492">
            <w:pPr>
              <w:spacing w:line="276" w:lineRule="auto"/>
              <w:rPr>
                <w:rFonts w:ascii="新宋体" w:hAnsi="新宋体" w:eastAsia="新宋体"/>
              </w:rPr>
            </w:pPr>
            <w:r>
              <w:rPr>
                <w:rFonts w:hint="eastAsia" w:ascii="新宋体" w:hAnsi="新宋体" w:eastAsia="新宋体"/>
              </w:rPr>
              <w:t>中标</w:t>
            </w:r>
            <w:r>
              <w:rPr>
                <w:rFonts w:ascii="新宋体" w:hAnsi="新宋体" w:eastAsia="新宋体"/>
              </w:rPr>
              <w:t>服务费</w:t>
            </w:r>
          </w:p>
        </w:tc>
        <w:tc>
          <w:tcPr>
            <w:tcW w:w="6239" w:type="dxa"/>
            <w:vAlign w:val="center"/>
          </w:tcPr>
          <w:p w14:paraId="788DE827">
            <w:pPr>
              <w:spacing w:line="276" w:lineRule="auto"/>
              <w:rPr>
                <w:rFonts w:ascii="新宋体" w:hAnsi="新宋体" w:eastAsia="新宋体"/>
              </w:rPr>
            </w:pPr>
            <w:r>
              <w:rPr>
                <w:rFonts w:hint="eastAsia" w:ascii="新宋体" w:hAnsi="新宋体" w:eastAsia="新宋体"/>
                <w:szCs w:val="21"/>
              </w:rPr>
              <w:t>根据“深圳市财政委员会关于规范深圳市社会采购代理机构管理有关事项的补充通知(深财购[2018]27号)”的规定执行。招标代理服务收费以中标/成交通知书公布的中标金额为计算基准,按差额定率累进法计算,作为招标代理服务费。</w:t>
            </w:r>
            <w:bookmarkStart w:id="18" w:name="_Hlk74670769"/>
            <w:r>
              <w:rPr>
                <w:rFonts w:hint="eastAsia" w:ascii="新宋体" w:hAnsi="新宋体" w:eastAsia="新宋体"/>
                <w:szCs w:val="21"/>
              </w:rPr>
              <w:t>不足陆仟元的按陆仟元收取</w:t>
            </w:r>
            <w:bookmarkEnd w:id="18"/>
            <w:r>
              <w:rPr>
                <w:rFonts w:hint="eastAsia" w:ascii="新宋体" w:hAnsi="新宋体" w:eastAsia="新宋体"/>
                <w:szCs w:val="21"/>
              </w:rPr>
              <w:t>。</w:t>
            </w:r>
          </w:p>
        </w:tc>
      </w:tr>
    </w:tbl>
    <w:p w14:paraId="6C728746">
      <w:pPr>
        <w:spacing w:line="276" w:lineRule="auto"/>
        <w:rPr>
          <w:b/>
        </w:rPr>
      </w:pPr>
      <w:r>
        <w:rPr>
          <w:rFonts w:hint="eastAsia" w:ascii="新宋体" w:hAnsi="新宋体" w:eastAsia="新宋体"/>
          <w:szCs w:val="21"/>
        </w:rPr>
        <w:t>备注：本表为通用条款相关内容的补充和明确，如与通用条款相冲突的以本表为</w:t>
      </w:r>
      <w:r>
        <w:rPr>
          <w:rFonts w:hint="eastAsia"/>
          <w:szCs w:val="21"/>
        </w:rPr>
        <w:t>准。</w:t>
      </w:r>
    </w:p>
    <w:p w14:paraId="077A9998"/>
    <w:p w14:paraId="3AB12A83">
      <w:pPr>
        <w:pStyle w:val="4"/>
        <w:jc w:val="left"/>
        <w:rPr>
          <w:rFonts w:ascii="新宋体" w:hAnsi="新宋体" w:eastAsia="新宋体"/>
          <w:kern w:val="44"/>
          <w:sz w:val="30"/>
          <w:szCs w:val="30"/>
        </w:rPr>
      </w:pPr>
      <w:r>
        <w:rPr>
          <w:rFonts w:hint="eastAsia" w:ascii="新宋体" w:hAnsi="新宋体" w:eastAsia="新宋体"/>
          <w:kern w:val="44"/>
          <w:sz w:val="30"/>
          <w:szCs w:val="30"/>
        </w:rPr>
        <w:t>二、货物清单</w:t>
      </w:r>
    </w:p>
    <w:tbl>
      <w:tblPr>
        <w:tblStyle w:val="43"/>
        <w:tblpPr w:leftFromText="180" w:rightFromText="180" w:vertAnchor="text" w:horzAnchor="margin" w:tblpY="17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881"/>
        <w:gridCol w:w="709"/>
        <w:gridCol w:w="709"/>
        <w:gridCol w:w="1134"/>
        <w:gridCol w:w="2835"/>
      </w:tblGrid>
      <w:tr w14:paraId="3B64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5710A657">
            <w:pPr>
              <w:spacing w:line="276" w:lineRule="auto"/>
              <w:jc w:val="center"/>
              <w:rPr>
                <w:rFonts w:ascii="新宋体" w:hAnsi="新宋体" w:eastAsia="新宋体"/>
              </w:rPr>
            </w:pPr>
            <w:r>
              <w:rPr>
                <w:rFonts w:hint="eastAsia" w:ascii="新宋体" w:hAnsi="新宋体" w:eastAsia="新宋体"/>
              </w:rPr>
              <w:t>序号</w:t>
            </w:r>
          </w:p>
        </w:tc>
        <w:tc>
          <w:tcPr>
            <w:tcW w:w="2881" w:type="dxa"/>
            <w:vAlign w:val="center"/>
          </w:tcPr>
          <w:p w14:paraId="432F6220">
            <w:pPr>
              <w:spacing w:line="276" w:lineRule="auto"/>
              <w:jc w:val="center"/>
              <w:rPr>
                <w:rFonts w:ascii="新宋体" w:hAnsi="新宋体" w:eastAsia="新宋体"/>
              </w:rPr>
            </w:pPr>
            <w:r>
              <w:rPr>
                <w:rFonts w:hint="eastAsia" w:ascii="新宋体" w:hAnsi="新宋体" w:eastAsia="新宋体"/>
              </w:rPr>
              <w:t>货物名称</w:t>
            </w:r>
          </w:p>
        </w:tc>
        <w:tc>
          <w:tcPr>
            <w:tcW w:w="709" w:type="dxa"/>
            <w:vAlign w:val="center"/>
          </w:tcPr>
          <w:p w14:paraId="5479A870">
            <w:pPr>
              <w:spacing w:line="276" w:lineRule="auto"/>
              <w:jc w:val="center"/>
              <w:rPr>
                <w:rFonts w:ascii="新宋体" w:hAnsi="新宋体" w:eastAsia="新宋体"/>
              </w:rPr>
            </w:pPr>
            <w:r>
              <w:rPr>
                <w:rFonts w:hint="eastAsia" w:ascii="新宋体" w:hAnsi="新宋体" w:eastAsia="新宋体"/>
              </w:rPr>
              <w:t>数量</w:t>
            </w:r>
          </w:p>
        </w:tc>
        <w:tc>
          <w:tcPr>
            <w:tcW w:w="709" w:type="dxa"/>
            <w:vAlign w:val="center"/>
          </w:tcPr>
          <w:p w14:paraId="25CAC83D">
            <w:pPr>
              <w:spacing w:line="276" w:lineRule="auto"/>
              <w:jc w:val="center"/>
              <w:rPr>
                <w:rFonts w:ascii="新宋体" w:hAnsi="新宋体" w:eastAsia="新宋体"/>
              </w:rPr>
            </w:pPr>
            <w:r>
              <w:rPr>
                <w:rFonts w:hint="eastAsia" w:ascii="新宋体" w:hAnsi="新宋体" w:eastAsia="新宋体"/>
              </w:rPr>
              <w:t>单位</w:t>
            </w:r>
          </w:p>
        </w:tc>
        <w:tc>
          <w:tcPr>
            <w:tcW w:w="1134" w:type="dxa"/>
            <w:vAlign w:val="center"/>
          </w:tcPr>
          <w:p w14:paraId="57DAEA72">
            <w:pPr>
              <w:spacing w:line="276" w:lineRule="auto"/>
              <w:jc w:val="center"/>
              <w:rPr>
                <w:rFonts w:ascii="新宋体" w:hAnsi="新宋体" w:eastAsia="新宋体"/>
                <w:b/>
              </w:rPr>
            </w:pPr>
            <w:r>
              <w:rPr>
                <w:rFonts w:hint="eastAsia" w:ascii="新宋体" w:hAnsi="新宋体" w:eastAsia="新宋体"/>
                <w:b/>
              </w:rPr>
              <w:t>备注</w:t>
            </w:r>
          </w:p>
        </w:tc>
        <w:tc>
          <w:tcPr>
            <w:tcW w:w="2835" w:type="dxa"/>
            <w:vAlign w:val="center"/>
          </w:tcPr>
          <w:p w14:paraId="616065B7">
            <w:pPr>
              <w:spacing w:line="276" w:lineRule="auto"/>
              <w:jc w:val="center"/>
              <w:rPr>
                <w:rFonts w:ascii="新宋体" w:hAnsi="新宋体" w:eastAsia="新宋体"/>
                <w:b/>
              </w:rPr>
            </w:pPr>
            <w:r>
              <w:rPr>
                <w:rFonts w:hint="eastAsia" w:ascii="新宋体" w:hAnsi="新宋体" w:eastAsia="新宋体"/>
                <w:b/>
              </w:rPr>
              <w:t>财政预算限额（元）</w:t>
            </w:r>
          </w:p>
        </w:tc>
      </w:tr>
      <w:tr w14:paraId="37FC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69CE914F">
            <w:pPr>
              <w:spacing w:line="276" w:lineRule="auto"/>
              <w:jc w:val="center"/>
              <w:rPr>
                <w:rFonts w:ascii="新宋体" w:hAnsi="新宋体" w:eastAsia="新宋体"/>
              </w:rPr>
            </w:pPr>
            <w:r>
              <w:rPr>
                <w:rFonts w:hint="eastAsia" w:ascii="新宋体" w:hAnsi="新宋体" w:eastAsia="新宋体"/>
              </w:rPr>
              <w:t>1</w:t>
            </w:r>
          </w:p>
        </w:tc>
        <w:tc>
          <w:tcPr>
            <w:tcW w:w="2881" w:type="dxa"/>
            <w:vAlign w:val="center"/>
          </w:tcPr>
          <w:p w14:paraId="1DFF4A37">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集装箱</w:t>
            </w:r>
          </w:p>
        </w:tc>
        <w:tc>
          <w:tcPr>
            <w:tcW w:w="709" w:type="dxa"/>
            <w:vAlign w:val="center"/>
          </w:tcPr>
          <w:p w14:paraId="63F3A068">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1</w:t>
            </w:r>
          </w:p>
        </w:tc>
        <w:tc>
          <w:tcPr>
            <w:tcW w:w="709" w:type="dxa"/>
            <w:vAlign w:val="center"/>
          </w:tcPr>
          <w:p w14:paraId="1CB66044">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项</w:t>
            </w:r>
          </w:p>
        </w:tc>
        <w:tc>
          <w:tcPr>
            <w:tcW w:w="1134" w:type="dxa"/>
            <w:vAlign w:val="center"/>
          </w:tcPr>
          <w:p w14:paraId="26AC6749">
            <w:pPr>
              <w:spacing w:line="276" w:lineRule="auto"/>
              <w:jc w:val="center"/>
              <w:rPr>
                <w:rFonts w:ascii="新宋体" w:hAnsi="新宋体" w:eastAsia="新宋体"/>
                <w:b/>
              </w:rPr>
            </w:pPr>
          </w:p>
        </w:tc>
        <w:tc>
          <w:tcPr>
            <w:tcW w:w="2835" w:type="dxa"/>
            <w:vMerge w:val="restart"/>
            <w:vAlign w:val="center"/>
          </w:tcPr>
          <w:p w14:paraId="0D3221AF">
            <w:pPr>
              <w:spacing w:line="276" w:lineRule="auto"/>
              <w:jc w:val="center"/>
              <w:rPr>
                <w:rFonts w:ascii="新宋体" w:hAnsi="新宋体" w:eastAsia="新宋体"/>
                <w:b/>
              </w:rPr>
            </w:pPr>
            <w:r>
              <w:rPr>
                <w:rFonts w:hint="eastAsia" w:ascii="新宋体" w:hAnsi="新宋体" w:eastAsia="新宋体"/>
                <w:b/>
              </w:rPr>
              <w:t>1</w:t>
            </w:r>
            <w:r>
              <w:rPr>
                <w:rFonts w:ascii="新宋体" w:hAnsi="新宋体" w:eastAsia="新宋体"/>
                <w:b/>
              </w:rPr>
              <w:t>00,000.00</w:t>
            </w:r>
          </w:p>
        </w:tc>
      </w:tr>
      <w:tr w14:paraId="3A76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6E168ED6">
            <w:pPr>
              <w:spacing w:line="276" w:lineRule="auto"/>
              <w:jc w:val="center"/>
              <w:rPr>
                <w:rFonts w:ascii="新宋体" w:hAnsi="新宋体" w:eastAsia="新宋体"/>
              </w:rPr>
            </w:pPr>
            <w:r>
              <w:rPr>
                <w:rFonts w:hint="eastAsia" w:ascii="新宋体" w:hAnsi="新宋体" w:eastAsia="新宋体"/>
              </w:rPr>
              <w:t>2</w:t>
            </w:r>
          </w:p>
        </w:tc>
        <w:tc>
          <w:tcPr>
            <w:tcW w:w="2881" w:type="dxa"/>
            <w:vAlign w:val="center"/>
          </w:tcPr>
          <w:p w14:paraId="7457EC41">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地面瓷砖</w:t>
            </w:r>
          </w:p>
        </w:tc>
        <w:tc>
          <w:tcPr>
            <w:tcW w:w="709" w:type="dxa"/>
            <w:vAlign w:val="center"/>
          </w:tcPr>
          <w:p w14:paraId="00CF60CD">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18</w:t>
            </w:r>
          </w:p>
        </w:tc>
        <w:tc>
          <w:tcPr>
            <w:tcW w:w="709" w:type="dxa"/>
            <w:vAlign w:val="center"/>
          </w:tcPr>
          <w:p w14:paraId="74D4A3FE">
            <w:pPr>
              <w:spacing w:line="276" w:lineRule="auto"/>
              <w:jc w:val="center"/>
              <w:rPr>
                <w:rFonts w:ascii="新宋体" w:hAnsi="新宋体" w:eastAsia="新宋体"/>
              </w:rPr>
            </w:pPr>
            <w:r>
              <w:rPr>
                <w:rFonts w:hint="eastAsia" w:ascii="新宋体" w:hAnsi="新宋体" w:eastAsia="新宋体" w:cs="新宋体"/>
                <w:color w:val="333333"/>
                <w:kern w:val="0"/>
                <w:szCs w:val="21"/>
                <w:lang w:bidi="ar"/>
              </w:rPr>
              <w:t>㎡</w:t>
            </w:r>
          </w:p>
        </w:tc>
        <w:tc>
          <w:tcPr>
            <w:tcW w:w="1134" w:type="dxa"/>
            <w:vAlign w:val="center"/>
          </w:tcPr>
          <w:p w14:paraId="6A65B2E1">
            <w:pPr>
              <w:spacing w:line="276" w:lineRule="auto"/>
              <w:jc w:val="center"/>
              <w:rPr>
                <w:rFonts w:ascii="新宋体" w:hAnsi="新宋体" w:eastAsia="新宋体"/>
                <w:b/>
              </w:rPr>
            </w:pPr>
          </w:p>
        </w:tc>
        <w:tc>
          <w:tcPr>
            <w:tcW w:w="2835" w:type="dxa"/>
            <w:vMerge w:val="continue"/>
            <w:vAlign w:val="center"/>
          </w:tcPr>
          <w:p w14:paraId="7434EBB0">
            <w:pPr>
              <w:spacing w:line="276" w:lineRule="auto"/>
              <w:jc w:val="center"/>
              <w:rPr>
                <w:rFonts w:ascii="新宋体" w:hAnsi="新宋体" w:eastAsia="新宋体"/>
                <w:b/>
              </w:rPr>
            </w:pPr>
          </w:p>
        </w:tc>
      </w:tr>
      <w:tr w14:paraId="67E4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4B619596">
            <w:pPr>
              <w:spacing w:line="276" w:lineRule="auto"/>
              <w:jc w:val="center"/>
              <w:rPr>
                <w:rFonts w:ascii="新宋体" w:hAnsi="新宋体" w:eastAsia="新宋体"/>
              </w:rPr>
            </w:pPr>
            <w:r>
              <w:rPr>
                <w:rFonts w:hint="eastAsia" w:ascii="新宋体" w:hAnsi="新宋体" w:eastAsia="新宋体"/>
              </w:rPr>
              <w:t>3</w:t>
            </w:r>
          </w:p>
        </w:tc>
        <w:tc>
          <w:tcPr>
            <w:tcW w:w="2881" w:type="dxa"/>
            <w:vAlign w:val="center"/>
          </w:tcPr>
          <w:p w14:paraId="05BFF79F">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水泥斜坡</w:t>
            </w:r>
          </w:p>
        </w:tc>
        <w:tc>
          <w:tcPr>
            <w:tcW w:w="709" w:type="dxa"/>
            <w:vAlign w:val="center"/>
          </w:tcPr>
          <w:p w14:paraId="00D63030">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1.5</w:t>
            </w:r>
          </w:p>
        </w:tc>
        <w:tc>
          <w:tcPr>
            <w:tcW w:w="709" w:type="dxa"/>
            <w:vAlign w:val="center"/>
          </w:tcPr>
          <w:p w14:paraId="42E5083B">
            <w:pPr>
              <w:spacing w:line="276" w:lineRule="auto"/>
              <w:jc w:val="center"/>
              <w:rPr>
                <w:rFonts w:ascii="新宋体" w:hAnsi="新宋体" w:eastAsia="新宋体"/>
              </w:rPr>
            </w:pPr>
            <w:r>
              <w:rPr>
                <w:rFonts w:hint="eastAsia" w:ascii="新宋体" w:hAnsi="新宋体" w:eastAsia="新宋体" w:cs="新宋体"/>
                <w:color w:val="333333"/>
                <w:kern w:val="0"/>
                <w:szCs w:val="21"/>
                <w:lang w:bidi="ar"/>
              </w:rPr>
              <w:t>㎡</w:t>
            </w:r>
          </w:p>
        </w:tc>
        <w:tc>
          <w:tcPr>
            <w:tcW w:w="1134" w:type="dxa"/>
            <w:vAlign w:val="center"/>
          </w:tcPr>
          <w:p w14:paraId="2EEC103B">
            <w:pPr>
              <w:spacing w:line="276" w:lineRule="auto"/>
              <w:jc w:val="center"/>
              <w:rPr>
                <w:rFonts w:ascii="新宋体" w:hAnsi="新宋体" w:eastAsia="新宋体"/>
                <w:b/>
              </w:rPr>
            </w:pPr>
          </w:p>
        </w:tc>
        <w:tc>
          <w:tcPr>
            <w:tcW w:w="2835" w:type="dxa"/>
            <w:vMerge w:val="continue"/>
            <w:vAlign w:val="center"/>
          </w:tcPr>
          <w:p w14:paraId="03A93272">
            <w:pPr>
              <w:spacing w:line="276" w:lineRule="auto"/>
              <w:jc w:val="center"/>
              <w:rPr>
                <w:rFonts w:ascii="新宋体" w:hAnsi="新宋体" w:eastAsia="新宋体"/>
                <w:b/>
              </w:rPr>
            </w:pPr>
          </w:p>
        </w:tc>
      </w:tr>
      <w:tr w14:paraId="7E61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1B65978E">
            <w:pPr>
              <w:spacing w:line="276" w:lineRule="auto"/>
              <w:jc w:val="center"/>
              <w:rPr>
                <w:rFonts w:ascii="新宋体" w:hAnsi="新宋体" w:eastAsia="新宋体"/>
              </w:rPr>
            </w:pPr>
            <w:r>
              <w:rPr>
                <w:rFonts w:hint="eastAsia" w:ascii="新宋体" w:hAnsi="新宋体" w:eastAsia="新宋体"/>
              </w:rPr>
              <w:t>4</w:t>
            </w:r>
          </w:p>
        </w:tc>
        <w:tc>
          <w:tcPr>
            <w:tcW w:w="2881" w:type="dxa"/>
            <w:vAlign w:val="center"/>
          </w:tcPr>
          <w:p w14:paraId="5B726D63">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定制隔墙</w:t>
            </w:r>
          </w:p>
        </w:tc>
        <w:tc>
          <w:tcPr>
            <w:tcW w:w="709" w:type="dxa"/>
            <w:vAlign w:val="center"/>
          </w:tcPr>
          <w:p w14:paraId="107EADCC">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8</w:t>
            </w:r>
          </w:p>
        </w:tc>
        <w:tc>
          <w:tcPr>
            <w:tcW w:w="709" w:type="dxa"/>
            <w:vAlign w:val="center"/>
          </w:tcPr>
          <w:p w14:paraId="31670F15">
            <w:pPr>
              <w:spacing w:line="276" w:lineRule="auto"/>
              <w:jc w:val="center"/>
              <w:rPr>
                <w:rFonts w:ascii="新宋体" w:hAnsi="新宋体" w:eastAsia="新宋体"/>
              </w:rPr>
            </w:pPr>
            <w:r>
              <w:rPr>
                <w:rFonts w:hint="eastAsia" w:ascii="新宋体" w:hAnsi="新宋体" w:eastAsia="新宋体" w:cs="新宋体"/>
                <w:color w:val="333333"/>
                <w:kern w:val="0"/>
                <w:szCs w:val="21"/>
                <w:lang w:bidi="ar"/>
              </w:rPr>
              <w:t>㎡</w:t>
            </w:r>
          </w:p>
        </w:tc>
        <w:tc>
          <w:tcPr>
            <w:tcW w:w="1134" w:type="dxa"/>
            <w:vAlign w:val="center"/>
          </w:tcPr>
          <w:p w14:paraId="21565CC7">
            <w:pPr>
              <w:spacing w:line="276" w:lineRule="auto"/>
              <w:jc w:val="center"/>
              <w:rPr>
                <w:rFonts w:ascii="新宋体" w:hAnsi="新宋体" w:eastAsia="新宋体"/>
                <w:b/>
              </w:rPr>
            </w:pPr>
          </w:p>
        </w:tc>
        <w:tc>
          <w:tcPr>
            <w:tcW w:w="2835" w:type="dxa"/>
            <w:vMerge w:val="continue"/>
            <w:vAlign w:val="center"/>
          </w:tcPr>
          <w:p w14:paraId="41AAC021">
            <w:pPr>
              <w:spacing w:line="276" w:lineRule="auto"/>
              <w:jc w:val="center"/>
              <w:rPr>
                <w:rFonts w:ascii="新宋体" w:hAnsi="新宋体" w:eastAsia="新宋体"/>
                <w:b/>
              </w:rPr>
            </w:pPr>
          </w:p>
        </w:tc>
      </w:tr>
      <w:tr w14:paraId="1A19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3DB52F24">
            <w:pPr>
              <w:spacing w:line="276" w:lineRule="auto"/>
              <w:jc w:val="center"/>
              <w:rPr>
                <w:rFonts w:ascii="新宋体" w:hAnsi="新宋体" w:eastAsia="新宋体"/>
              </w:rPr>
            </w:pPr>
            <w:r>
              <w:rPr>
                <w:rFonts w:hint="eastAsia" w:ascii="新宋体" w:hAnsi="新宋体" w:eastAsia="新宋体"/>
              </w:rPr>
              <w:t>5</w:t>
            </w:r>
          </w:p>
        </w:tc>
        <w:tc>
          <w:tcPr>
            <w:tcW w:w="2881" w:type="dxa"/>
            <w:vAlign w:val="center"/>
          </w:tcPr>
          <w:p w14:paraId="0700265F">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照明灯</w:t>
            </w:r>
          </w:p>
        </w:tc>
        <w:tc>
          <w:tcPr>
            <w:tcW w:w="709" w:type="dxa"/>
            <w:vAlign w:val="center"/>
          </w:tcPr>
          <w:p w14:paraId="5F9FD1D5">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8</w:t>
            </w:r>
          </w:p>
        </w:tc>
        <w:tc>
          <w:tcPr>
            <w:tcW w:w="709" w:type="dxa"/>
            <w:vAlign w:val="center"/>
          </w:tcPr>
          <w:p w14:paraId="780CC905">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个</w:t>
            </w:r>
          </w:p>
        </w:tc>
        <w:tc>
          <w:tcPr>
            <w:tcW w:w="1134" w:type="dxa"/>
            <w:vAlign w:val="center"/>
          </w:tcPr>
          <w:p w14:paraId="199A19D0">
            <w:pPr>
              <w:spacing w:line="276" w:lineRule="auto"/>
              <w:jc w:val="center"/>
              <w:rPr>
                <w:rFonts w:ascii="新宋体" w:hAnsi="新宋体" w:eastAsia="新宋体"/>
                <w:b/>
              </w:rPr>
            </w:pPr>
          </w:p>
        </w:tc>
        <w:tc>
          <w:tcPr>
            <w:tcW w:w="2835" w:type="dxa"/>
            <w:vMerge w:val="continue"/>
            <w:vAlign w:val="center"/>
          </w:tcPr>
          <w:p w14:paraId="05D27EE8">
            <w:pPr>
              <w:spacing w:line="276" w:lineRule="auto"/>
              <w:jc w:val="center"/>
              <w:rPr>
                <w:rFonts w:ascii="新宋体" w:hAnsi="新宋体" w:eastAsia="新宋体"/>
                <w:b/>
              </w:rPr>
            </w:pPr>
          </w:p>
        </w:tc>
      </w:tr>
      <w:tr w14:paraId="1048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0CB4B672">
            <w:pPr>
              <w:spacing w:line="276" w:lineRule="auto"/>
              <w:jc w:val="center"/>
              <w:rPr>
                <w:rFonts w:ascii="新宋体" w:hAnsi="新宋体" w:eastAsia="新宋体"/>
              </w:rPr>
            </w:pPr>
            <w:r>
              <w:rPr>
                <w:rFonts w:hint="eastAsia" w:ascii="新宋体" w:hAnsi="新宋体" w:eastAsia="新宋体"/>
              </w:rPr>
              <w:t>6</w:t>
            </w:r>
          </w:p>
        </w:tc>
        <w:tc>
          <w:tcPr>
            <w:tcW w:w="2881" w:type="dxa"/>
            <w:vAlign w:val="center"/>
          </w:tcPr>
          <w:p w14:paraId="4E7B9F95">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门口灯具</w:t>
            </w:r>
          </w:p>
        </w:tc>
        <w:tc>
          <w:tcPr>
            <w:tcW w:w="709" w:type="dxa"/>
            <w:vAlign w:val="center"/>
          </w:tcPr>
          <w:p w14:paraId="628F6F89">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1</w:t>
            </w:r>
          </w:p>
        </w:tc>
        <w:tc>
          <w:tcPr>
            <w:tcW w:w="709" w:type="dxa"/>
            <w:vAlign w:val="center"/>
          </w:tcPr>
          <w:p w14:paraId="7715A4FC">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盏</w:t>
            </w:r>
          </w:p>
        </w:tc>
        <w:tc>
          <w:tcPr>
            <w:tcW w:w="1134" w:type="dxa"/>
            <w:vAlign w:val="center"/>
          </w:tcPr>
          <w:p w14:paraId="00C1AD3C">
            <w:pPr>
              <w:spacing w:line="276" w:lineRule="auto"/>
              <w:jc w:val="center"/>
              <w:rPr>
                <w:rFonts w:ascii="新宋体" w:hAnsi="新宋体" w:eastAsia="新宋体"/>
                <w:b/>
              </w:rPr>
            </w:pPr>
          </w:p>
        </w:tc>
        <w:tc>
          <w:tcPr>
            <w:tcW w:w="2835" w:type="dxa"/>
            <w:vMerge w:val="continue"/>
            <w:vAlign w:val="center"/>
          </w:tcPr>
          <w:p w14:paraId="146DEFFF">
            <w:pPr>
              <w:spacing w:line="276" w:lineRule="auto"/>
              <w:jc w:val="center"/>
              <w:rPr>
                <w:rFonts w:ascii="新宋体" w:hAnsi="新宋体" w:eastAsia="新宋体"/>
                <w:b/>
              </w:rPr>
            </w:pPr>
          </w:p>
        </w:tc>
      </w:tr>
      <w:tr w14:paraId="0AF0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3447550A">
            <w:pPr>
              <w:spacing w:line="276" w:lineRule="auto"/>
              <w:jc w:val="center"/>
              <w:rPr>
                <w:rFonts w:ascii="新宋体" w:hAnsi="新宋体" w:eastAsia="新宋体"/>
              </w:rPr>
            </w:pPr>
            <w:r>
              <w:rPr>
                <w:rFonts w:hint="eastAsia" w:ascii="新宋体" w:hAnsi="新宋体" w:eastAsia="新宋体"/>
              </w:rPr>
              <w:t>7</w:t>
            </w:r>
          </w:p>
        </w:tc>
        <w:tc>
          <w:tcPr>
            <w:tcW w:w="2881" w:type="dxa"/>
            <w:vAlign w:val="center"/>
          </w:tcPr>
          <w:p w14:paraId="15827459">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强电材料</w:t>
            </w:r>
          </w:p>
        </w:tc>
        <w:tc>
          <w:tcPr>
            <w:tcW w:w="709" w:type="dxa"/>
            <w:vAlign w:val="center"/>
          </w:tcPr>
          <w:p w14:paraId="543D2B0B">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1</w:t>
            </w:r>
          </w:p>
        </w:tc>
        <w:tc>
          <w:tcPr>
            <w:tcW w:w="709" w:type="dxa"/>
            <w:vAlign w:val="center"/>
          </w:tcPr>
          <w:p w14:paraId="70D05892">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项</w:t>
            </w:r>
          </w:p>
        </w:tc>
        <w:tc>
          <w:tcPr>
            <w:tcW w:w="1134" w:type="dxa"/>
            <w:vAlign w:val="center"/>
          </w:tcPr>
          <w:p w14:paraId="2AD23C3F">
            <w:pPr>
              <w:spacing w:line="276" w:lineRule="auto"/>
              <w:jc w:val="center"/>
              <w:rPr>
                <w:rFonts w:ascii="新宋体" w:hAnsi="新宋体" w:eastAsia="新宋体"/>
                <w:b/>
              </w:rPr>
            </w:pPr>
          </w:p>
        </w:tc>
        <w:tc>
          <w:tcPr>
            <w:tcW w:w="2835" w:type="dxa"/>
            <w:vMerge w:val="continue"/>
            <w:vAlign w:val="center"/>
          </w:tcPr>
          <w:p w14:paraId="14BCD468">
            <w:pPr>
              <w:spacing w:line="276" w:lineRule="auto"/>
              <w:jc w:val="center"/>
              <w:rPr>
                <w:rFonts w:ascii="新宋体" w:hAnsi="新宋体" w:eastAsia="新宋体"/>
                <w:b/>
              </w:rPr>
            </w:pPr>
          </w:p>
        </w:tc>
      </w:tr>
      <w:tr w14:paraId="09D1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0ED8D6CC">
            <w:pPr>
              <w:spacing w:line="276" w:lineRule="auto"/>
              <w:jc w:val="center"/>
              <w:rPr>
                <w:rFonts w:ascii="新宋体" w:hAnsi="新宋体" w:eastAsia="新宋体"/>
              </w:rPr>
            </w:pPr>
            <w:r>
              <w:rPr>
                <w:rFonts w:hint="eastAsia" w:ascii="新宋体" w:hAnsi="新宋体" w:eastAsia="新宋体"/>
              </w:rPr>
              <w:t>8</w:t>
            </w:r>
          </w:p>
        </w:tc>
        <w:tc>
          <w:tcPr>
            <w:tcW w:w="2881" w:type="dxa"/>
            <w:vAlign w:val="center"/>
          </w:tcPr>
          <w:p w14:paraId="1EB263B5">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高压水枪</w:t>
            </w:r>
          </w:p>
        </w:tc>
        <w:tc>
          <w:tcPr>
            <w:tcW w:w="709" w:type="dxa"/>
            <w:vAlign w:val="center"/>
          </w:tcPr>
          <w:p w14:paraId="10ADFFC0">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2</w:t>
            </w:r>
          </w:p>
        </w:tc>
        <w:tc>
          <w:tcPr>
            <w:tcW w:w="709" w:type="dxa"/>
            <w:vAlign w:val="center"/>
          </w:tcPr>
          <w:p w14:paraId="43B3783B">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套</w:t>
            </w:r>
          </w:p>
        </w:tc>
        <w:tc>
          <w:tcPr>
            <w:tcW w:w="1134" w:type="dxa"/>
            <w:vAlign w:val="center"/>
          </w:tcPr>
          <w:p w14:paraId="48E5256B">
            <w:pPr>
              <w:spacing w:line="276" w:lineRule="auto"/>
              <w:jc w:val="center"/>
              <w:rPr>
                <w:rFonts w:ascii="新宋体" w:hAnsi="新宋体" w:eastAsia="新宋体"/>
                <w:b/>
              </w:rPr>
            </w:pPr>
          </w:p>
        </w:tc>
        <w:tc>
          <w:tcPr>
            <w:tcW w:w="2835" w:type="dxa"/>
            <w:vMerge w:val="continue"/>
            <w:vAlign w:val="center"/>
          </w:tcPr>
          <w:p w14:paraId="4E03A4F5">
            <w:pPr>
              <w:spacing w:line="276" w:lineRule="auto"/>
              <w:jc w:val="center"/>
              <w:rPr>
                <w:rFonts w:ascii="新宋体" w:hAnsi="新宋体" w:eastAsia="新宋体"/>
                <w:b/>
              </w:rPr>
            </w:pPr>
          </w:p>
        </w:tc>
      </w:tr>
      <w:tr w14:paraId="477C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23350297">
            <w:pPr>
              <w:spacing w:line="276" w:lineRule="auto"/>
              <w:jc w:val="center"/>
              <w:rPr>
                <w:rFonts w:ascii="新宋体" w:hAnsi="新宋体" w:eastAsia="新宋体"/>
              </w:rPr>
            </w:pPr>
            <w:r>
              <w:rPr>
                <w:rFonts w:hint="eastAsia" w:ascii="新宋体" w:hAnsi="新宋体" w:eastAsia="新宋体"/>
              </w:rPr>
              <w:t>9</w:t>
            </w:r>
          </w:p>
        </w:tc>
        <w:tc>
          <w:tcPr>
            <w:tcW w:w="2881" w:type="dxa"/>
            <w:vAlign w:val="center"/>
          </w:tcPr>
          <w:p w14:paraId="49E56476">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增加给水系统</w:t>
            </w:r>
          </w:p>
        </w:tc>
        <w:tc>
          <w:tcPr>
            <w:tcW w:w="709" w:type="dxa"/>
            <w:vAlign w:val="center"/>
          </w:tcPr>
          <w:p w14:paraId="283D9882">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1</w:t>
            </w:r>
          </w:p>
        </w:tc>
        <w:tc>
          <w:tcPr>
            <w:tcW w:w="709" w:type="dxa"/>
            <w:vAlign w:val="center"/>
          </w:tcPr>
          <w:p w14:paraId="56F7FF65">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项</w:t>
            </w:r>
          </w:p>
        </w:tc>
        <w:tc>
          <w:tcPr>
            <w:tcW w:w="1134" w:type="dxa"/>
            <w:vAlign w:val="center"/>
          </w:tcPr>
          <w:p w14:paraId="46D25F15">
            <w:pPr>
              <w:spacing w:line="276" w:lineRule="auto"/>
              <w:jc w:val="center"/>
              <w:rPr>
                <w:rFonts w:ascii="新宋体" w:hAnsi="新宋体" w:eastAsia="新宋体"/>
                <w:b/>
              </w:rPr>
            </w:pPr>
          </w:p>
        </w:tc>
        <w:tc>
          <w:tcPr>
            <w:tcW w:w="2835" w:type="dxa"/>
            <w:vMerge w:val="continue"/>
            <w:vAlign w:val="center"/>
          </w:tcPr>
          <w:p w14:paraId="44D0DFFF">
            <w:pPr>
              <w:spacing w:line="276" w:lineRule="auto"/>
              <w:jc w:val="center"/>
              <w:rPr>
                <w:rFonts w:ascii="新宋体" w:hAnsi="新宋体" w:eastAsia="新宋体"/>
                <w:b/>
              </w:rPr>
            </w:pPr>
          </w:p>
        </w:tc>
      </w:tr>
      <w:tr w14:paraId="26ED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0FB8FE64">
            <w:pPr>
              <w:spacing w:line="276" w:lineRule="auto"/>
              <w:jc w:val="center"/>
              <w:rPr>
                <w:rFonts w:ascii="新宋体" w:hAnsi="新宋体" w:eastAsia="新宋体"/>
              </w:rPr>
            </w:pPr>
            <w:r>
              <w:rPr>
                <w:rFonts w:hint="eastAsia" w:ascii="新宋体" w:hAnsi="新宋体" w:eastAsia="新宋体"/>
              </w:rPr>
              <w:t>10</w:t>
            </w:r>
          </w:p>
        </w:tc>
        <w:tc>
          <w:tcPr>
            <w:tcW w:w="2881" w:type="dxa"/>
            <w:vAlign w:val="center"/>
          </w:tcPr>
          <w:p w14:paraId="2636442A">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增加排水系统</w:t>
            </w:r>
          </w:p>
        </w:tc>
        <w:tc>
          <w:tcPr>
            <w:tcW w:w="709" w:type="dxa"/>
            <w:vAlign w:val="center"/>
          </w:tcPr>
          <w:p w14:paraId="737106F3">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1</w:t>
            </w:r>
          </w:p>
        </w:tc>
        <w:tc>
          <w:tcPr>
            <w:tcW w:w="709" w:type="dxa"/>
            <w:vAlign w:val="center"/>
          </w:tcPr>
          <w:p w14:paraId="0D6B7BED">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项</w:t>
            </w:r>
          </w:p>
        </w:tc>
        <w:tc>
          <w:tcPr>
            <w:tcW w:w="1134" w:type="dxa"/>
            <w:vAlign w:val="center"/>
          </w:tcPr>
          <w:p w14:paraId="350EAF06">
            <w:pPr>
              <w:spacing w:line="276" w:lineRule="auto"/>
              <w:jc w:val="center"/>
              <w:rPr>
                <w:rFonts w:ascii="新宋体" w:hAnsi="新宋体" w:eastAsia="新宋体"/>
                <w:b/>
              </w:rPr>
            </w:pPr>
          </w:p>
        </w:tc>
        <w:tc>
          <w:tcPr>
            <w:tcW w:w="2835" w:type="dxa"/>
            <w:vMerge w:val="continue"/>
            <w:vAlign w:val="center"/>
          </w:tcPr>
          <w:p w14:paraId="4AA3BA38">
            <w:pPr>
              <w:spacing w:line="276" w:lineRule="auto"/>
              <w:jc w:val="center"/>
              <w:rPr>
                <w:rFonts w:ascii="新宋体" w:hAnsi="新宋体" w:eastAsia="新宋体"/>
                <w:b/>
              </w:rPr>
            </w:pPr>
          </w:p>
        </w:tc>
      </w:tr>
      <w:tr w14:paraId="54BC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3FCDB8AD">
            <w:pPr>
              <w:spacing w:line="276" w:lineRule="auto"/>
              <w:jc w:val="center"/>
              <w:rPr>
                <w:rFonts w:ascii="新宋体" w:hAnsi="新宋体" w:eastAsia="新宋体"/>
              </w:rPr>
            </w:pPr>
            <w:r>
              <w:rPr>
                <w:rFonts w:hint="eastAsia" w:ascii="新宋体" w:hAnsi="新宋体" w:eastAsia="新宋体"/>
              </w:rPr>
              <w:t>11</w:t>
            </w:r>
          </w:p>
        </w:tc>
        <w:tc>
          <w:tcPr>
            <w:tcW w:w="2881" w:type="dxa"/>
            <w:vAlign w:val="center"/>
          </w:tcPr>
          <w:p w14:paraId="4442997B">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定制洗手盆</w:t>
            </w:r>
          </w:p>
        </w:tc>
        <w:tc>
          <w:tcPr>
            <w:tcW w:w="709" w:type="dxa"/>
            <w:vAlign w:val="center"/>
          </w:tcPr>
          <w:p w14:paraId="024AD57F">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1</w:t>
            </w:r>
          </w:p>
        </w:tc>
        <w:tc>
          <w:tcPr>
            <w:tcW w:w="709" w:type="dxa"/>
            <w:vAlign w:val="center"/>
          </w:tcPr>
          <w:p w14:paraId="7D254D6D">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项</w:t>
            </w:r>
          </w:p>
        </w:tc>
        <w:tc>
          <w:tcPr>
            <w:tcW w:w="1134" w:type="dxa"/>
            <w:vAlign w:val="center"/>
          </w:tcPr>
          <w:p w14:paraId="24BAA2F1">
            <w:pPr>
              <w:spacing w:line="276" w:lineRule="auto"/>
              <w:jc w:val="center"/>
              <w:rPr>
                <w:rFonts w:ascii="新宋体" w:hAnsi="新宋体" w:eastAsia="新宋体"/>
                <w:b/>
              </w:rPr>
            </w:pPr>
          </w:p>
        </w:tc>
        <w:tc>
          <w:tcPr>
            <w:tcW w:w="2835" w:type="dxa"/>
            <w:vMerge w:val="continue"/>
            <w:vAlign w:val="center"/>
          </w:tcPr>
          <w:p w14:paraId="0A2A8D73">
            <w:pPr>
              <w:spacing w:line="276" w:lineRule="auto"/>
              <w:jc w:val="center"/>
              <w:rPr>
                <w:rFonts w:ascii="新宋体" w:hAnsi="新宋体" w:eastAsia="新宋体"/>
                <w:b/>
              </w:rPr>
            </w:pPr>
          </w:p>
        </w:tc>
      </w:tr>
      <w:tr w14:paraId="644C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53C95EC6">
            <w:pPr>
              <w:spacing w:line="276" w:lineRule="auto"/>
              <w:jc w:val="center"/>
              <w:rPr>
                <w:rFonts w:ascii="新宋体" w:hAnsi="新宋体" w:eastAsia="新宋体"/>
              </w:rPr>
            </w:pPr>
            <w:r>
              <w:rPr>
                <w:rFonts w:hint="eastAsia" w:ascii="新宋体" w:hAnsi="新宋体" w:eastAsia="新宋体"/>
              </w:rPr>
              <w:t>12</w:t>
            </w:r>
          </w:p>
        </w:tc>
        <w:tc>
          <w:tcPr>
            <w:tcW w:w="2881" w:type="dxa"/>
            <w:vAlign w:val="center"/>
          </w:tcPr>
          <w:p w14:paraId="0FDE5864">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新风机（空气置换）</w:t>
            </w:r>
          </w:p>
        </w:tc>
        <w:tc>
          <w:tcPr>
            <w:tcW w:w="709" w:type="dxa"/>
            <w:vAlign w:val="center"/>
          </w:tcPr>
          <w:p w14:paraId="1A804E62">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2</w:t>
            </w:r>
          </w:p>
        </w:tc>
        <w:tc>
          <w:tcPr>
            <w:tcW w:w="709" w:type="dxa"/>
            <w:vAlign w:val="center"/>
          </w:tcPr>
          <w:p w14:paraId="51543E9D">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台</w:t>
            </w:r>
          </w:p>
        </w:tc>
        <w:tc>
          <w:tcPr>
            <w:tcW w:w="1134" w:type="dxa"/>
            <w:vAlign w:val="center"/>
          </w:tcPr>
          <w:p w14:paraId="1A52BC04">
            <w:pPr>
              <w:spacing w:line="276" w:lineRule="auto"/>
              <w:jc w:val="center"/>
              <w:rPr>
                <w:rFonts w:ascii="新宋体" w:hAnsi="新宋体" w:eastAsia="新宋体"/>
                <w:b/>
              </w:rPr>
            </w:pPr>
          </w:p>
        </w:tc>
        <w:tc>
          <w:tcPr>
            <w:tcW w:w="2835" w:type="dxa"/>
            <w:vMerge w:val="continue"/>
            <w:vAlign w:val="center"/>
          </w:tcPr>
          <w:p w14:paraId="15F7D8B9">
            <w:pPr>
              <w:spacing w:line="276" w:lineRule="auto"/>
              <w:jc w:val="center"/>
              <w:rPr>
                <w:rFonts w:ascii="新宋体" w:hAnsi="新宋体" w:eastAsia="新宋体"/>
                <w:b/>
              </w:rPr>
            </w:pPr>
          </w:p>
        </w:tc>
      </w:tr>
      <w:tr w14:paraId="6B72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508AA26A">
            <w:pPr>
              <w:spacing w:line="276" w:lineRule="auto"/>
              <w:jc w:val="center"/>
              <w:rPr>
                <w:rFonts w:ascii="新宋体" w:hAnsi="新宋体" w:eastAsia="新宋体"/>
              </w:rPr>
            </w:pPr>
            <w:r>
              <w:rPr>
                <w:rFonts w:hint="eastAsia" w:ascii="新宋体" w:hAnsi="新宋体" w:eastAsia="新宋体"/>
              </w:rPr>
              <w:t>13</w:t>
            </w:r>
          </w:p>
        </w:tc>
        <w:tc>
          <w:tcPr>
            <w:tcW w:w="2881" w:type="dxa"/>
            <w:vAlign w:val="center"/>
          </w:tcPr>
          <w:p w14:paraId="26AE860E">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消毒灯</w:t>
            </w:r>
          </w:p>
        </w:tc>
        <w:tc>
          <w:tcPr>
            <w:tcW w:w="709" w:type="dxa"/>
            <w:vAlign w:val="center"/>
          </w:tcPr>
          <w:p w14:paraId="701949A2">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1</w:t>
            </w:r>
          </w:p>
        </w:tc>
        <w:tc>
          <w:tcPr>
            <w:tcW w:w="709" w:type="dxa"/>
            <w:vAlign w:val="center"/>
          </w:tcPr>
          <w:p w14:paraId="7BAF23A5">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批</w:t>
            </w:r>
          </w:p>
        </w:tc>
        <w:tc>
          <w:tcPr>
            <w:tcW w:w="1134" w:type="dxa"/>
            <w:vAlign w:val="center"/>
          </w:tcPr>
          <w:p w14:paraId="1E725DC4">
            <w:pPr>
              <w:spacing w:line="276" w:lineRule="auto"/>
              <w:jc w:val="center"/>
              <w:rPr>
                <w:rFonts w:ascii="新宋体" w:hAnsi="新宋体" w:eastAsia="新宋体"/>
                <w:b/>
              </w:rPr>
            </w:pPr>
          </w:p>
        </w:tc>
        <w:tc>
          <w:tcPr>
            <w:tcW w:w="2835" w:type="dxa"/>
            <w:vMerge w:val="continue"/>
            <w:vAlign w:val="center"/>
          </w:tcPr>
          <w:p w14:paraId="312E579F">
            <w:pPr>
              <w:spacing w:line="276" w:lineRule="auto"/>
              <w:jc w:val="center"/>
              <w:rPr>
                <w:rFonts w:ascii="新宋体" w:hAnsi="新宋体" w:eastAsia="新宋体"/>
                <w:b/>
              </w:rPr>
            </w:pPr>
          </w:p>
        </w:tc>
      </w:tr>
      <w:tr w14:paraId="5E23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4E67A7C3">
            <w:pPr>
              <w:spacing w:line="276" w:lineRule="auto"/>
              <w:jc w:val="center"/>
              <w:rPr>
                <w:rFonts w:ascii="新宋体" w:hAnsi="新宋体" w:eastAsia="新宋体"/>
              </w:rPr>
            </w:pPr>
            <w:r>
              <w:rPr>
                <w:rFonts w:hint="eastAsia" w:ascii="新宋体" w:hAnsi="新宋体" w:eastAsia="新宋体"/>
              </w:rPr>
              <w:t>14</w:t>
            </w:r>
          </w:p>
        </w:tc>
        <w:tc>
          <w:tcPr>
            <w:tcW w:w="2881" w:type="dxa"/>
            <w:vAlign w:val="center"/>
          </w:tcPr>
          <w:p w14:paraId="2FE991B7">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防蚊防虫灯</w:t>
            </w:r>
          </w:p>
        </w:tc>
        <w:tc>
          <w:tcPr>
            <w:tcW w:w="709" w:type="dxa"/>
            <w:vAlign w:val="center"/>
          </w:tcPr>
          <w:p w14:paraId="62663FC4">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8</w:t>
            </w:r>
          </w:p>
        </w:tc>
        <w:tc>
          <w:tcPr>
            <w:tcW w:w="709" w:type="dxa"/>
            <w:vAlign w:val="center"/>
          </w:tcPr>
          <w:p w14:paraId="1374EE09">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台</w:t>
            </w:r>
          </w:p>
        </w:tc>
        <w:tc>
          <w:tcPr>
            <w:tcW w:w="1134" w:type="dxa"/>
            <w:vAlign w:val="center"/>
          </w:tcPr>
          <w:p w14:paraId="7016147D">
            <w:pPr>
              <w:spacing w:line="276" w:lineRule="auto"/>
              <w:jc w:val="center"/>
              <w:rPr>
                <w:rFonts w:ascii="新宋体" w:hAnsi="新宋体" w:eastAsia="新宋体"/>
                <w:b/>
              </w:rPr>
            </w:pPr>
          </w:p>
        </w:tc>
        <w:tc>
          <w:tcPr>
            <w:tcW w:w="2835" w:type="dxa"/>
            <w:vMerge w:val="continue"/>
            <w:vAlign w:val="center"/>
          </w:tcPr>
          <w:p w14:paraId="0FF96199">
            <w:pPr>
              <w:spacing w:line="276" w:lineRule="auto"/>
              <w:jc w:val="center"/>
              <w:rPr>
                <w:rFonts w:ascii="新宋体" w:hAnsi="新宋体" w:eastAsia="新宋体"/>
                <w:b/>
              </w:rPr>
            </w:pPr>
          </w:p>
        </w:tc>
      </w:tr>
      <w:tr w14:paraId="3140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75C3A6C0">
            <w:pPr>
              <w:spacing w:line="276" w:lineRule="auto"/>
              <w:jc w:val="center"/>
              <w:rPr>
                <w:rFonts w:ascii="新宋体" w:hAnsi="新宋体" w:eastAsia="新宋体"/>
              </w:rPr>
            </w:pPr>
            <w:r>
              <w:rPr>
                <w:rFonts w:hint="eastAsia" w:ascii="新宋体" w:hAnsi="新宋体" w:eastAsia="新宋体"/>
              </w:rPr>
              <w:t>15</w:t>
            </w:r>
          </w:p>
        </w:tc>
        <w:tc>
          <w:tcPr>
            <w:tcW w:w="2881" w:type="dxa"/>
            <w:vAlign w:val="center"/>
          </w:tcPr>
          <w:p w14:paraId="303AFF68">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（冷机组）防臭改造</w:t>
            </w:r>
          </w:p>
        </w:tc>
        <w:tc>
          <w:tcPr>
            <w:tcW w:w="709" w:type="dxa"/>
            <w:vAlign w:val="center"/>
          </w:tcPr>
          <w:p w14:paraId="5954AB78">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1</w:t>
            </w:r>
          </w:p>
        </w:tc>
        <w:tc>
          <w:tcPr>
            <w:tcW w:w="709" w:type="dxa"/>
            <w:vAlign w:val="center"/>
          </w:tcPr>
          <w:p w14:paraId="41AE8B7C">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项</w:t>
            </w:r>
          </w:p>
        </w:tc>
        <w:tc>
          <w:tcPr>
            <w:tcW w:w="1134" w:type="dxa"/>
            <w:vAlign w:val="center"/>
          </w:tcPr>
          <w:p w14:paraId="07FE2F51">
            <w:pPr>
              <w:spacing w:line="276" w:lineRule="auto"/>
              <w:jc w:val="center"/>
              <w:rPr>
                <w:rFonts w:ascii="新宋体" w:hAnsi="新宋体" w:eastAsia="新宋体"/>
                <w:b/>
              </w:rPr>
            </w:pPr>
          </w:p>
        </w:tc>
        <w:tc>
          <w:tcPr>
            <w:tcW w:w="2835" w:type="dxa"/>
            <w:vMerge w:val="continue"/>
            <w:vAlign w:val="center"/>
          </w:tcPr>
          <w:p w14:paraId="4A9544AB">
            <w:pPr>
              <w:spacing w:line="276" w:lineRule="auto"/>
              <w:jc w:val="center"/>
              <w:rPr>
                <w:rFonts w:ascii="新宋体" w:hAnsi="新宋体" w:eastAsia="新宋体"/>
                <w:b/>
              </w:rPr>
            </w:pPr>
          </w:p>
        </w:tc>
      </w:tr>
      <w:tr w14:paraId="0B5A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54133EC0">
            <w:pPr>
              <w:spacing w:line="276" w:lineRule="auto"/>
              <w:jc w:val="center"/>
              <w:rPr>
                <w:rFonts w:ascii="新宋体" w:hAnsi="新宋体" w:eastAsia="新宋体"/>
              </w:rPr>
            </w:pPr>
            <w:r>
              <w:rPr>
                <w:rFonts w:hint="eastAsia" w:ascii="新宋体" w:hAnsi="新宋体" w:eastAsia="新宋体"/>
              </w:rPr>
              <w:t>16</w:t>
            </w:r>
          </w:p>
        </w:tc>
        <w:tc>
          <w:tcPr>
            <w:tcW w:w="2881" w:type="dxa"/>
            <w:vAlign w:val="center"/>
          </w:tcPr>
          <w:p w14:paraId="53B76FD9">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推拉门</w:t>
            </w:r>
          </w:p>
        </w:tc>
        <w:tc>
          <w:tcPr>
            <w:tcW w:w="709" w:type="dxa"/>
            <w:vAlign w:val="center"/>
          </w:tcPr>
          <w:p w14:paraId="61E4A230">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2</w:t>
            </w:r>
          </w:p>
        </w:tc>
        <w:tc>
          <w:tcPr>
            <w:tcW w:w="709" w:type="dxa"/>
            <w:vAlign w:val="center"/>
          </w:tcPr>
          <w:p w14:paraId="2F33CF0D">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套</w:t>
            </w:r>
          </w:p>
        </w:tc>
        <w:tc>
          <w:tcPr>
            <w:tcW w:w="1134" w:type="dxa"/>
            <w:vAlign w:val="center"/>
          </w:tcPr>
          <w:p w14:paraId="3B04D3AE">
            <w:pPr>
              <w:spacing w:line="276" w:lineRule="auto"/>
              <w:jc w:val="center"/>
              <w:rPr>
                <w:rFonts w:ascii="新宋体" w:hAnsi="新宋体" w:eastAsia="新宋体"/>
                <w:b/>
              </w:rPr>
            </w:pPr>
          </w:p>
        </w:tc>
        <w:tc>
          <w:tcPr>
            <w:tcW w:w="2835" w:type="dxa"/>
            <w:vMerge w:val="continue"/>
            <w:vAlign w:val="center"/>
          </w:tcPr>
          <w:p w14:paraId="2D6B5B13">
            <w:pPr>
              <w:spacing w:line="276" w:lineRule="auto"/>
              <w:jc w:val="center"/>
              <w:rPr>
                <w:rFonts w:ascii="新宋体" w:hAnsi="新宋体" w:eastAsia="新宋体"/>
                <w:b/>
              </w:rPr>
            </w:pPr>
          </w:p>
        </w:tc>
      </w:tr>
      <w:tr w14:paraId="3D3A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47D4390D">
            <w:pPr>
              <w:spacing w:line="276" w:lineRule="auto"/>
              <w:jc w:val="center"/>
              <w:rPr>
                <w:rFonts w:ascii="新宋体" w:hAnsi="新宋体" w:eastAsia="新宋体"/>
              </w:rPr>
            </w:pPr>
            <w:r>
              <w:rPr>
                <w:rFonts w:hint="eastAsia" w:ascii="新宋体" w:hAnsi="新宋体" w:eastAsia="新宋体"/>
              </w:rPr>
              <w:t>17</w:t>
            </w:r>
          </w:p>
        </w:tc>
        <w:tc>
          <w:tcPr>
            <w:tcW w:w="2881" w:type="dxa"/>
            <w:vAlign w:val="center"/>
          </w:tcPr>
          <w:p w14:paraId="3767E1E8">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消防器材和设备</w:t>
            </w:r>
          </w:p>
        </w:tc>
        <w:tc>
          <w:tcPr>
            <w:tcW w:w="709" w:type="dxa"/>
            <w:vAlign w:val="center"/>
          </w:tcPr>
          <w:p w14:paraId="7879E73B">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2</w:t>
            </w:r>
          </w:p>
        </w:tc>
        <w:tc>
          <w:tcPr>
            <w:tcW w:w="709" w:type="dxa"/>
            <w:vAlign w:val="center"/>
          </w:tcPr>
          <w:p w14:paraId="6A3572AC">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项</w:t>
            </w:r>
          </w:p>
        </w:tc>
        <w:tc>
          <w:tcPr>
            <w:tcW w:w="1134" w:type="dxa"/>
            <w:vAlign w:val="center"/>
          </w:tcPr>
          <w:p w14:paraId="69430AA6">
            <w:pPr>
              <w:spacing w:line="276" w:lineRule="auto"/>
              <w:jc w:val="center"/>
              <w:rPr>
                <w:rFonts w:ascii="新宋体" w:hAnsi="新宋体" w:eastAsia="新宋体"/>
                <w:b/>
              </w:rPr>
            </w:pPr>
          </w:p>
        </w:tc>
        <w:tc>
          <w:tcPr>
            <w:tcW w:w="2835" w:type="dxa"/>
            <w:vMerge w:val="continue"/>
            <w:vAlign w:val="center"/>
          </w:tcPr>
          <w:p w14:paraId="7B0F4E23">
            <w:pPr>
              <w:spacing w:line="276" w:lineRule="auto"/>
              <w:jc w:val="center"/>
              <w:rPr>
                <w:rFonts w:ascii="新宋体" w:hAnsi="新宋体" w:eastAsia="新宋体"/>
                <w:b/>
              </w:rPr>
            </w:pPr>
          </w:p>
        </w:tc>
      </w:tr>
      <w:tr w14:paraId="3FC7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38041C33">
            <w:pPr>
              <w:spacing w:line="276" w:lineRule="auto"/>
              <w:jc w:val="center"/>
              <w:rPr>
                <w:rFonts w:ascii="新宋体" w:hAnsi="新宋体" w:eastAsia="新宋体"/>
              </w:rPr>
            </w:pPr>
            <w:r>
              <w:rPr>
                <w:rFonts w:hint="eastAsia" w:ascii="新宋体" w:hAnsi="新宋体" w:eastAsia="新宋体"/>
              </w:rPr>
              <w:t>18</w:t>
            </w:r>
          </w:p>
        </w:tc>
        <w:tc>
          <w:tcPr>
            <w:tcW w:w="2881" w:type="dxa"/>
            <w:vAlign w:val="center"/>
          </w:tcPr>
          <w:p w14:paraId="4C40C983">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专用摄像头</w:t>
            </w:r>
          </w:p>
        </w:tc>
        <w:tc>
          <w:tcPr>
            <w:tcW w:w="709" w:type="dxa"/>
            <w:vAlign w:val="center"/>
          </w:tcPr>
          <w:p w14:paraId="2C0B94BD">
            <w:pPr>
              <w:spacing w:line="276" w:lineRule="auto"/>
              <w:jc w:val="center"/>
              <w:rPr>
                <w:rFonts w:ascii="新宋体" w:hAnsi="新宋体" w:eastAsia="新宋体"/>
              </w:rPr>
            </w:pPr>
            <w:r>
              <w:rPr>
                <w:rFonts w:ascii="新宋体" w:hAnsi="新宋体" w:eastAsia="新宋体" w:cs="新宋体"/>
                <w:color w:val="000000"/>
                <w:kern w:val="0"/>
                <w:szCs w:val="21"/>
                <w:lang w:bidi="ar"/>
              </w:rPr>
              <w:t>4</w:t>
            </w:r>
          </w:p>
        </w:tc>
        <w:tc>
          <w:tcPr>
            <w:tcW w:w="709" w:type="dxa"/>
            <w:vAlign w:val="center"/>
          </w:tcPr>
          <w:p w14:paraId="39CB684B">
            <w:pPr>
              <w:spacing w:line="276" w:lineRule="auto"/>
              <w:jc w:val="center"/>
              <w:rPr>
                <w:rFonts w:ascii="新宋体" w:hAnsi="新宋体" w:eastAsia="新宋体"/>
              </w:rPr>
            </w:pPr>
            <w:r>
              <w:rPr>
                <w:rFonts w:hint="eastAsia" w:ascii="新宋体" w:hAnsi="新宋体" w:eastAsia="新宋体" w:cs="新宋体"/>
                <w:color w:val="000000"/>
                <w:kern w:val="0"/>
                <w:szCs w:val="21"/>
                <w:lang w:bidi="ar"/>
              </w:rPr>
              <w:t>台</w:t>
            </w:r>
          </w:p>
        </w:tc>
        <w:tc>
          <w:tcPr>
            <w:tcW w:w="1134" w:type="dxa"/>
            <w:vAlign w:val="center"/>
          </w:tcPr>
          <w:p w14:paraId="27EB95B4">
            <w:pPr>
              <w:spacing w:line="276" w:lineRule="auto"/>
              <w:jc w:val="center"/>
              <w:rPr>
                <w:rFonts w:ascii="新宋体" w:hAnsi="新宋体" w:eastAsia="新宋体"/>
                <w:b/>
              </w:rPr>
            </w:pPr>
          </w:p>
        </w:tc>
        <w:tc>
          <w:tcPr>
            <w:tcW w:w="2835" w:type="dxa"/>
            <w:vMerge w:val="continue"/>
            <w:vAlign w:val="center"/>
          </w:tcPr>
          <w:p w14:paraId="7954F2D3">
            <w:pPr>
              <w:spacing w:line="276" w:lineRule="auto"/>
              <w:jc w:val="center"/>
              <w:rPr>
                <w:rFonts w:ascii="新宋体" w:hAnsi="新宋体" w:eastAsia="新宋体"/>
                <w:b/>
              </w:rPr>
            </w:pPr>
          </w:p>
        </w:tc>
      </w:tr>
    </w:tbl>
    <w:p w14:paraId="3C7F7704">
      <w:pPr>
        <w:rPr>
          <w:rFonts w:ascii="宋体" w:hAnsi="宋体"/>
          <w:b/>
          <w:szCs w:val="21"/>
        </w:rPr>
      </w:pPr>
    </w:p>
    <w:p w14:paraId="37CC1F4A">
      <w:pPr>
        <w:spacing w:line="276" w:lineRule="auto"/>
        <w:rPr>
          <w:rFonts w:ascii="新宋体" w:hAnsi="新宋体" w:eastAsia="新宋体"/>
          <w:b/>
          <w:szCs w:val="21"/>
        </w:rPr>
      </w:pPr>
      <w:r>
        <w:rPr>
          <w:rFonts w:hint="eastAsia" w:ascii="新宋体" w:hAnsi="新宋体" w:eastAsia="新宋体"/>
          <w:b/>
          <w:szCs w:val="21"/>
        </w:rPr>
        <w:t xml:space="preserve">备注：1.备注栏注明“拒绝进口”的产品不接受投标人选用进口产品参与投标；注明“接受进口”的产品允许投标人选用进口产品参与投标，但不排斥国内产品。 </w:t>
      </w:r>
    </w:p>
    <w:p w14:paraId="4AC7917F">
      <w:pPr>
        <w:numPr>
          <w:ilvl w:val="0"/>
          <w:numId w:val="9"/>
        </w:numPr>
        <w:spacing w:line="276" w:lineRule="auto"/>
        <w:rPr>
          <w:rFonts w:ascii="新宋体" w:hAnsi="新宋体" w:eastAsia="新宋体"/>
          <w:b/>
          <w:szCs w:val="21"/>
        </w:rPr>
      </w:pPr>
      <w:r>
        <w:rPr>
          <w:rFonts w:hint="eastAsia" w:ascii="新宋体" w:hAnsi="新宋体" w:eastAsia="新宋体"/>
          <w:b/>
          <w:szCs w:val="21"/>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7DD75EDB">
      <w:pPr>
        <w:pStyle w:val="2"/>
        <w:numPr>
          <w:ilvl w:val="0"/>
          <w:numId w:val="9"/>
        </w:numPr>
        <w:rPr>
          <w:color w:val="FF0000"/>
          <w:sz w:val="21"/>
          <w:szCs w:val="21"/>
          <w:highlight w:val="yellow"/>
        </w:rPr>
      </w:pPr>
      <w:r>
        <w:rPr>
          <w:rFonts w:hint="eastAsia"/>
          <w:color w:val="FF0000"/>
          <w:sz w:val="21"/>
          <w:szCs w:val="21"/>
          <w:highlight w:val="yellow"/>
        </w:rPr>
        <w:t>以上涉及面积的货物类别以实际测量数据为准，允许出现30%的偏差</w:t>
      </w:r>
    </w:p>
    <w:p w14:paraId="356D1F81">
      <w:pPr>
        <w:spacing w:line="276" w:lineRule="auto"/>
        <w:rPr>
          <w:rFonts w:ascii="新宋体" w:hAnsi="新宋体" w:eastAsia="新宋体"/>
          <w:b/>
          <w:color w:val="FF0000"/>
          <w:szCs w:val="21"/>
        </w:rPr>
      </w:pPr>
      <w:r>
        <w:rPr>
          <w:rFonts w:hint="eastAsia" w:ascii="新宋体" w:hAnsi="新宋体" w:eastAsia="新宋体"/>
          <w:b/>
          <w:szCs w:val="21"/>
        </w:rPr>
        <w:t>4、本项目核心产品为：集装箱。</w:t>
      </w:r>
    </w:p>
    <w:p w14:paraId="16ED5AC1">
      <w:pPr>
        <w:rPr>
          <w:rFonts w:ascii="宋体" w:hAnsi="宋体"/>
          <w:b/>
          <w:color w:val="FF0000"/>
          <w:szCs w:val="21"/>
        </w:rPr>
      </w:pPr>
    </w:p>
    <w:p w14:paraId="2A2D9000">
      <w:pPr>
        <w:pStyle w:val="4"/>
        <w:jc w:val="left"/>
        <w:rPr>
          <w:rFonts w:ascii="新宋体" w:hAnsi="新宋体" w:eastAsia="新宋体"/>
          <w:kern w:val="44"/>
          <w:sz w:val="30"/>
          <w:szCs w:val="30"/>
        </w:rPr>
      </w:pPr>
      <w:bookmarkStart w:id="19" w:name="_Toc128884461"/>
      <w:r>
        <w:rPr>
          <w:rFonts w:hint="eastAsia" w:ascii="新宋体" w:hAnsi="新宋体" w:eastAsia="新宋体"/>
          <w:kern w:val="44"/>
          <w:sz w:val="30"/>
          <w:szCs w:val="30"/>
        </w:rPr>
        <w:t>三、实质性条款</w:t>
      </w:r>
    </w:p>
    <w:tbl>
      <w:tblPr>
        <w:tblStyle w:val="4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192"/>
      </w:tblGrid>
      <w:tr w14:paraId="6245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5CADFEA">
            <w:pPr>
              <w:spacing w:line="276" w:lineRule="auto"/>
              <w:jc w:val="center"/>
              <w:rPr>
                <w:rFonts w:ascii="新宋体" w:hAnsi="新宋体" w:eastAsia="新宋体"/>
              </w:rPr>
            </w:pPr>
            <w:r>
              <w:rPr>
                <w:rFonts w:hint="eastAsia" w:ascii="新宋体" w:hAnsi="新宋体" w:eastAsia="新宋体"/>
              </w:rPr>
              <w:t>序号</w:t>
            </w:r>
          </w:p>
        </w:tc>
        <w:tc>
          <w:tcPr>
            <w:tcW w:w="8192" w:type="dxa"/>
          </w:tcPr>
          <w:p w14:paraId="62BE9CD3">
            <w:pPr>
              <w:spacing w:line="276" w:lineRule="auto"/>
              <w:jc w:val="center"/>
              <w:rPr>
                <w:rFonts w:ascii="新宋体" w:hAnsi="新宋体" w:eastAsia="新宋体"/>
              </w:rPr>
            </w:pPr>
            <w:r>
              <w:rPr>
                <w:rFonts w:hint="eastAsia" w:ascii="新宋体" w:hAnsi="新宋体" w:eastAsia="新宋体"/>
              </w:rPr>
              <w:t>具体内容</w:t>
            </w:r>
          </w:p>
        </w:tc>
      </w:tr>
      <w:tr w14:paraId="7666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7352D72">
            <w:pPr>
              <w:spacing w:line="276" w:lineRule="auto"/>
              <w:jc w:val="center"/>
              <w:rPr>
                <w:rFonts w:ascii="新宋体" w:hAnsi="新宋体" w:eastAsia="新宋体"/>
              </w:rPr>
            </w:pPr>
            <w:r>
              <w:rPr>
                <w:rFonts w:hint="eastAsia" w:ascii="新宋体" w:hAnsi="新宋体" w:eastAsia="新宋体"/>
              </w:rPr>
              <w:t>1</w:t>
            </w:r>
          </w:p>
        </w:tc>
        <w:tc>
          <w:tcPr>
            <w:tcW w:w="8192" w:type="dxa"/>
          </w:tcPr>
          <w:p w14:paraId="34CFBBCA">
            <w:pPr>
              <w:spacing w:line="276" w:lineRule="auto"/>
              <w:jc w:val="center"/>
              <w:rPr>
                <w:rFonts w:ascii="新宋体" w:hAnsi="新宋体" w:eastAsia="新宋体"/>
              </w:rPr>
            </w:pPr>
            <w:r>
              <w:rPr>
                <w:rFonts w:hint="eastAsia" w:ascii="新宋体" w:hAnsi="新宋体" w:eastAsia="新宋体"/>
              </w:rPr>
              <w:t>投标文件载明的交货期不超过招标文件规定的期限</w:t>
            </w:r>
          </w:p>
        </w:tc>
      </w:tr>
      <w:tr w14:paraId="11E6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21F4491">
            <w:pPr>
              <w:spacing w:line="276" w:lineRule="auto"/>
              <w:jc w:val="center"/>
              <w:rPr>
                <w:rFonts w:ascii="新宋体" w:hAnsi="新宋体" w:eastAsia="新宋体"/>
              </w:rPr>
            </w:pPr>
            <w:r>
              <w:rPr>
                <w:rFonts w:hint="eastAsia" w:ascii="新宋体" w:hAnsi="新宋体" w:eastAsia="新宋体"/>
              </w:rPr>
              <w:t>2</w:t>
            </w:r>
          </w:p>
        </w:tc>
        <w:tc>
          <w:tcPr>
            <w:tcW w:w="8192" w:type="dxa"/>
          </w:tcPr>
          <w:p w14:paraId="193C7C24">
            <w:pPr>
              <w:spacing w:line="276" w:lineRule="auto"/>
              <w:jc w:val="center"/>
              <w:rPr>
                <w:rFonts w:ascii="新宋体" w:hAnsi="新宋体" w:eastAsia="新宋体"/>
              </w:rPr>
            </w:pPr>
            <w:r>
              <w:rPr>
                <w:rFonts w:hint="eastAsia" w:ascii="新宋体" w:hAnsi="新宋体" w:eastAsia="新宋体"/>
              </w:rPr>
              <w:t>投标文件载明的免费保修期不低于招标文件规定的期限</w:t>
            </w:r>
          </w:p>
        </w:tc>
      </w:tr>
      <w:tr w14:paraId="57B7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3E841AF">
            <w:pPr>
              <w:spacing w:line="276" w:lineRule="auto"/>
              <w:jc w:val="center"/>
              <w:rPr>
                <w:rFonts w:ascii="新宋体" w:hAnsi="新宋体" w:eastAsia="新宋体"/>
              </w:rPr>
            </w:pPr>
            <w:r>
              <w:rPr>
                <w:rFonts w:hint="eastAsia" w:ascii="新宋体" w:hAnsi="新宋体" w:eastAsia="新宋体"/>
              </w:rPr>
              <w:t>3</w:t>
            </w:r>
          </w:p>
        </w:tc>
        <w:tc>
          <w:tcPr>
            <w:tcW w:w="8192" w:type="dxa"/>
          </w:tcPr>
          <w:p w14:paraId="4C8C4880">
            <w:pPr>
              <w:spacing w:line="276" w:lineRule="auto"/>
              <w:jc w:val="center"/>
              <w:rPr>
                <w:rFonts w:ascii="新宋体" w:hAnsi="新宋体" w:eastAsia="新宋体"/>
              </w:rPr>
            </w:pPr>
            <w:r>
              <w:rPr>
                <w:rFonts w:hint="eastAsia" w:ascii="新宋体" w:hAnsi="新宋体" w:eastAsia="新宋体"/>
              </w:rPr>
              <w:t>具体技术要求、商务需求中带“★”要求</w:t>
            </w:r>
          </w:p>
        </w:tc>
      </w:tr>
      <w:tr w14:paraId="02D2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67156E1">
            <w:pPr>
              <w:spacing w:line="276" w:lineRule="auto"/>
              <w:jc w:val="center"/>
              <w:rPr>
                <w:rFonts w:ascii="新宋体" w:hAnsi="新宋体" w:eastAsia="新宋体"/>
              </w:rPr>
            </w:pPr>
            <w:r>
              <w:rPr>
                <w:rFonts w:hint="eastAsia" w:ascii="新宋体" w:hAnsi="新宋体" w:eastAsia="新宋体"/>
              </w:rPr>
              <w:t>……</w:t>
            </w:r>
          </w:p>
        </w:tc>
        <w:tc>
          <w:tcPr>
            <w:tcW w:w="8192" w:type="dxa"/>
          </w:tcPr>
          <w:p w14:paraId="397845A9">
            <w:pPr>
              <w:spacing w:line="276" w:lineRule="auto"/>
              <w:jc w:val="center"/>
              <w:rPr>
                <w:rFonts w:ascii="新宋体" w:hAnsi="新宋体" w:eastAsia="新宋体"/>
              </w:rPr>
            </w:pPr>
            <w:r>
              <w:rPr>
                <w:rFonts w:hint="eastAsia" w:ascii="新宋体" w:hAnsi="新宋体" w:eastAsia="新宋体"/>
              </w:rPr>
              <w:t>……</w:t>
            </w:r>
          </w:p>
        </w:tc>
      </w:tr>
    </w:tbl>
    <w:p w14:paraId="230187C7">
      <w:pPr>
        <w:spacing w:line="276" w:lineRule="auto"/>
        <w:rPr>
          <w:rFonts w:ascii="新宋体" w:hAnsi="新宋体" w:eastAsia="新宋体"/>
          <w:b/>
          <w:color w:val="FF0000"/>
          <w:szCs w:val="21"/>
        </w:rPr>
      </w:pPr>
      <w:r>
        <w:rPr>
          <w:rFonts w:hint="eastAsia" w:ascii="新宋体" w:hAnsi="新宋体" w:eastAsia="新宋体"/>
          <w:b/>
          <w:color w:val="FF0000"/>
          <w:szCs w:val="21"/>
        </w:rPr>
        <w:t>注：上表所列内容为不可负偏离条款</w:t>
      </w:r>
      <w:bookmarkEnd w:id="19"/>
    </w:p>
    <w:p w14:paraId="27F8FEB0">
      <w:pPr>
        <w:rPr>
          <w:b/>
          <w:szCs w:val="21"/>
        </w:rPr>
      </w:pPr>
    </w:p>
    <w:p w14:paraId="66CDE678">
      <w:pPr>
        <w:pStyle w:val="4"/>
        <w:jc w:val="left"/>
        <w:rPr>
          <w:rFonts w:ascii="新宋体" w:hAnsi="新宋体" w:eastAsia="新宋体"/>
          <w:kern w:val="44"/>
          <w:sz w:val="30"/>
          <w:szCs w:val="30"/>
        </w:rPr>
      </w:pPr>
      <w:r>
        <w:rPr>
          <w:rFonts w:hint="eastAsia" w:ascii="新宋体" w:hAnsi="新宋体" w:eastAsia="新宋体"/>
          <w:kern w:val="44"/>
          <w:sz w:val="30"/>
          <w:szCs w:val="30"/>
        </w:rPr>
        <w:t>四、具体技术要求</w:t>
      </w:r>
    </w:p>
    <w:p w14:paraId="57CBDC46">
      <w:pPr>
        <w:spacing w:line="276" w:lineRule="auto"/>
        <w:rPr>
          <w:rFonts w:ascii="新宋体" w:hAnsi="新宋体" w:eastAsia="新宋体"/>
          <w:b/>
        </w:rPr>
      </w:pPr>
      <w:r>
        <w:rPr>
          <w:rFonts w:hint="eastAsia" w:ascii="新宋体" w:hAnsi="新宋体" w:eastAsia="新宋体"/>
          <w:b/>
        </w:rPr>
        <w:t>说明：1、带“</w:t>
      </w:r>
      <w:r>
        <w:rPr>
          <w:rFonts w:hint="eastAsia" w:ascii="新宋体" w:hAnsi="新宋体" w:eastAsia="新宋体" w:cs="宋体"/>
          <w:b/>
        </w:rPr>
        <w:t>★</w:t>
      </w:r>
      <w:r>
        <w:rPr>
          <w:rFonts w:hint="eastAsia" w:ascii="新宋体" w:hAnsi="新宋体" w:eastAsia="新宋体"/>
          <w:b/>
        </w:rPr>
        <w:t>”指标项为实质性条款，如出现负偏离，将被视为未实质性满足招标文件要求作投标无效处理。带“</w:t>
      </w:r>
      <w:r>
        <w:rPr>
          <w:rFonts w:ascii="新宋体" w:hAnsi="新宋体" w:eastAsia="新宋体"/>
          <w:b/>
        </w:rPr>
        <w:t>▲</w:t>
      </w:r>
      <w:r>
        <w:rPr>
          <w:rFonts w:hint="eastAsia" w:ascii="新宋体" w:hAnsi="新宋体" w:eastAsia="新宋体"/>
          <w:b/>
        </w:rPr>
        <w:t xml:space="preserve">”指标项为重要参数，负偏离时依相关评分准则内容作重点扣分处理。 </w:t>
      </w:r>
    </w:p>
    <w:p w14:paraId="1E85AEC7">
      <w:pPr>
        <w:spacing w:line="276" w:lineRule="auto"/>
        <w:rPr>
          <w:rFonts w:ascii="新宋体" w:hAnsi="新宋体" w:eastAsia="新宋体"/>
          <w:b/>
        </w:rPr>
      </w:pPr>
      <w:r>
        <w:rPr>
          <w:rFonts w:hint="eastAsia" w:ascii="新宋体" w:hAnsi="新宋体" w:eastAsia="新宋体"/>
          <w:b/>
        </w:rPr>
        <w:t>2、招标技术要求中，用红色加粗字体标注的技术条款为要求提供证明资料的条款，共</w:t>
      </w:r>
      <w:r>
        <w:rPr>
          <w:rFonts w:ascii="新宋体" w:hAnsi="新宋体" w:eastAsia="新宋体"/>
          <w:b/>
        </w:rPr>
        <w:t>0</w:t>
      </w:r>
      <w:r>
        <w:rPr>
          <w:rFonts w:hint="eastAsia" w:ascii="新宋体" w:hAnsi="新宋体" w:eastAsia="新宋体"/>
          <w:b/>
        </w:rPr>
        <w:t>项，其余为未要求提供证明资料的条款，无需提供相关证明资料。</w:t>
      </w:r>
    </w:p>
    <w:p w14:paraId="4F70DF61">
      <w:pPr>
        <w:spacing w:line="276" w:lineRule="auto"/>
        <w:rPr>
          <w:rFonts w:ascii="新宋体" w:hAnsi="新宋体" w:eastAsia="新宋体"/>
          <w:b/>
        </w:rPr>
      </w:pPr>
      <w:r>
        <w:rPr>
          <w:rFonts w:hint="eastAsia" w:ascii="新宋体" w:hAnsi="新宋体" w:eastAsia="新宋体"/>
          <w:b/>
        </w:rPr>
        <w:t>3、评分时，如对一项招标技术要求（以划分框为准）中的内容存在两处（或以上）负偏离的，在评分时只作一项负偏离扣分。</w:t>
      </w:r>
    </w:p>
    <w:p w14:paraId="3FD9309E">
      <w:pPr>
        <w:rPr>
          <w:b/>
          <w:szCs w:val="21"/>
        </w:rPr>
      </w:pPr>
    </w:p>
    <w:tbl>
      <w:tblPr>
        <w:tblStyle w:val="43"/>
        <w:tblW w:w="5000" w:type="pct"/>
        <w:tblInd w:w="0" w:type="dxa"/>
        <w:tblLayout w:type="autofit"/>
        <w:tblCellMar>
          <w:top w:w="0" w:type="dxa"/>
          <w:left w:w="108" w:type="dxa"/>
          <w:bottom w:w="0" w:type="dxa"/>
          <w:right w:w="108" w:type="dxa"/>
        </w:tblCellMar>
      </w:tblPr>
      <w:tblGrid>
        <w:gridCol w:w="805"/>
        <w:gridCol w:w="1743"/>
        <w:gridCol w:w="4957"/>
        <w:gridCol w:w="849"/>
        <w:gridCol w:w="933"/>
      </w:tblGrid>
      <w:tr w14:paraId="1EA63647">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4034">
            <w:pPr>
              <w:widowControl/>
              <w:jc w:val="center"/>
              <w:textAlignment w:val="center"/>
              <w:rPr>
                <w:rFonts w:ascii="新宋体" w:hAnsi="新宋体" w:eastAsia="新宋体" w:cs="新宋体"/>
                <w:b/>
                <w:bCs/>
                <w:color w:val="000000"/>
                <w:szCs w:val="21"/>
              </w:rPr>
            </w:pPr>
            <w:r>
              <w:rPr>
                <w:rFonts w:hint="eastAsia" w:ascii="新宋体" w:hAnsi="新宋体" w:eastAsia="新宋体" w:cs="新宋体"/>
                <w:b/>
                <w:bCs/>
                <w:color w:val="000000"/>
                <w:kern w:val="0"/>
                <w:szCs w:val="21"/>
                <w:lang w:bidi="ar"/>
              </w:rPr>
              <w:t>序号</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2133">
            <w:pPr>
              <w:widowControl/>
              <w:jc w:val="center"/>
              <w:textAlignment w:val="center"/>
              <w:rPr>
                <w:rFonts w:ascii="新宋体" w:hAnsi="新宋体" w:eastAsia="新宋体" w:cs="新宋体"/>
                <w:b/>
                <w:bCs/>
                <w:color w:val="000000"/>
                <w:szCs w:val="21"/>
              </w:rPr>
            </w:pPr>
            <w:r>
              <w:rPr>
                <w:rFonts w:hint="eastAsia" w:ascii="新宋体" w:hAnsi="新宋体" w:eastAsia="新宋体" w:cs="新宋体"/>
                <w:b/>
                <w:bCs/>
                <w:color w:val="000000"/>
                <w:kern w:val="0"/>
                <w:szCs w:val="21"/>
                <w:lang w:bidi="ar"/>
              </w:rPr>
              <w:t>名称</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B4B2">
            <w:pPr>
              <w:widowControl/>
              <w:jc w:val="center"/>
              <w:textAlignment w:val="center"/>
              <w:rPr>
                <w:rFonts w:ascii="新宋体" w:hAnsi="新宋体" w:eastAsia="新宋体" w:cs="新宋体"/>
                <w:b/>
                <w:bCs/>
                <w:color w:val="000000"/>
                <w:szCs w:val="21"/>
              </w:rPr>
            </w:pPr>
            <w:r>
              <w:rPr>
                <w:rFonts w:hint="eastAsia" w:ascii="新宋体" w:hAnsi="新宋体" w:eastAsia="新宋体" w:cs="新宋体"/>
                <w:b/>
                <w:bCs/>
                <w:color w:val="000000"/>
                <w:kern w:val="0"/>
                <w:szCs w:val="21"/>
                <w:lang w:bidi="ar"/>
              </w:rPr>
              <w:t>技术参数</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7E75">
            <w:pPr>
              <w:widowControl/>
              <w:jc w:val="center"/>
              <w:textAlignment w:val="center"/>
              <w:rPr>
                <w:rFonts w:ascii="新宋体" w:hAnsi="新宋体" w:eastAsia="新宋体" w:cs="新宋体"/>
                <w:b/>
                <w:bCs/>
                <w:color w:val="000000"/>
                <w:szCs w:val="21"/>
              </w:rPr>
            </w:pPr>
            <w:r>
              <w:rPr>
                <w:rFonts w:hint="eastAsia" w:ascii="新宋体" w:hAnsi="新宋体" w:eastAsia="新宋体" w:cs="新宋体"/>
                <w:b/>
                <w:bCs/>
                <w:color w:val="000000"/>
                <w:kern w:val="0"/>
                <w:szCs w:val="21"/>
                <w:lang w:bidi="ar"/>
              </w:rPr>
              <w:t>数量</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F618">
            <w:pPr>
              <w:widowControl/>
              <w:jc w:val="center"/>
              <w:textAlignment w:val="center"/>
              <w:rPr>
                <w:rFonts w:ascii="新宋体" w:hAnsi="新宋体" w:eastAsia="新宋体" w:cs="新宋体"/>
                <w:b/>
                <w:bCs/>
                <w:color w:val="000000"/>
                <w:szCs w:val="21"/>
              </w:rPr>
            </w:pPr>
            <w:r>
              <w:rPr>
                <w:rFonts w:hint="eastAsia" w:ascii="新宋体" w:hAnsi="新宋体" w:eastAsia="新宋体" w:cs="新宋体"/>
                <w:b/>
                <w:bCs/>
                <w:color w:val="000000"/>
                <w:kern w:val="0"/>
                <w:szCs w:val="21"/>
                <w:lang w:bidi="ar"/>
              </w:rPr>
              <w:t>单位</w:t>
            </w:r>
          </w:p>
        </w:tc>
      </w:tr>
      <w:tr w14:paraId="3D999CFC">
        <w:tblPrEx>
          <w:tblCellMar>
            <w:top w:w="0" w:type="dxa"/>
            <w:left w:w="108" w:type="dxa"/>
            <w:bottom w:w="0" w:type="dxa"/>
            <w:right w:w="108" w:type="dxa"/>
          </w:tblCellMar>
        </w:tblPrEx>
        <w:trPr>
          <w:trHeight w:val="2521"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A9F9">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35F7">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集装箱</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0DE7">
            <w:pPr>
              <w:widowControl/>
              <w:numPr>
                <w:ilvl w:val="0"/>
                <w:numId w:val="10"/>
              </w:numPr>
              <w:jc w:val="left"/>
              <w:textAlignment w:val="center"/>
              <w:rPr>
                <w:rFonts w:ascii="新宋体" w:hAnsi="新宋体" w:eastAsia="新宋体" w:cs="新宋体"/>
                <w:color w:val="000000"/>
                <w:kern w:val="0"/>
                <w:szCs w:val="21"/>
                <w:lang w:bidi="ar"/>
              </w:rPr>
            </w:pPr>
            <w:r>
              <w:rPr>
                <w:rFonts w:hint="eastAsia" w:ascii="新宋体" w:hAnsi="新宋体" w:eastAsia="新宋体" w:cs="新宋体"/>
                <w:color w:val="000000"/>
                <w:kern w:val="0"/>
                <w:szCs w:val="21"/>
                <w:lang w:bidi="ar"/>
              </w:rPr>
              <w:t>规格尺寸：6000*3000*2720mm；</w:t>
            </w:r>
            <w:r>
              <w:rPr>
                <w:rFonts w:hint="eastAsia" w:ascii="新宋体" w:hAnsi="新宋体" w:eastAsia="新宋体" w:cs="新宋体"/>
                <w:color w:val="000000"/>
                <w:kern w:val="0"/>
                <w:szCs w:val="21"/>
                <w:lang w:bidi="ar"/>
              </w:rPr>
              <w:br w:type="textWrapping"/>
            </w:r>
            <w:r>
              <w:rPr>
                <w:rFonts w:hint="eastAsia" w:ascii="新宋体" w:hAnsi="新宋体" w:eastAsia="新宋体" w:cs="新宋体"/>
                <w:color w:val="000000"/>
                <w:kern w:val="0"/>
                <w:szCs w:val="21"/>
                <w:lang w:bidi="ar"/>
              </w:rPr>
              <w:t>2、结构规格：</w:t>
            </w:r>
            <w:r>
              <w:rPr>
                <w:rFonts w:hint="eastAsia" w:ascii="新宋体" w:hAnsi="新宋体" w:eastAsia="新宋体" w:cs="新宋体"/>
                <w:color w:val="000000"/>
                <w:kern w:val="0"/>
                <w:szCs w:val="21"/>
                <w:lang w:bidi="ar"/>
              </w:rPr>
              <w:br w:type="textWrapping"/>
            </w:r>
            <w:r>
              <w:rPr>
                <w:rFonts w:hint="eastAsia" w:ascii="新宋体" w:hAnsi="新宋体" w:eastAsia="新宋体" w:cs="新宋体"/>
                <w:color w:val="000000"/>
                <w:kern w:val="0"/>
                <w:szCs w:val="21"/>
                <w:lang w:bidi="ar"/>
              </w:rPr>
              <w:t>2.1.顶框架；镀锌120方管，厚度2.0mm中间龙骨40*40 、15*15镀锌方钢</w:t>
            </w:r>
            <w:r>
              <w:rPr>
                <w:rFonts w:hint="eastAsia" w:ascii="新宋体" w:hAnsi="新宋体" w:eastAsia="新宋体" w:cs="新宋体"/>
                <w:color w:val="000000"/>
                <w:kern w:val="0"/>
                <w:szCs w:val="21"/>
                <w:lang w:bidi="ar"/>
              </w:rPr>
              <w:br w:type="textWrapping"/>
            </w:r>
            <w:r>
              <w:rPr>
                <w:rFonts w:hint="eastAsia" w:ascii="新宋体" w:hAnsi="新宋体" w:eastAsia="新宋体" w:cs="新宋体"/>
                <w:color w:val="000000"/>
                <w:kern w:val="0"/>
                <w:szCs w:val="21"/>
                <w:lang w:bidi="ar"/>
              </w:rPr>
              <w:t>2.2.底框架；外框镀锌120方管，中间龙骨40*80镀锌方管</w:t>
            </w:r>
            <w:r>
              <w:rPr>
                <w:rFonts w:hint="eastAsia" w:ascii="新宋体" w:hAnsi="新宋体" w:eastAsia="新宋体" w:cs="新宋体"/>
                <w:color w:val="000000"/>
                <w:kern w:val="0"/>
                <w:szCs w:val="21"/>
                <w:lang w:bidi="ar"/>
              </w:rPr>
              <w:br w:type="textWrapping"/>
            </w:r>
            <w:r>
              <w:rPr>
                <w:rFonts w:hint="eastAsia" w:ascii="新宋体" w:hAnsi="新宋体" w:eastAsia="新宋体" w:cs="新宋体"/>
                <w:color w:val="000000"/>
                <w:kern w:val="0"/>
                <w:szCs w:val="21"/>
                <w:lang w:bidi="ar"/>
              </w:rPr>
              <w:t>厚度2.5mm， 间距 60cm</w:t>
            </w:r>
            <w:r>
              <w:rPr>
                <w:rFonts w:hint="eastAsia" w:ascii="新宋体" w:hAnsi="新宋体" w:eastAsia="新宋体" w:cs="新宋体"/>
                <w:color w:val="000000"/>
                <w:kern w:val="0"/>
                <w:szCs w:val="21"/>
                <w:lang w:bidi="ar"/>
              </w:rPr>
              <w:br w:type="textWrapping"/>
            </w:r>
            <w:r>
              <w:rPr>
                <w:rFonts w:hint="eastAsia" w:ascii="新宋体" w:hAnsi="新宋体" w:eastAsia="新宋体" w:cs="新宋体"/>
                <w:color w:val="000000"/>
                <w:kern w:val="0"/>
                <w:szCs w:val="21"/>
                <w:lang w:bidi="ar"/>
              </w:rPr>
              <w:t>2.3.钢立柱；镀锌200*160*2440mm ，立柱厚度2.5mm</w:t>
            </w:r>
            <w:r>
              <w:rPr>
                <w:rFonts w:hint="eastAsia" w:ascii="新宋体" w:hAnsi="新宋体" w:eastAsia="新宋体" w:cs="新宋体"/>
                <w:color w:val="000000"/>
                <w:kern w:val="0"/>
                <w:szCs w:val="21"/>
                <w:lang w:bidi="ar"/>
              </w:rPr>
              <w:br w:type="textWrapping"/>
            </w:r>
            <w:r>
              <w:rPr>
                <w:rFonts w:hint="eastAsia" w:ascii="新宋体" w:hAnsi="新宋体" w:eastAsia="新宋体" w:cs="新宋体"/>
                <w:color w:val="000000"/>
                <w:kern w:val="0"/>
                <w:szCs w:val="21"/>
                <w:lang w:bidi="ar"/>
              </w:rPr>
              <w:t>2.4.吊角；底部160*200*120mm 顶部160*200*160mm</w:t>
            </w:r>
            <w:r>
              <w:rPr>
                <w:rFonts w:hint="eastAsia" w:ascii="新宋体" w:hAnsi="新宋体" w:eastAsia="新宋体" w:cs="新宋体"/>
                <w:color w:val="000000"/>
                <w:kern w:val="0"/>
                <w:szCs w:val="21"/>
                <w:lang w:bidi="ar"/>
              </w:rPr>
              <w:br w:type="textWrapping"/>
            </w:r>
            <w:r>
              <w:rPr>
                <w:rFonts w:hint="eastAsia" w:ascii="新宋体" w:hAnsi="新宋体" w:eastAsia="新宋体" w:cs="新宋体"/>
                <w:color w:val="000000"/>
                <w:kern w:val="0"/>
                <w:szCs w:val="21"/>
                <w:lang w:bidi="ar"/>
              </w:rPr>
              <w:t>2.5.表面处理；铁红防锈底漆、白灰面漆</w:t>
            </w:r>
          </w:p>
          <w:p w14:paraId="6E7DDB79">
            <w:pPr>
              <w:pStyle w:val="2"/>
              <w:rPr>
                <w:rFonts w:ascii="新宋体" w:hAnsi="新宋体" w:eastAsia="新宋体" w:cs="新宋体"/>
                <w:sz w:val="21"/>
                <w:szCs w:val="21"/>
              </w:rPr>
            </w:pPr>
            <w:r>
              <w:rPr>
                <w:rFonts w:hint="eastAsia" w:ascii="新宋体" w:hAnsi="新宋体" w:eastAsia="新宋体" w:cs="新宋体"/>
                <w:sz w:val="21"/>
                <w:szCs w:val="21"/>
              </w:rPr>
              <w:t>3、根据甲方要求及现场定制</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E24F">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167C">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项</w:t>
            </w:r>
          </w:p>
        </w:tc>
      </w:tr>
      <w:tr w14:paraId="0456C25C">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9FA8">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2</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94DD">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地面瓷砖</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21C0">
            <w:pPr>
              <w:widowControl/>
              <w:jc w:val="left"/>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1、600*600mm，防滑地砖</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9BF7">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F570">
            <w:pPr>
              <w:widowControl/>
              <w:jc w:val="center"/>
              <w:textAlignment w:val="center"/>
              <w:rPr>
                <w:rFonts w:ascii="新宋体" w:hAnsi="新宋体" w:eastAsia="新宋体" w:cs="新宋体"/>
                <w:color w:val="333333"/>
                <w:szCs w:val="21"/>
              </w:rPr>
            </w:pPr>
            <w:r>
              <w:rPr>
                <w:rFonts w:hint="eastAsia" w:ascii="新宋体" w:hAnsi="新宋体" w:eastAsia="新宋体" w:cs="新宋体"/>
                <w:color w:val="333333"/>
                <w:kern w:val="0"/>
                <w:szCs w:val="21"/>
                <w:lang w:bidi="ar"/>
              </w:rPr>
              <w:t>㎡</w:t>
            </w:r>
          </w:p>
        </w:tc>
      </w:tr>
      <w:tr w14:paraId="2DE299EA">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F90E">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3</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93C6">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水泥斜坡</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DC66">
            <w:pPr>
              <w:widowControl/>
              <w:jc w:val="left"/>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1、成品斜坡，根据现场定制</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6D75">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1.5</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3157">
            <w:pPr>
              <w:widowControl/>
              <w:jc w:val="center"/>
              <w:textAlignment w:val="center"/>
              <w:rPr>
                <w:rFonts w:ascii="新宋体" w:hAnsi="新宋体" w:eastAsia="新宋体" w:cs="新宋体"/>
                <w:color w:val="333333"/>
                <w:szCs w:val="21"/>
              </w:rPr>
            </w:pPr>
            <w:r>
              <w:rPr>
                <w:rFonts w:hint="eastAsia" w:ascii="新宋体" w:hAnsi="新宋体" w:eastAsia="新宋体" w:cs="新宋体"/>
                <w:color w:val="333333"/>
                <w:kern w:val="0"/>
                <w:szCs w:val="21"/>
                <w:lang w:bidi="ar"/>
              </w:rPr>
              <w:t>㎡</w:t>
            </w:r>
          </w:p>
        </w:tc>
      </w:tr>
      <w:tr w14:paraId="0B90AA77">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E9A5">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4</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D181">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定制隔墙</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982D">
            <w:pPr>
              <w:widowControl/>
              <w:jc w:val="left"/>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1、规格尺寸：6000*3000*2720mm；采光隔板</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735F">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9F33">
            <w:pPr>
              <w:widowControl/>
              <w:jc w:val="center"/>
              <w:textAlignment w:val="center"/>
              <w:rPr>
                <w:rFonts w:ascii="新宋体" w:hAnsi="新宋体" w:eastAsia="新宋体" w:cs="新宋体"/>
                <w:color w:val="333333"/>
                <w:szCs w:val="21"/>
              </w:rPr>
            </w:pPr>
            <w:r>
              <w:rPr>
                <w:rFonts w:hint="eastAsia" w:ascii="新宋体" w:hAnsi="新宋体" w:eastAsia="新宋体" w:cs="新宋体"/>
                <w:color w:val="333333"/>
                <w:kern w:val="0"/>
                <w:szCs w:val="21"/>
                <w:lang w:bidi="ar"/>
              </w:rPr>
              <w:t>㎡</w:t>
            </w:r>
          </w:p>
        </w:tc>
      </w:tr>
      <w:tr w14:paraId="0D836B47">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A0EE">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5</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DE99">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照明灯</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77E9">
            <w:pPr>
              <w:widowControl/>
              <w:jc w:val="left"/>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1、普通照明灯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284E">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8</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D9CE">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个</w:t>
            </w:r>
          </w:p>
        </w:tc>
      </w:tr>
      <w:tr w14:paraId="2AD72818">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A7F8">
            <w:pPr>
              <w:widowControl/>
              <w:jc w:val="center"/>
              <w:textAlignment w:val="center"/>
              <w:rPr>
                <w:rFonts w:ascii="新宋体" w:hAnsi="新宋体" w:eastAsia="新宋体" w:cs="新宋体"/>
                <w:color w:val="000000"/>
                <w:kern w:val="0"/>
                <w:szCs w:val="21"/>
                <w:lang w:bidi="ar"/>
              </w:rPr>
            </w:pPr>
            <w:r>
              <w:rPr>
                <w:rFonts w:hint="eastAsia" w:ascii="新宋体" w:hAnsi="新宋体" w:eastAsia="新宋体" w:cs="新宋体"/>
                <w:color w:val="000000"/>
                <w:kern w:val="0"/>
                <w:szCs w:val="21"/>
                <w:lang w:bidi="ar"/>
              </w:rPr>
              <w:t>6</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04FE">
            <w:pPr>
              <w:widowControl/>
              <w:jc w:val="center"/>
              <w:textAlignment w:val="center"/>
              <w:rPr>
                <w:rFonts w:ascii="新宋体" w:hAnsi="新宋体" w:eastAsia="新宋体" w:cs="新宋体"/>
                <w:color w:val="000000"/>
                <w:kern w:val="0"/>
                <w:szCs w:val="21"/>
                <w:lang w:bidi="ar"/>
              </w:rPr>
            </w:pPr>
            <w:r>
              <w:rPr>
                <w:rFonts w:hint="eastAsia" w:ascii="新宋体" w:hAnsi="新宋体" w:eastAsia="新宋体" w:cs="新宋体"/>
                <w:color w:val="000000"/>
                <w:kern w:val="0"/>
                <w:szCs w:val="21"/>
                <w:lang w:bidi="ar"/>
              </w:rPr>
              <w:t>门口灯具</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C6F0">
            <w:pPr>
              <w:rPr>
                <w:rFonts w:hint="eastAsia" w:ascii="新宋体" w:hAnsi="新宋体" w:eastAsia="新宋体" w:cs="新宋体"/>
                <w:szCs w:val="21"/>
              </w:rPr>
            </w:pPr>
            <w:r>
              <w:rPr>
                <w:rFonts w:hint="eastAsia" w:ascii="新宋体" w:hAnsi="新宋体" w:eastAsia="新宋体" w:cs="新宋体"/>
                <w:szCs w:val="21"/>
              </w:rPr>
              <w:t>1、为一体式灯具，采用格栅防眩光处理，防眩格栅，格栅网面内侧应有防尘板（膜）。</w:t>
            </w:r>
          </w:p>
          <w:p w14:paraId="217462F7">
            <w:pPr>
              <w:rPr>
                <w:rFonts w:hint="eastAsia" w:ascii="新宋体" w:hAnsi="新宋体" w:eastAsia="新宋体" w:cs="新宋体"/>
                <w:szCs w:val="21"/>
              </w:rPr>
            </w:pPr>
            <w:r>
              <w:rPr>
                <w:rFonts w:hint="eastAsia" w:ascii="新宋体" w:hAnsi="新宋体" w:eastAsia="新宋体" w:cs="新宋体"/>
                <w:szCs w:val="21"/>
              </w:rPr>
              <w:t>▲2、光通量≥2900LM，光效≥80LM/W。</w:t>
            </w:r>
          </w:p>
          <w:p w14:paraId="52C564EB">
            <w:pPr>
              <w:rPr>
                <w:rFonts w:hint="eastAsia" w:ascii="新宋体" w:hAnsi="新宋体" w:eastAsia="新宋体" w:cs="新宋体"/>
                <w:szCs w:val="21"/>
              </w:rPr>
            </w:pPr>
            <w:r>
              <w:rPr>
                <w:rFonts w:hint="eastAsia" w:ascii="新宋体" w:hAnsi="新宋体" w:eastAsia="新宋体" w:cs="新宋体"/>
                <w:szCs w:val="21"/>
              </w:rPr>
              <w:t>▲3、色温在3300-5300K区间。</w:t>
            </w:r>
          </w:p>
          <w:p w14:paraId="0D559B79">
            <w:pPr>
              <w:rPr>
                <w:rFonts w:hint="eastAsia" w:ascii="新宋体" w:hAnsi="新宋体" w:eastAsia="新宋体" w:cs="新宋体"/>
                <w:szCs w:val="21"/>
              </w:rPr>
            </w:pPr>
            <w:r>
              <w:rPr>
                <w:rFonts w:hint="eastAsia" w:ascii="新宋体" w:hAnsi="新宋体" w:eastAsia="新宋体" w:cs="新宋体"/>
                <w:szCs w:val="21"/>
              </w:rPr>
              <w:t>▲4、显色指数Ra≥90，特殊显色指数R9≥50。</w:t>
            </w:r>
          </w:p>
          <w:p w14:paraId="75CA31AC">
            <w:pPr>
              <w:rPr>
                <w:rFonts w:hint="eastAsia" w:ascii="新宋体" w:hAnsi="新宋体" w:eastAsia="新宋体" w:cs="新宋体"/>
                <w:szCs w:val="21"/>
              </w:rPr>
            </w:pPr>
            <w:r>
              <w:rPr>
                <w:rFonts w:hint="eastAsia" w:ascii="新宋体" w:hAnsi="新宋体" w:eastAsia="新宋体" w:cs="新宋体"/>
                <w:szCs w:val="21"/>
              </w:rPr>
              <w:t>▲5、光生物安全检测为“无危险类”。</w:t>
            </w:r>
          </w:p>
          <w:p w14:paraId="440D1218">
            <w:pPr>
              <w:rPr>
                <w:rFonts w:hint="eastAsia" w:ascii="新宋体" w:hAnsi="新宋体" w:eastAsia="新宋体" w:cs="新宋体"/>
                <w:szCs w:val="21"/>
              </w:rPr>
            </w:pPr>
            <w:r>
              <w:rPr>
                <w:rFonts w:hint="eastAsia" w:ascii="新宋体" w:hAnsi="新宋体" w:eastAsia="新宋体" w:cs="新宋体"/>
                <w:szCs w:val="21"/>
              </w:rPr>
              <w:t>▲6、蓝光危害等级为RG0（或无危险类）。</w:t>
            </w:r>
          </w:p>
          <w:p w14:paraId="3FDA8A61">
            <w:pPr>
              <w:rPr>
                <w:rFonts w:hint="eastAsia" w:ascii="新宋体" w:hAnsi="新宋体" w:eastAsia="新宋体" w:cs="新宋体"/>
                <w:szCs w:val="21"/>
              </w:rPr>
            </w:pPr>
            <w:r>
              <w:rPr>
                <w:rFonts w:hint="eastAsia" w:ascii="新宋体" w:hAnsi="新宋体" w:eastAsia="新宋体" w:cs="新宋体"/>
                <w:szCs w:val="21"/>
              </w:rPr>
              <w:t>▲7、 “闪烁”项目检测为无显著影响。</w:t>
            </w:r>
          </w:p>
          <w:p w14:paraId="0237D1C7">
            <w:pPr>
              <w:rPr>
                <w:rFonts w:hint="eastAsia" w:ascii="新宋体" w:hAnsi="新宋体" w:eastAsia="新宋体" w:cs="新宋体"/>
                <w:szCs w:val="21"/>
              </w:rPr>
            </w:pPr>
            <w:r>
              <w:rPr>
                <w:rFonts w:hint="eastAsia" w:ascii="新宋体" w:hAnsi="新宋体" w:eastAsia="新宋体" w:cs="新宋体"/>
                <w:szCs w:val="21"/>
              </w:rPr>
              <w:t>▲8、寿命不低于50000小时，正常燃点15000小时，光通维持率应不低于99%，正常燃点25000小时</w:t>
            </w:r>
          </w:p>
          <w:p w14:paraId="0A1E5FC4">
            <w:pPr>
              <w:rPr>
                <w:rFonts w:hint="eastAsia" w:ascii="新宋体" w:hAnsi="新宋体" w:eastAsia="新宋体" w:cs="新宋体"/>
                <w:szCs w:val="21"/>
              </w:rPr>
            </w:pPr>
            <w:r>
              <w:rPr>
                <w:rFonts w:hint="eastAsia" w:ascii="新宋体" w:hAnsi="新宋体" w:eastAsia="新宋体" w:cs="新宋体"/>
                <w:szCs w:val="21"/>
              </w:rPr>
              <w:t>9、通过 25000 次循环开关测试，且光通量变化不超过5%。</w:t>
            </w:r>
          </w:p>
          <w:p w14:paraId="16350221">
            <w:pPr>
              <w:rPr>
                <w:rFonts w:hint="eastAsia" w:ascii="新宋体" w:hAnsi="新宋体" w:eastAsia="新宋体" w:cs="新宋体"/>
                <w:szCs w:val="21"/>
              </w:rPr>
            </w:pPr>
            <w:r>
              <w:rPr>
                <w:rFonts w:hint="eastAsia" w:ascii="新宋体" w:hAnsi="新宋体" w:eastAsia="新宋体" w:cs="新宋体"/>
                <w:szCs w:val="21"/>
              </w:rPr>
              <w:t>10、为了保证灯具在运输过程中的安全性，不影响后期安装实施，灯具在运输过程要做到必要的防护。</w:t>
            </w:r>
          </w:p>
          <w:p w14:paraId="1AEFCDAF">
            <w:pPr>
              <w:rPr>
                <w:rFonts w:ascii="新宋体" w:hAnsi="新宋体" w:eastAsia="新宋体" w:cs="新宋体"/>
                <w:szCs w:val="21"/>
              </w:rPr>
            </w:pPr>
            <w:r>
              <w:rPr>
                <w:rFonts w:hint="eastAsia" w:ascii="新宋体" w:hAnsi="新宋体" w:eastAsia="新宋体" w:cs="新宋体"/>
                <w:szCs w:val="21"/>
              </w:rPr>
              <w:t>11、灯具人体所能感应电流密度应≤0.85以保证灯具电磁辐射的安全。</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9D71">
            <w:pPr>
              <w:widowControl/>
              <w:jc w:val="center"/>
              <w:textAlignment w:val="center"/>
              <w:rPr>
                <w:rFonts w:ascii="新宋体" w:hAnsi="新宋体" w:eastAsia="新宋体" w:cs="新宋体"/>
                <w:color w:val="000000"/>
                <w:kern w:val="0"/>
                <w:szCs w:val="21"/>
                <w:lang w:bidi="ar"/>
              </w:rPr>
            </w:pPr>
            <w:r>
              <w:rPr>
                <w:rFonts w:hint="eastAsia" w:ascii="新宋体" w:hAnsi="新宋体" w:eastAsia="新宋体" w:cs="新宋体"/>
                <w:color w:val="000000"/>
                <w:kern w:val="0"/>
                <w:szCs w:val="21"/>
                <w:lang w:bidi="ar"/>
              </w:rPr>
              <w:t>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2BF6">
            <w:pPr>
              <w:widowControl/>
              <w:jc w:val="center"/>
              <w:textAlignment w:val="center"/>
              <w:rPr>
                <w:rFonts w:ascii="新宋体" w:hAnsi="新宋体" w:eastAsia="新宋体" w:cs="新宋体"/>
                <w:color w:val="000000"/>
                <w:kern w:val="0"/>
                <w:szCs w:val="21"/>
                <w:lang w:bidi="ar"/>
              </w:rPr>
            </w:pPr>
            <w:r>
              <w:rPr>
                <w:rFonts w:hint="eastAsia" w:ascii="新宋体" w:hAnsi="新宋体" w:eastAsia="新宋体" w:cs="新宋体"/>
                <w:color w:val="000000"/>
                <w:kern w:val="0"/>
                <w:szCs w:val="21"/>
                <w:lang w:bidi="ar"/>
              </w:rPr>
              <w:t>盏</w:t>
            </w:r>
          </w:p>
        </w:tc>
      </w:tr>
      <w:tr w14:paraId="19CC6960">
        <w:tblPrEx>
          <w:tblCellMar>
            <w:top w:w="0" w:type="dxa"/>
            <w:left w:w="108" w:type="dxa"/>
            <w:bottom w:w="0" w:type="dxa"/>
            <w:right w:w="108" w:type="dxa"/>
          </w:tblCellMar>
        </w:tblPrEx>
        <w:trPr>
          <w:trHeight w:val="9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C8E4">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7</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A067">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强电材料</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52FB">
            <w:pPr>
              <w:widowControl/>
              <w:numPr>
                <w:ilvl w:val="0"/>
                <w:numId w:val="11"/>
              </w:numPr>
              <w:jc w:val="left"/>
              <w:textAlignment w:val="center"/>
              <w:rPr>
                <w:rFonts w:ascii="新宋体" w:hAnsi="新宋体" w:eastAsia="新宋体" w:cs="新宋体"/>
                <w:color w:val="000000"/>
                <w:kern w:val="0"/>
                <w:szCs w:val="21"/>
                <w:lang w:bidi="ar"/>
              </w:rPr>
            </w:pPr>
            <w:r>
              <w:rPr>
                <w:rFonts w:hint="eastAsia" w:ascii="新宋体" w:hAnsi="新宋体" w:eastAsia="新宋体" w:cs="新宋体"/>
                <w:color w:val="000000"/>
                <w:kern w:val="0"/>
                <w:szCs w:val="21"/>
                <w:lang w:bidi="ar"/>
              </w:rPr>
              <w:t>≥RVV 6.0mm²，需接入主电箱</w:t>
            </w:r>
          </w:p>
          <w:p w14:paraId="5E8A5CB8">
            <w:pPr>
              <w:pStyle w:val="2"/>
              <w:rPr>
                <w:rFonts w:ascii="新宋体" w:hAnsi="新宋体" w:eastAsia="新宋体" w:cs="新宋体"/>
                <w:sz w:val="21"/>
                <w:szCs w:val="21"/>
              </w:rPr>
            </w:pPr>
            <w:r>
              <w:rPr>
                <w:rFonts w:hint="eastAsia" w:ascii="新宋体" w:hAnsi="新宋体" w:eastAsia="新宋体" w:cs="新宋体"/>
                <w:sz w:val="21"/>
                <w:szCs w:val="21"/>
              </w:rPr>
              <w:t>2、符合国际相关标准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8363">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2C2E">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项</w:t>
            </w:r>
          </w:p>
        </w:tc>
      </w:tr>
      <w:tr w14:paraId="224781DF">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9B4D">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8</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C91F">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高压水枪</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B9FC">
            <w:pPr>
              <w:widowControl/>
              <w:jc w:val="left"/>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w:t>
            </w:r>
            <w:r>
              <w:rPr>
                <w:rFonts w:hint="eastAsia" w:ascii="新宋体" w:hAnsi="新宋体" w:eastAsia="新宋体" w:cs="新宋体"/>
                <w:szCs w:val="21"/>
              </w:rPr>
              <w:t>符合国际相关标准</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A7CF">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2</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38BE">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套</w:t>
            </w:r>
          </w:p>
        </w:tc>
      </w:tr>
      <w:tr w14:paraId="3BDDDCC0">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803A">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9</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6ABF">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增加给水系统</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CAEC">
            <w:pPr>
              <w:widowControl/>
              <w:jc w:val="left"/>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w:t>
            </w:r>
            <w:r>
              <w:rPr>
                <w:rFonts w:hint="eastAsia" w:ascii="新宋体" w:hAnsi="新宋体" w:eastAsia="新宋体" w:cs="新宋体"/>
                <w:color w:val="000000"/>
                <w:kern w:val="0"/>
                <w:szCs w:val="21"/>
              </w:rPr>
              <w:t>给水选用直径≥25 PVC水管</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51EE">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FE4F">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项</w:t>
            </w:r>
          </w:p>
        </w:tc>
      </w:tr>
      <w:tr w14:paraId="163C098A">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1144">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10</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930D">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增加排水系统</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0184">
            <w:pPr>
              <w:widowControl/>
              <w:numPr>
                <w:ilvl w:val="0"/>
                <w:numId w:val="12"/>
              </w:numPr>
              <w:jc w:val="left"/>
              <w:textAlignment w:val="center"/>
              <w:rPr>
                <w:rFonts w:ascii="新宋体" w:hAnsi="新宋体" w:eastAsia="新宋体" w:cs="新宋体"/>
                <w:color w:val="000000"/>
                <w:kern w:val="0"/>
                <w:szCs w:val="21"/>
                <w:lang w:bidi="ar"/>
              </w:rPr>
            </w:pPr>
            <w:r>
              <w:rPr>
                <w:rFonts w:hint="eastAsia" w:ascii="新宋体" w:hAnsi="新宋体" w:eastAsia="新宋体" w:cs="新宋体"/>
                <w:color w:val="000000"/>
                <w:kern w:val="0"/>
                <w:szCs w:val="21"/>
                <w:lang w:bidi="ar"/>
              </w:rPr>
              <w:t xml:space="preserve">室内不锈钢排水沟 </w:t>
            </w:r>
          </w:p>
          <w:p w14:paraId="3AFC24DF">
            <w:pPr>
              <w:widowControl/>
              <w:numPr>
                <w:ilvl w:val="0"/>
                <w:numId w:val="12"/>
              </w:numPr>
              <w:jc w:val="left"/>
              <w:textAlignment w:val="center"/>
              <w:rPr>
                <w:rFonts w:ascii="新宋体" w:hAnsi="新宋体" w:eastAsia="新宋体" w:cs="新宋体"/>
                <w:color w:val="000000"/>
                <w:kern w:val="0"/>
                <w:szCs w:val="21"/>
                <w:lang w:bidi="ar"/>
              </w:rPr>
            </w:pPr>
            <w:r>
              <w:rPr>
                <w:rFonts w:hint="eastAsia" w:ascii="新宋体" w:hAnsi="新宋体" w:eastAsia="新宋体" w:cs="新宋体"/>
                <w:color w:val="000000"/>
                <w:kern w:val="0"/>
                <w:szCs w:val="21"/>
                <w:lang w:bidi="ar"/>
              </w:rPr>
              <w:t xml:space="preserve">地漏  </w:t>
            </w:r>
          </w:p>
          <w:p w14:paraId="64AA0330">
            <w:pPr>
              <w:widowControl/>
              <w:numPr>
                <w:ilvl w:val="0"/>
                <w:numId w:val="12"/>
              </w:numPr>
              <w:jc w:val="left"/>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rPr>
              <w:t>排水管直径≥50 PVC水管</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B9A9">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7DD7">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项</w:t>
            </w:r>
          </w:p>
        </w:tc>
      </w:tr>
      <w:tr w14:paraId="12B5FA55">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4EBD">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11</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BE88">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定制洗手盆</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91B3">
            <w:pPr>
              <w:widowControl/>
              <w:numPr>
                <w:ilvl w:val="0"/>
                <w:numId w:val="13"/>
              </w:numPr>
              <w:jc w:val="left"/>
              <w:textAlignment w:val="center"/>
              <w:rPr>
                <w:rFonts w:ascii="新宋体" w:hAnsi="新宋体" w:eastAsia="新宋体" w:cs="新宋体"/>
                <w:color w:val="000000"/>
                <w:kern w:val="0"/>
                <w:szCs w:val="21"/>
                <w:lang w:bidi="ar"/>
              </w:rPr>
            </w:pPr>
            <w:r>
              <w:rPr>
                <w:rFonts w:hint="eastAsia" w:ascii="新宋体" w:hAnsi="新宋体" w:eastAsia="新宋体" w:cs="新宋体"/>
                <w:color w:val="000000"/>
                <w:kern w:val="0"/>
                <w:szCs w:val="21"/>
                <w:lang w:bidi="ar"/>
              </w:rPr>
              <w:t xml:space="preserve">根据现场实际定制洗手盆 1套  </w:t>
            </w:r>
          </w:p>
          <w:p w14:paraId="52809E47">
            <w:pPr>
              <w:widowControl/>
              <w:jc w:val="left"/>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2、含辅材</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A7A5">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9E0E">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项</w:t>
            </w:r>
          </w:p>
        </w:tc>
      </w:tr>
      <w:tr w14:paraId="7A97D586">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2998">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12</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6E09">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新风机（空气置换）</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AA42">
            <w:pPr>
              <w:widowControl/>
              <w:numPr>
                <w:ilvl w:val="0"/>
                <w:numId w:val="14"/>
              </w:numPr>
              <w:jc w:val="left"/>
              <w:textAlignment w:val="center"/>
              <w:rPr>
                <w:rFonts w:ascii="新宋体" w:hAnsi="新宋体" w:eastAsia="新宋体" w:cs="新宋体"/>
                <w:color w:val="000000"/>
                <w:kern w:val="0"/>
                <w:szCs w:val="21"/>
                <w:lang w:bidi="ar"/>
              </w:rPr>
            </w:pPr>
            <w:r>
              <w:rPr>
                <w:rFonts w:hint="eastAsia" w:ascii="新宋体" w:hAnsi="新宋体" w:eastAsia="新宋体" w:cs="新宋体"/>
                <w:color w:val="000000"/>
                <w:kern w:val="0"/>
                <w:szCs w:val="21"/>
                <w:lang w:bidi="ar"/>
              </w:rPr>
              <w:t>国标（</w:t>
            </w:r>
            <w:r>
              <w:rPr>
                <w:rFonts w:hint="eastAsia" w:ascii="新宋体" w:hAnsi="新宋体" w:eastAsia="新宋体" w:cs="新宋体"/>
                <w:szCs w:val="21"/>
              </w:rPr>
              <w:t>符合国际相关标准</w:t>
            </w:r>
            <w:r>
              <w:rPr>
                <w:rFonts w:hint="eastAsia" w:ascii="新宋体" w:hAnsi="新宋体" w:eastAsia="新宋体" w:cs="新宋体"/>
                <w:color w:val="000000"/>
                <w:kern w:val="0"/>
                <w:szCs w:val="21"/>
                <w:lang w:bidi="ar"/>
              </w:rPr>
              <w:t xml:space="preserve">） </w:t>
            </w:r>
          </w:p>
          <w:p w14:paraId="1E6D7798">
            <w:pPr>
              <w:widowControl/>
              <w:jc w:val="left"/>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2、含管道和配件</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4C2C">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B349">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台</w:t>
            </w:r>
          </w:p>
        </w:tc>
      </w:tr>
      <w:tr w14:paraId="7775C97B">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ADDC">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13</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F89F">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消毒灯</w:t>
            </w:r>
          </w:p>
        </w:tc>
        <w:tc>
          <w:tcPr>
            <w:tcW w:w="2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DA10">
            <w:pPr>
              <w:widowControl/>
              <w:jc w:val="left"/>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1、国标消毒灯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15A9">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3CC8">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批</w:t>
            </w:r>
          </w:p>
        </w:tc>
      </w:tr>
      <w:tr w14:paraId="6CFF1F9B">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A24A">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14</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C310">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防蚊防虫灯</w:t>
            </w:r>
          </w:p>
        </w:tc>
        <w:tc>
          <w:tcPr>
            <w:tcW w:w="2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2031">
            <w:pPr>
              <w:widowControl/>
              <w:jc w:val="left"/>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1、国标防蚊防虫灯</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2CCA">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8</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1F39">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台</w:t>
            </w:r>
          </w:p>
        </w:tc>
      </w:tr>
      <w:tr w14:paraId="295DC546">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0DFF">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15</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91B3">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（冷机组）防臭改造</w:t>
            </w:r>
          </w:p>
        </w:tc>
        <w:tc>
          <w:tcPr>
            <w:tcW w:w="2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6A31">
            <w:pPr>
              <w:widowControl/>
              <w:jc w:val="left"/>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1、符合国家相关标准</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571B">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14C3">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项</w:t>
            </w:r>
          </w:p>
        </w:tc>
      </w:tr>
      <w:tr w14:paraId="00189A60">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7A10">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16</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5340">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推拉门</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DDC4">
            <w:pPr>
              <w:widowControl/>
              <w:jc w:val="left"/>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1、推拉门</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8EFA">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F5F6">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套</w:t>
            </w:r>
          </w:p>
        </w:tc>
      </w:tr>
      <w:tr w14:paraId="694E7581">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263E">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17</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F3F7">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消防器材和设备</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B6F2">
            <w:pPr>
              <w:widowControl/>
              <w:jc w:val="left"/>
              <w:textAlignment w:val="center"/>
              <w:rPr>
                <w:rFonts w:ascii="新宋体" w:hAnsi="新宋体" w:eastAsia="新宋体" w:cs="新宋体"/>
                <w:color w:val="000000"/>
                <w:kern w:val="0"/>
                <w:szCs w:val="21"/>
                <w:lang w:bidi="ar"/>
              </w:rPr>
            </w:pPr>
            <w:r>
              <w:rPr>
                <w:rFonts w:hint="eastAsia" w:ascii="新宋体" w:hAnsi="新宋体" w:eastAsia="新宋体" w:cs="新宋体"/>
                <w:color w:val="000000"/>
                <w:kern w:val="0"/>
                <w:szCs w:val="21"/>
                <w:lang w:bidi="ar"/>
              </w:rPr>
              <w:t xml:space="preserve">1、消防接入 </w:t>
            </w:r>
          </w:p>
          <w:p w14:paraId="1BD26E59">
            <w:pPr>
              <w:widowControl/>
              <w:jc w:val="left"/>
              <w:textAlignment w:val="center"/>
              <w:rPr>
                <w:rFonts w:ascii="新宋体" w:hAnsi="新宋体" w:eastAsia="新宋体" w:cs="新宋体"/>
                <w:color w:val="000000"/>
                <w:kern w:val="0"/>
                <w:szCs w:val="21"/>
                <w:lang w:bidi="ar"/>
              </w:rPr>
            </w:pPr>
            <w:r>
              <w:rPr>
                <w:rFonts w:hint="eastAsia" w:ascii="新宋体" w:hAnsi="新宋体" w:eastAsia="新宋体" w:cs="新宋体"/>
                <w:color w:val="000000"/>
                <w:kern w:val="0"/>
                <w:szCs w:val="21"/>
                <w:lang w:bidi="ar"/>
              </w:rPr>
              <w:t xml:space="preserve">2、符合消防标准 </w:t>
            </w:r>
          </w:p>
          <w:p w14:paraId="63A55377">
            <w:pPr>
              <w:widowControl/>
              <w:jc w:val="left"/>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3、消防辅材</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98D7">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2</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733B">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项</w:t>
            </w:r>
          </w:p>
        </w:tc>
      </w:tr>
      <w:tr w14:paraId="50400C28">
        <w:tblPrEx>
          <w:tblCellMar>
            <w:top w:w="0" w:type="dxa"/>
            <w:left w:w="108" w:type="dxa"/>
            <w:bottom w:w="0" w:type="dxa"/>
            <w:right w:w="108" w:type="dxa"/>
          </w:tblCellMar>
        </w:tblPrEx>
        <w:trPr>
          <w:trHeight w:val="50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C4BA">
            <w:pPr>
              <w:jc w:val="center"/>
              <w:rPr>
                <w:rFonts w:ascii="新宋体" w:hAnsi="新宋体" w:eastAsia="新宋体" w:cs="新宋体"/>
                <w:color w:val="000000"/>
                <w:szCs w:val="21"/>
              </w:rPr>
            </w:pPr>
            <w:r>
              <w:rPr>
                <w:rFonts w:hint="eastAsia" w:ascii="新宋体" w:hAnsi="新宋体" w:eastAsia="新宋体" w:cs="新宋体"/>
                <w:color w:val="000000"/>
                <w:szCs w:val="21"/>
              </w:rPr>
              <w:t>1</w:t>
            </w:r>
            <w:r>
              <w:rPr>
                <w:rFonts w:ascii="新宋体" w:hAnsi="新宋体" w:eastAsia="新宋体" w:cs="新宋体"/>
                <w:color w:val="000000"/>
                <w:szCs w:val="21"/>
              </w:rPr>
              <w:t>8</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0A37">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专用摄像头</w:t>
            </w:r>
          </w:p>
        </w:tc>
        <w:tc>
          <w:tcPr>
            <w:tcW w:w="2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F260">
            <w:pPr>
              <w:widowControl/>
              <w:jc w:val="left"/>
              <w:textAlignment w:val="center"/>
              <w:rPr>
                <w:rFonts w:hint="eastAsia" w:ascii="新宋体" w:hAnsi="新宋体" w:eastAsia="新宋体" w:cs="新宋体"/>
                <w:color w:val="000000"/>
                <w:szCs w:val="21"/>
              </w:rPr>
            </w:pPr>
            <w:r>
              <w:rPr>
                <w:rFonts w:hint="eastAsia" w:ascii="新宋体" w:hAnsi="新宋体" w:eastAsia="新宋体" w:cs="新宋体"/>
                <w:color w:val="000000"/>
                <w:szCs w:val="21"/>
              </w:rPr>
              <w:t>1、具有不小于1/1.8"靶面尺寸，镜头光圈大小为F1.0，内置≥1颗GPU芯片。</w:t>
            </w:r>
          </w:p>
          <w:p w14:paraId="719DA55D">
            <w:pPr>
              <w:widowControl/>
              <w:jc w:val="left"/>
              <w:textAlignment w:val="center"/>
              <w:rPr>
                <w:rFonts w:hint="eastAsia" w:ascii="新宋体" w:hAnsi="新宋体" w:eastAsia="新宋体" w:cs="新宋体"/>
                <w:color w:val="000000"/>
                <w:szCs w:val="21"/>
              </w:rPr>
            </w:pPr>
            <w:r>
              <w:rPr>
                <w:rFonts w:hint="eastAsia" w:ascii="新宋体" w:hAnsi="新宋体" w:eastAsia="新宋体" w:cs="新宋体"/>
                <w:color w:val="000000"/>
                <w:szCs w:val="21"/>
              </w:rPr>
              <w:t>2、图像尺寸：≥2560× 1440</w:t>
            </w:r>
          </w:p>
          <w:p w14:paraId="1A95EED1">
            <w:pPr>
              <w:widowControl/>
              <w:jc w:val="left"/>
              <w:textAlignment w:val="center"/>
              <w:rPr>
                <w:rFonts w:hint="eastAsia" w:ascii="新宋体" w:hAnsi="新宋体" w:eastAsia="新宋体" w:cs="新宋体"/>
                <w:color w:val="000000"/>
                <w:szCs w:val="21"/>
              </w:rPr>
            </w:pPr>
            <w:r>
              <w:rPr>
                <w:rFonts w:hint="eastAsia" w:ascii="新宋体" w:hAnsi="新宋体" w:eastAsia="新宋体" w:cs="新宋体"/>
                <w:color w:val="000000"/>
                <w:szCs w:val="21"/>
              </w:rPr>
              <w:t>3、具有AI-ISP图像质量提升功能，在低照度环境下，可自动调节预览场景视频画面中人脸、人体、车辆等目标及预览场景视频画面的区域曝光、亮度、色彩饱和、度、对比度、锐度等。</w:t>
            </w:r>
          </w:p>
          <w:p w14:paraId="03DD9537">
            <w:pPr>
              <w:widowControl/>
              <w:jc w:val="left"/>
              <w:textAlignment w:val="center"/>
              <w:rPr>
                <w:rFonts w:hint="eastAsia" w:ascii="新宋体" w:hAnsi="新宋体" w:eastAsia="新宋体" w:cs="新宋体"/>
                <w:color w:val="000000"/>
                <w:szCs w:val="21"/>
              </w:rPr>
            </w:pPr>
            <w:r>
              <w:rPr>
                <w:rFonts w:hint="eastAsia" w:ascii="新宋体" w:hAnsi="新宋体" w:eastAsia="新宋体" w:cs="新宋体"/>
                <w:color w:val="000000"/>
                <w:szCs w:val="21"/>
              </w:rPr>
              <w:t>4、▲设备内置大模型算法芯片，运用大模型算法检测并分类识别目标（人员、机动车、动物）。</w:t>
            </w:r>
          </w:p>
          <w:p w14:paraId="3B31A729">
            <w:pPr>
              <w:widowControl/>
              <w:jc w:val="left"/>
              <w:textAlignment w:val="center"/>
              <w:rPr>
                <w:rFonts w:hint="eastAsia" w:ascii="新宋体" w:hAnsi="新宋体" w:eastAsia="新宋体" w:cs="新宋体"/>
                <w:color w:val="000000"/>
                <w:szCs w:val="21"/>
              </w:rPr>
            </w:pPr>
            <w:r>
              <w:rPr>
                <w:rFonts w:hint="eastAsia" w:ascii="新宋体" w:hAnsi="新宋体" w:eastAsia="新宋体" w:cs="新宋体"/>
                <w:color w:val="000000"/>
                <w:szCs w:val="21"/>
              </w:rPr>
              <w:t>5、▲摄像机采用鳞镜式补光灯，补光灯开启后，正面不可见补光灯灯珠，补光亮度均匀，无明显波纹状、圆环状、麻点状、条纹状及不规则亮斑。</w:t>
            </w:r>
          </w:p>
          <w:p w14:paraId="1821D531">
            <w:pPr>
              <w:widowControl/>
              <w:jc w:val="left"/>
              <w:textAlignment w:val="center"/>
              <w:rPr>
                <w:rFonts w:hint="eastAsia" w:ascii="新宋体" w:hAnsi="新宋体" w:eastAsia="新宋体" w:cs="新宋体"/>
                <w:color w:val="000000"/>
                <w:szCs w:val="21"/>
              </w:rPr>
            </w:pPr>
            <w:r>
              <w:rPr>
                <w:rFonts w:hint="eastAsia" w:ascii="新宋体" w:hAnsi="新宋体" w:eastAsia="新宋体" w:cs="新宋体"/>
                <w:color w:val="000000"/>
                <w:szCs w:val="21"/>
              </w:rPr>
              <w:t>6、▲设备在水平视场角不小于90°时，可检测距离设备≥60m处肩宽不超过20像素的行人。</w:t>
            </w:r>
          </w:p>
          <w:p w14:paraId="2A717E9A">
            <w:pPr>
              <w:widowControl/>
              <w:jc w:val="left"/>
              <w:textAlignment w:val="center"/>
              <w:rPr>
                <w:rFonts w:hint="eastAsia" w:ascii="新宋体" w:hAnsi="新宋体" w:eastAsia="新宋体" w:cs="新宋体"/>
                <w:color w:val="000000"/>
                <w:szCs w:val="21"/>
              </w:rPr>
            </w:pPr>
            <w:r>
              <w:rPr>
                <w:rFonts w:hint="eastAsia" w:ascii="新宋体" w:hAnsi="新宋体" w:eastAsia="新宋体" w:cs="新宋体"/>
                <w:color w:val="000000"/>
                <w:szCs w:val="21"/>
              </w:rPr>
              <w:t>7、补光距离：白光：普通监控：可达≥60 m；防护：≥IP67，设备支持DC12V和POE供电</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AFF6">
            <w:pPr>
              <w:widowControl/>
              <w:jc w:val="center"/>
              <w:textAlignment w:val="center"/>
              <w:rPr>
                <w:rFonts w:ascii="新宋体" w:hAnsi="新宋体" w:eastAsia="新宋体" w:cs="新宋体"/>
                <w:color w:val="000000"/>
                <w:szCs w:val="21"/>
              </w:rPr>
            </w:pPr>
            <w:r>
              <w:rPr>
                <w:rFonts w:ascii="新宋体" w:hAnsi="新宋体" w:eastAsia="新宋体" w:cs="新宋体"/>
                <w:color w:val="000000"/>
                <w:kern w:val="0"/>
                <w:szCs w:val="21"/>
                <w:lang w:bidi="ar"/>
              </w:rPr>
              <w:t>4</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46DF">
            <w:pPr>
              <w:widowControl/>
              <w:jc w:val="center"/>
              <w:textAlignment w:val="center"/>
              <w:rPr>
                <w:rFonts w:ascii="新宋体" w:hAnsi="新宋体" w:eastAsia="新宋体" w:cs="新宋体"/>
                <w:color w:val="000000"/>
                <w:szCs w:val="21"/>
              </w:rPr>
            </w:pPr>
            <w:r>
              <w:rPr>
                <w:rFonts w:hint="eastAsia" w:ascii="新宋体" w:hAnsi="新宋体" w:eastAsia="新宋体" w:cs="新宋体"/>
                <w:color w:val="000000"/>
                <w:kern w:val="0"/>
                <w:szCs w:val="21"/>
                <w:lang w:bidi="ar"/>
              </w:rPr>
              <w:t>台</w:t>
            </w:r>
          </w:p>
        </w:tc>
      </w:tr>
    </w:tbl>
    <w:p w14:paraId="03AEF695">
      <w:pPr>
        <w:rPr>
          <w:b/>
          <w:szCs w:val="21"/>
        </w:rPr>
      </w:pPr>
    </w:p>
    <w:p w14:paraId="049BE195">
      <w:pPr>
        <w:pStyle w:val="4"/>
        <w:jc w:val="left"/>
        <w:rPr>
          <w:rFonts w:hint="eastAsia" w:ascii="新宋体" w:hAnsi="新宋体" w:eastAsia="新宋体"/>
          <w:kern w:val="44"/>
          <w:sz w:val="30"/>
          <w:szCs w:val="30"/>
        </w:rPr>
      </w:pPr>
      <w:r>
        <w:rPr>
          <w:rFonts w:hint="eastAsia" w:ascii="新宋体" w:hAnsi="新宋体" w:eastAsia="新宋体"/>
          <w:kern w:val="44"/>
          <w:sz w:val="30"/>
          <w:szCs w:val="30"/>
        </w:rPr>
        <w:t>五、检测报告</w:t>
      </w:r>
    </w:p>
    <w:tbl>
      <w:tblPr>
        <w:tblStyle w:val="4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4253"/>
        <w:gridCol w:w="3118"/>
      </w:tblGrid>
      <w:tr w14:paraId="0E40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3D5C6B9">
            <w:pPr>
              <w:spacing w:line="276" w:lineRule="auto"/>
              <w:jc w:val="center"/>
              <w:rPr>
                <w:rFonts w:ascii="新宋体" w:hAnsi="新宋体" w:eastAsia="新宋体"/>
              </w:rPr>
            </w:pPr>
            <w:r>
              <w:rPr>
                <w:rFonts w:hint="eastAsia" w:ascii="新宋体" w:hAnsi="新宋体" w:eastAsia="新宋体"/>
              </w:rPr>
              <w:t>序号</w:t>
            </w:r>
          </w:p>
        </w:tc>
        <w:tc>
          <w:tcPr>
            <w:tcW w:w="1559" w:type="dxa"/>
          </w:tcPr>
          <w:p w14:paraId="7C3F3B9B">
            <w:pPr>
              <w:spacing w:line="276" w:lineRule="auto"/>
              <w:jc w:val="center"/>
              <w:rPr>
                <w:rFonts w:ascii="新宋体" w:hAnsi="新宋体" w:eastAsia="新宋体"/>
              </w:rPr>
            </w:pPr>
            <w:r>
              <w:rPr>
                <w:rFonts w:hint="eastAsia" w:ascii="新宋体" w:hAnsi="新宋体" w:eastAsia="新宋体"/>
              </w:rPr>
              <w:t>货物名称</w:t>
            </w:r>
          </w:p>
        </w:tc>
        <w:tc>
          <w:tcPr>
            <w:tcW w:w="4253" w:type="dxa"/>
          </w:tcPr>
          <w:p w14:paraId="351A5749">
            <w:pPr>
              <w:spacing w:line="276" w:lineRule="auto"/>
              <w:jc w:val="center"/>
              <w:rPr>
                <w:rFonts w:ascii="新宋体" w:hAnsi="新宋体" w:eastAsia="新宋体"/>
              </w:rPr>
            </w:pPr>
            <w:r>
              <w:rPr>
                <w:rFonts w:hint="eastAsia" w:ascii="新宋体" w:hAnsi="新宋体" w:eastAsia="新宋体"/>
              </w:rPr>
              <w:t>检测机构要求</w:t>
            </w:r>
          </w:p>
        </w:tc>
        <w:tc>
          <w:tcPr>
            <w:tcW w:w="3118" w:type="dxa"/>
          </w:tcPr>
          <w:p w14:paraId="67F41708">
            <w:pPr>
              <w:spacing w:line="276" w:lineRule="auto"/>
              <w:jc w:val="center"/>
              <w:rPr>
                <w:rFonts w:ascii="新宋体" w:hAnsi="新宋体" w:eastAsia="新宋体"/>
              </w:rPr>
            </w:pPr>
            <w:r>
              <w:rPr>
                <w:rFonts w:hint="eastAsia" w:ascii="新宋体" w:hAnsi="新宋体" w:eastAsia="新宋体"/>
              </w:rPr>
              <w:t>检测指标</w:t>
            </w:r>
          </w:p>
        </w:tc>
      </w:tr>
      <w:tr w14:paraId="586E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09" w:type="dxa"/>
          </w:tcPr>
          <w:p w14:paraId="41633C51">
            <w:pPr>
              <w:spacing w:line="276" w:lineRule="auto"/>
              <w:rPr>
                <w:rFonts w:ascii="新宋体" w:hAnsi="新宋体" w:eastAsia="新宋体"/>
              </w:rPr>
            </w:pPr>
            <w:r>
              <w:rPr>
                <w:rFonts w:hint="eastAsia" w:ascii="新宋体" w:hAnsi="新宋体" w:eastAsia="新宋体"/>
              </w:rPr>
              <w:t>1</w:t>
            </w:r>
          </w:p>
        </w:tc>
        <w:tc>
          <w:tcPr>
            <w:tcW w:w="1559" w:type="dxa"/>
          </w:tcPr>
          <w:p w14:paraId="7DF9DFB1">
            <w:pPr>
              <w:spacing w:line="276" w:lineRule="auto"/>
              <w:rPr>
                <w:rFonts w:ascii="新宋体" w:hAnsi="新宋体" w:eastAsia="新宋体"/>
              </w:rPr>
            </w:pPr>
          </w:p>
        </w:tc>
        <w:tc>
          <w:tcPr>
            <w:tcW w:w="4253" w:type="dxa"/>
          </w:tcPr>
          <w:p w14:paraId="714AEB9C">
            <w:pPr>
              <w:spacing w:line="276" w:lineRule="auto"/>
              <w:rPr>
                <w:rFonts w:ascii="新宋体" w:hAnsi="新宋体" w:eastAsia="新宋体"/>
              </w:rPr>
            </w:pPr>
          </w:p>
        </w:tc>
        <w:tc>
          <w:tcPr>
            <w:tcW w:w="3118" w:type="dxa"/>
          </w:tcPr>
          <w:p w14:paraId="7A7C8070">
            <w:pPr>
              <w:rPr>
                <w:rFonts w:ascii="新宋体" w:hAnsi="新宋体" w:eastAsia="新宋体"/>
              </w:rPr>
            </w:pPr>
          </w:p>
        </w:tc>
      </w:tr>
      <w:tr w14:paraId="532F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Pr>
          <w:p w14:paraId="493E4EA4">
            <w:pPr>
              <w:spacing w:line="276" w:lineRule="auto"/>
              <w:rPr>
                <w:rFonts w:ascii="新宋体" w:hAnsi="新宋体" w:eastAsia="新宋体"/>
              </w:rPr>
            </w:pPr>
            <w:r>
              <w:rPr>
                <w:rFonts w:hint="eastAsia" w:ascii="新宋体" w:hAnsi="新宋体" w:eastAsia="新宋体"/>
              </w:rPr>
              <w:t>2</w:t>
            </w:r>
          </w:p>
        </w:tc>
        <w:tc>
          <w:tcPr>
            <w:tcW w:w="1559" w:type="dxa"/>
          </w:tcPr>
          <w:p w14:paraId="7C84A130">
            <w:pPr>
              <w:spacing w:line="276" w:lineRule="auto"/>
              <w:rPr>
                <w:rFonts w:ascii="新宋体" w:hAnsi="新宋体" w:eastAsia="新宋体"/>
              </w:rPr>
            </w:pPr>
          </w:p>
        </w:tc>
        <w:tc>
          <w:tcPr>
            <w:tcW w:w="4253" w:type="dxa"/>
          </w:tcPr>
          <w:p w14:paraId="40B28104">
            <w:pPr>
              <w:spacing w:line="276" w:lineRule="auto"/>
              <w:rPr>
                <w:rFonts w:ascii="新宋体" w:hAnsi="新宋体" w:eastAsia="新宋体"/>
              </w:rPr>
            </w:pPr>
          </w:p>
        </w:tc>
        <w:tc>
          <w:tcPr>
            <w:tcW w:w="3118" w:type="dxa"/>
          </w:tcPr>
          <w:p w14:paraId="1555897D">
            <w:pPr>
              <w:pStyle w:val="2"/>
              <w:rPr>
                <w:lang w:bidi="ar"/>
              </w:rPr>
            </w:pPr>
          </w:p>
        </w:tc>
      </w:tr>
    </w:tbl>
    <w:p w14:paraId="2ABB34F9">
      <w:pPr>
        <w:spacing w:line="360" w:lineRule="auto"/>
        <w:rPr>
          <w:rFonts w:ascii="新宋体" w:hAnsi="新宋体" w:eastAsia="新宋体"/>
          <w:b/>
          <w:color w:val="FF0000"/>
          <w:szCs w:val="21"/>
        </w:rPr>
      </w:pPr>
      <w:r>
        <w:rPr>
          <w:rFonts w:hint="eastAsia" w:ascii="新宋体" w:hAnsi="新宋体" w:eastAsia="新宋体"/>
          <w:b/>
          <w:color w:val="FF0000"/>
          <w:szCs w:val="21"/>
        </w:rPr>
        <w:t>备注：</w:t>
      </w:r>
    </w:p>
    <w:p w14:paraId="1C1CCC48">
      <w:pPr>
        <w:spacing w:line="360" w:lineRule="auto"/>
        <w:rPr>
          <w:rFonts w:ascii="新宋体" w:hAnsi="新宋体" w:eastAsia="新宋体"/>
          <w:b/>
          <w:color w:val="FF0000"/>
          <w:szCs w:val="21"/>
        </w:rPr>
      </w:pPr>
      <w:r>
        <w:rPr>
          <w:rFonts w:hint="eastAsia" w:ascii="新宋体" w:hAnsi="新宋体" w:eastAsia="新宋体"/>
          <w:b/>
          <w:color w:val="FF0000"/>
          <w:szCs w:val="21"/>
        </w:rPr>
        <w:t>1、投标文件应按要求提供相应检测报告。</w:t>
      </w:r>
    </w:p>
    <w:p w14:paraId="19F44237">
      <w:pPr>
        <w:spacing w:line="360" w:lineRule="auto"/>
        <w:rPr>
          <w:rFonts w:ascii="新宋体" w:hAnsi="新宋体" w:eastAsia="新宋体"/>
          <w:b/>
          <w:color w:val="FF0000"/>
          <w:szCs w:val="21"/>
        </w:rPr>
      </w:pPr>
      <w:r>
        <w:rPr>
          <w:rFonts w:hint="eastAsia" w:ascii="新宋体" w:hAnsi="新宋体" w:eastAsia="新宋体"/>
          <w:b/>
          <w:color w:val="FF0000"/>
          <w:szCs w:val="21"/>
        </w:rPr>
        <w:t>2、检测报告（均为原件扫描件）的提供要求：</w:t>
      </w:r>
    </w:p>
    <w:p w14:paraId="7FF54B95">
      <w:pPr>
        <w:spacing w:line="360" w:lineRule="auto"/>
        <w:rPr>
          <w:rFonts w:ascii="新宋体" w:hAnsi="新宋体" w:eastAsia="新宋体"/>
          <w:b/>
          <w:color w:val="FF0000"/>
          <w:szCs w:val="21"/>
        </w:rPr>
      </w:pPr>
      <w:r>
        <w:rPr>
          <w:rFonts w:hint="eastAsia" w:ascii="新宋体" w:hAnsi="新宋体" w:eastAsia="新宋体"/>
          <w:b/>
          <w:color w:val="FF0000"/>
          <w:szCs w:val="21"/>
        </w:rPr>
        <w:t>（1）检测报告内容中若涉及外文说明，必须同时提供对应中文翻译说明，评标依据以中文翻译内容为准，外文说明仅供参考；检测报告尺寸和清晰度应该能够在电脑上被阅读、识别和判断；</w:t>
      </w:r>
    </w:p>
    <w:p w14:paraId="59658623">
      <w:pPr>
        <w:spacing w:line="360" w:lineRule="auto"/>
        <w:rPr>
          <w:rFonts w:ascii="新宋体" w:hAnsi="新宋体" w:eastAsia="新宋体"/>
          <w:b/>
          <w:color w:val="FF0000"/>
          <w:szCs w:val="21"/>
        </w:rPr>
      </w:pPr>
      <w:r>
        <w:rPr>
          <w:rFonts w:hint="eastAsia" w:ascii="新宋体" w:hAnsi="新宋体" w:eastAsia="新宋体"/>
          <w:b/>
          <w:color w:val="FF0000"/>
          <w:szCs w:val="21"/>
        </w:rPr>
        <w:t>（2）我国政府机构出具的产品检测报告应为报告正面、背面和附件标注的全部具体内容；产品检验报告的尺寸和清晰度应该能够在电脑上被阅读、识别和判断。</w:t>
      </w:r>
    </w:p>
    <w:p w14:paraId="2D8365ED">
      <w:pPr>
        <w:rPr>
          <w:sz w:val="24"/>
        </w:rPr>
      </w:pPr>
    </w:p>
    <w:p w14:paraId="06DE4444">
      <w:pPr>
        <w:pStyle w:val="4"/>
        <w:jc w:val="left"/>
        <w:rPr>
          <w:rFonts w:ascii="新宋体" w:hAnsi="新宋体" w:eastAsia="新宋体"/>
          <w:kern w:val="44"/>
          <w:sz w:val="30"/>
          <w:szCs w:val="30"/>
        </w:rPr>
      </w:pPr>
      <w:r>
        <w:rPr>
          <w:rFonts w:hint="eastAsia" w:ascii="新宋体" w:hAnsi="新宋体" w:eastAsia="新宋体"/>
          <w:kern w:val="44"/>
          <w:sz w:val="30"/>
          <w:szCs w:val="30"/>
        </w:rPr>
        <w:t>六、样品要求（本项目不适用）</w:t>
      </w:r>
    </w:p>
    <w:p w14:paraId="10F417AE">
      <w:pPr>
        <w:spacing w:line="360" w:lineRule="auto"/>
        <w:rPr>
          <w:rFonts w:ascii="新宋体" w:hAnsi="新宋体" w:eastAsia="新宋体"/>
        </w:rPr>
      </w:pPr>
      <w:r>
        <w:rPr>
          <w:rFonts w:hint="eastAsia" w:ascii="新宋体" w:hAnsi="新宋体" w:eastAsia="新宋体"/>
        </w:rPr>
        <w:t>（一）一般性规定和要求</w:t>
      </w:r>
    </w:p>
    <w:p w14:paraId="116AF961">
      <w:pPr>
        <w:spacing w:line="360" w:lineRule="auto"/>
        <w:rPr>
          <w:rFonts w:ascii="新宋体" w:hAnsi="新宋体" w:eastAsia="新宋体"/>
        </w:rPr>
      </w:pPr>
      <w:r>
        <w:rPr>
          <w:rFonts w:hint="eastAsia" w:ascii="新宋体" w:hAnsi="新宋体" w:eastAsia="新宋体"/>
        </w:rPr>
        <w:t>1、投标样品上必须标注“项目名称及项目编号、样品编号、样品名称”等信息，但</w:t>
      </w:r>
      <w:r>
        <w:rPr>
          <w:rFonts w:ascii="新宋体" w:hAnsi="新宋体" w:eastAsia="新宋体"/>
        </w:rPr>
        <w:t>不</w:t>
      </w:r>
      <w:r>
        <w:rPr>
          <w:rFonts w:hint="eastAsia" w:ascii="新宋体" w:hAnsi="新宋体" w:eastAsia="新宋体"/>
        </w:rPr>
        <w:t>得显示指向</w:t>
      </w:r>
      <w:r>
        <w:rPr>
          <w:rFonts w:ascii="新宋体" w:hAnsi="新宋体" w:eastAsia="新宋体"/>
        </w:rPr>
        <w:t>任何</w:t>
      </w:r>
      <w:r>
        <w:rPr>
          <w:rFonts w:hint="eastAsia" w:ascii="新宋体" w:hAnsi="新宋体" w:eastAsia="新宋体"/>
        </w:rPr>
        <w:t>投标供应商的信息、</w:t>
      </w:r>
      <w:r>
        <w:rPr>
          <w:rFonts w:ascii="新宋体" w:hAnsi="新宋体" w:eastAsia="新宋体"/>
        </w:rPr>
        <w:t>生产厂家</w:t>
      </w:r>
      <w:r>
        <w:rPr>
          <w:rFonts w:hint="eastAsia" w:ascii="新宋体" w:hAnsi="新宋体" w:eastAsia="新宋体"/>
        </w:rPr>
        <w:t>的</w:t>
      </w:r>
      <w:r>
        <w:rPr>
          <w:rFonts w:ascii="新宋体" w:hAnsi="新宋体" w:eastAsia="新宋体"/>
        </w:rPr>
        <w:t>商标，或者</w:t>
      </w:r>
      <w:r>
        <w:rPr>
          <w:rFonts w:hint="eastAsia" w:ascii="新宋体" w:hAnsi="新宋体" w:eastAsia="新宋体"/>
        </w:rPr>
        <w:t>其他</w:t>
      </w:r>
      <w:r>
        <w:rPr>
          <w:rFonts w:ascii="新宋体" w:hAnsi="新宋体" w:eastAsia="新宋体"/>
        </w:rPr>
        <w:t>的标记标识</w:t>
      </w:r>
      <w:r>
        <w:rPr>
          <w:rFonts w:hint="eastAsia" w:ascii="新宋体" w:hAnsi="新宋体" w:eastAsia="新宋体"/>
        </w:rPr>
        <w:t>。需要安装的投标样品必须为安装完整的成品，由投标供应商自行组织安装。</w:t>
      </w:r>
    </w:p>
    <w:p w14:paraId="227142AB">
      <w:pPr>
        <w:spacing w:line="360" w:lineRule="auto"/>
        <w:rPr>
          <w:rFonts w:ascii="新宋体" w:hAnsi="新宋体" w:eastAsia="新宋体"/>
        </w:rPr>
      </w:pPr>
      <w:r>
        <w:rPr>
          <w:rFonts w:hint="eastAsia" w:ascii="新宋体" w:hAnsi="新宋体" w:eastAsia="新宋体"/>
        </w:rPr>
        <w:t>2、样品递交签到：</w:t>
      </w:r>
    </w:p>
    <w:p w14:paraId="6FA0DCF5">
      <w:pPr>
        <w:spacing w:line="360" w:lineRule="auto"/>
        <w:rPr>
          <w:rFonts w:ascii="新宋体" w:hAnsi="新宋体" w:eastAsia="新宋体"/>
        </w:rPr>
      </w:pPr>
      <w:r>
        <w:rPr>
          <w:rFonts w:hint="eastAsia" w:ascii="新宋体" w:hAnsi="新宋体" w:eastAsia="新宋体"/>
        </w:rPr>
        <w:t>投标供应商授权人需在本项目投标截止时间前，提供法定代表人证明书（盖公章）、法定代表人授权委托书（盖公章）、授权委托人身份证原件和复印件、样品清单（加盖公章），到深圳市瑞凝信招标咨询有限公司，按工作人员指引进行样品递交签到。</w:t>
      </w:r>
    </w:p>
    <w:p w14:paraId="128EC705">
      <w:pPr>
        <w:spacing w:line="360" w:lineRule="auto"/>
        <w:rPr>
          <w:rFonts w:ascii="新宋体" w:hAnsi="新宋体" w:eastAsia="新宋体"/>
        </w:rPr>
      </w:pPr>
      <w:r>
        <w:rPr>
          <w:rFonts w:hint="eastAsia" w:ascii="新宋体" w:hAnsi="新宋体" w:eastAsia="新宋体"/>
        </w:rPr>
        <w:t>特别注意事项：（1）上述资料提供不齐全的，不予签到；（2）本项目投标截止时间后，不再受理签到；（3）未进行签到的，样品不予接收。</w:t>
      </w:r>
    </w:p>
    <w:p w14:paraId="29E01099">
      <w:pPr>
        <w:spacing w:line="360" w:lineRule="auto"/>
        <w:rPr>
          <w:rFonts w:ascii="新宋体" w:hAnsi="新宋体" w:eastAsia="新宋体"/>
        </w:rPr>
      </w:pPr>
      <w:r>
        <w:rPr>
          <w:rFonts w:hint="eastAsia" w:ascii="新宋体" w:hAnsi="新宋体" w:eastAsia="新宋体"/>
        </w:rPr>
        <w:t xml:space="preserve">3、本项目投标截止时间后进行投标样品接收。投标样品接收必须进行身份核对、样品核对、登记确认、顺序编号。 </w:t>
      </w:r>
    </w:p>
    <w:p w14:paraId="083E595D">
      <w:pPr>
        <w:spacing w:line="360" w:lineRule="auto"/>
        <w:rPr>
          <w:rFonts w:ascii="新宋体" w:hAnsi="新宋体" w:eastAsia="新宋体"/>
        </w:rPr>
      </w:pPr>
      <w:r>
        <w:rPr>
          <w:rFonts w:hint="eastAsia" w:ascii="新宋体" w:hAnsi="新宋体" w:eastAsia="新宋体"/>
        </w:rPr>
        <w:t>（1）身份核对。代理机构核对投标供应商授权委托人提供的“法定代表人证明书（盖公章）、法定代表人授权委托书（盖公章）、授权委托人身份证原件和复印件”。资料不齐全的，不得接收投标样品。</w:t>
      </w:r>
    </w:p>
    <w:p w14:paraId="79F32CBB">
      <w:pPr>
        <w:spacing w:line="360" w:lineRule="auto"/>
        <w:rPr>
          <w:rFonts w:ascii="新宋体" w:hAnsi="新宋体" w:eastAsia="新宋体"/>
        </w:rPr>
      </w:pPr>
      <w:r>
        <w:rPr>
          <w:rFonts w:hint="eastAsia" w:ascii="新宋体" w:hAnsi="新宋体" w:eastAsia="新宋体"/>
        </w:rPr>
        <w:t>（2）样品核对。工作人员将投标样品与投标供应商提供的《样品清单》（盖公章）进行一一核对。有不一致的或损坏情况的，将要求供应商授权委托人在《样品清单》上注明。</w:t>
      </w:r>
    </w:p>
    <w:p w14:paraId="238B6C25">
      <w:pPr>
        <w:spacing w:line="360" w:lineRule="auto"/>
        <w:rPr>
          <w:rFonts w:ascii="新宋体" w:hAnsi="新宋体" w:eastAsia="新宋体"/>
        </w:rPr>
      </w:pPr>
      <w:r>
        <w:rPr>
          <w:rFonts w:hint="eastAsia" w:ascii="新宋体" w:hAnsi="新宋体" w:eastAsia="新宋体"/>
        </w:rPr>
        <w:t>（3）登记确认。在完成身份核对及样品核对后，投标供应商授权委托人必须在《样品接收登记表》上登记确认。</w:t>
      </w:r>
    </w:p>
    <w:p w14:paraId="247C5760">
      <w:pPr>
        <w:spacing w:line="360" w:lineRule="auto"/>
        <w:rPr>
          <w:rFonts w:ascii="新宋体" w:hAnsi="新宋体" w:eastAsia="新宋体"/>
        </w:rPr>
      </w:pPr>
      <w:r>
        <w:rPr>
          <w:rFonts w:hint="eastAsia" w:ascii="新宋体" w:hAnsi="新宋体" w:eastAsia="新宋体"/>
        </w:rPr>
        <w:t>（4）顺序编号。工作人员按投标样品接收的先后顺序进行编号。</w:t>
      </w:r>
    </w:p>
    <w:p w14:paraId="735D722B">
      <w:pPr>
        <w:spacing w:line="360" w:lineRule="auto"/>
        <w:rPr>
          <w:rFonts w:ascii="新宋体" w:hAnsi="新宋体" w:eastAsia="新宋体"/>
        </w:rPr>
      </w:pPr>
      <w:r>
        <w:rPr>
          <w:rFonts w:hint="eastAsia" w:ascii="新宋体" w:hAnsi="新宋体" w:eastAsia="新宋体"/>
        </w:rPr>
        <w:t>4、代理机构工作人员负责组织投标样品摆样，指引供应商授权委托人将投标样品搬运到指定地点摆放、拆除包装，按要求摆放整齐。完成样品摆样后，供应商授权委托人应及时立场，不得在摆样现场滞留。</w:t>
      </w:r>
    </w:p>
    <w:p w14:paraId="55DFCDB2">
      <w:pPr>
        <w:spacing w:line="360" w:lineRule="auto"/>
        <w:rPr>
          <w:rFonts w:ascii="新宋体" w:hAnsi="新宋体" w:eastAsia="新宋体"/>
        </w:rPr>
      </w:pPr>
      <w:r>
        <w:rPr>
          <w:rFonts w:hint="eastAsia" w:ascii="新宋体" w:hAnsi="新宋体" w:eastAsia="新宋体"/>
        </w:rPr>
        <w:t>5、样品的退回：（1）未中标的供应商投标样品，代理机构工作人员将按规定进行通知，并要求供应商授权委托人在项目完成评审后的三个工作日内凭身份证及样品受理回执原件办理退回手续。（2）中标的供应商投标样品，工作人员将按规定进行通知，并要求采购人代表在中标通知书发放后三个工作日内凭中标通知书复印件及身份证原件办理领取手续。</w:t>
      </w:r>
    </w:p>
    <w:p w14:paraId="025B712C">
      <w:pPr>
        <w:spacing w:line="360" w:lineRule="auto"/>
        <w:rPr>
          <w:rFonts w:ascii="新宋体" w:hAnsi="新宋体" w:eastAsia="新宋体"/>
        </w:rPr>
      </w:pPr>
      <w:r>
        <w:rPr>
          <w:rFonts w:hint="eastAsia" w:ascii="新宋体" w:hAnsi="新宋体" w:eastAsia="新宋体"/>
        </w:rPr>
        <w:t>投标样品移交时，代理机构工作人员将再次核对供应商授权委托人或采购人代表身份、核对《样品清单》，签字确认后并取走样品。</w:t>
      </w:r>
    </w:p>
    <w:p w14:paraId="2EC0DFC5">
      <w:pPr>
        <w:spacing w:line="360" w:lineRule="auto"/>
        <w:rPr>
          <w:rFonts w:ascii="新宋体" w:hAnsi="新宋体" w:eastAsia="新宋体"/>
        </w:rPr>
      </w:pPr>
      <w:r>
        <w:rPr>
          <w:rFonts w:hint="eastAsia" w:ascii="新宋体" w:hAnsi="新宋体" w:eastAsia="新宋体"/>
        </w:rPr>
        <w:t>6、未能及时退回的样品的处理：</w:t>
      </w:r>
    </w:p>
    <w:p w14:paraId="47AAA225">
      <w:pPr>
        <w:spacing w:line="360" w:lineRule="auto"/>
        <w:rPr>
          <w:rFonts w:ascii="新宋体" w:hAnsi="新宋体" w:eastAsia="新宋体"/>
        </w:rPr>
      </w:pPr>
      <w:r>
        <w:rPr>
          <w:rFonts w:hint="eastAsia" w:ascii="新宋体" w:hAnsi="新宋体" w:eastAsia="新宋体"/>
        </w:rPr>
        <w:t>（1）未中标供应商未在规定时间内（项目完成评审后三个工作日）内取回投标样品的，视为放弃取回，代理机构将定期清理。</w:t>
      </w:r>
    </w:p>
    <w:p w14:paraId="0590E525">
      <w:pPr>
        <w:spacing w:line="360" w:lineRule="auto"/>
        <w:rPr>
          <w:rFonts w:ascii="新宋体" w:hAnsi="新宋体" w:eastAsia="新宋体"/>
        </w:rPr>
      </w:pPr>
      <w:r>
        <w:rPr>
          <w:rFonts w:hint="eastAsia" w:ascii="新宋体" w:hAnsi="新宋体" w:eastAsia="新宋体"/>
        </w:rPr>
        <w:t>（2）采购人未在规定时间内（中标通知书发放后三个工作日内）内领取中标供应商投标样品的，代理机构工作人员将发函或电话敦促。经敦促仍拒不领取的，将按规定内容在代理机构网站发布通报。对于拒不领取的中标样品，视同采购人放弃取回，将定期清理。</w:t>
      </w:r>
    </w:p>
    <w:p w14:paraId="3A3E78A3">
      <w:pPr>
        <w:spacing w:line="360" w:lineRule="auto"/>
        <w:rPr>
          <w:rFonts w:ascii="新宋体" w:hAnsi="新宋体" w:eastAsia="新宋体"/>
          <w:kern w:val="0"/>
          <w:szCs w:val="18"/>
        </w:rPr>
      </w:pPr>
      <w:r>
        <w:rPr>
          <w:rFonts w:hint="eastAsia" w:ascii="新宋体" w:hAnsi="新宋体" w:eastAsia="新宋体"/>
          <w:kern w:val="0"/>
          <w:szCs w:val="18"/>
        </w:rPr>
        <w:t>（二）样品清单：</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35"/>
        <w:gridCol w:w="2396"/>
        <w:gridCol w:w="851"/>
        <w:gridCol w:w="1417"/>
      </w:tblGrid>
      <w:tr w14:paraId="117E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14:paraId="1C804E6E">
            <w:pPr>
              <w:spacing w:line="276" w:lineRule="auto"/>
              <w:jc w:val="center"/>
              <w:rPr>
                <w:rFonts w:ascii="新宋体" w:hAnsi="新宋体" w:eastAsia="新宋体"/>
                <w:snapToGrid w:val="0"/>
              </w:rPr>
            </w:pPr>
            <w:r>
              <w:rPr>
                <w:rFonts w:hint="eastAsia" w:ascii="新宋体" w:hAnsi="新宋体" w:eastAsia="新宋体"/>
                <w:snapToGrid w:val="0"/>
              </w:rPr>
              <w:t>序号</w:t>
            </w:r>
          </w:p>
        </w:tc>
        <w:tc>
          <w:tcPr>
            <w:tcW w:w="2835" w:type="dxa"/>
            <w:vAlign w:val="center"/>
          </w:tcPr>
          <w:p w14:paraId="0F0861FA">
            <w:pPr>
              <w:spacing w:line="276" w:lineRule="auto"/>
              <w:jc w:val="center"/>
              <w:rPr>
                <w:rFonts w:ascii="新宋体" w:hAnsi="新宋体" w:eastAsia="新宋体"/>
                <w:snapToGrid w:val="0"/>
              </w:rPr>
            </w:pPr>
            <w:r>
              <w:rPr>
                <w:rFonts w:hint="eastAsia" w:ascii="新宋体" w:hAnsi="新宋体" w:eastAsia="新宋体"/>
                <w:snapToGrid w:val="0"/>
              </w:rPr>
              <w:t>名称</w:t>
            </w:r>
          </w:p>
        </w:tc>
        <w:tc>
          <w:tcPr>
            <w:tcW w:w="2396" w:type="dxa"/>
            <w:vAlign w:val="center"/>
          </w:tcPr>
          <w:p w14:paraId="672DBCBE">
            <w:pPr>
              <w:spacing w:line="276" w:lineRule="auto"/>
              <w:jc w:val="center"/>
              <w:rPr>
                <w:rFonts w:ascii="新宋体" w:hAnsi="新宋体" w:eastAsia="新宋体"/>
                <w:snapToGrid w:val="0"/>
              </w:rPr>
            </w:pPr>
            <w:r>
              <w:rPr>
                <w:rFonts w:hint="eastAsia" w:ascii="新宋体" w:hAnsi="新宋体" w:eastAsia="新宋体"/>
                <w:snapToGrid w:val="0"/>
              </w:rPr>
              <w:t>数量</w:t>
            </w:r>
          </w:p>
        </w:tc>
        <w:tc>
          <w:tcPr>
            <w:tcW w:w="851" w:type="dxa"/>
          </w:tcPr>
          <w:p w14:paraId="72E28A4D">
            <w:pPr>
              <w:spacing w:line="276" w:lineRule="auto"/>
              <w:jc w:val="center"/>
              <w:rPr>
                <w:rFonts w:ascii="新宋体" w:hAnsi="新宋体" w:eastAsia="新宋体"/>
                <w:snapToGrid w:val="0"/>
              </w:rPr>
            </w:pPr>
            <w:r>
              <w:rPr>
                <w:rFonts w:hint="eastAsia" w:ascii="新宋体" w:hAnsi="新宋体" w:eastAsia="新宋体"/>
                <w:snapToGrid w:val="0"/>
              </w:rPr>
              <w:t>单位</w:t>
            </w:r>
          </w:p>
        </w:tc>
        <w:tc>
          <w:tcPr>
            <w:tcW w:w="1417" w:type="dxa"/>
          </w:tcPr>
          <w:p w14:paraId="066751B4">
            <w:pPr>
              <w:spacing w:line="276" w:lineRule="auto"/>
              <w:jc w:val="center"/>
              <w:rPr>
                <w:rFonts w:ascii="新宋体" w:hAnsi="新宋体" w:eastAsia="新宋体"/>
                <w:snapToGrid w:val="0"/>
              </w:rPr>
            </w:pPr>
            <w:r>
              <w:rPr>
                <w:rFonts w:hint="eastAsia" w:ascii="新宋体" w:hAnsi="新宋体" w:eastAsia="新宋体"/>
                <w:snapToGrid w:val="0"/>
              </w:rPr>
              <w:t>规格</w:t>
            </w:r>
          </w:p>
        </w:tc>
      </w:tr>
      <w:tr w14:paraId="6B9C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276" w:type="dxa"/>
            <w:vAlign w:val="center"/>
          </w:tcPr>
          <w:p w14:paraId="613BA1D0">
            <w:pPr>
              <w:spacing w:line="276" w:lineRule="auto"/>
              <w:jc w:val="center"/>
              <w:rPr>
                <w:rFonts w:ascii="新宋体" w:hAnsi="新宋体" w:eastAsia="新宋体"/>
                <w:snapToGrid w:val="0"/>
              </w:rPr>
            </w:pPr>
            <w:r>
              <w:rPr>
                <w:rFonts w:hint="eastAsia" w:ascii="新宋体" w:hAnsi="新宋体" w:eastAsia="新宋体"/>
                <w:snapToGrid w:val="0"/>
              </w:rPr>
              <w:t>1</w:t>
            </w:r>
          </w:p>
        </w:tc>
        <w:tc>
          <w:tcPr>
            <w:tcW w:w="2835" w:type="dxa"/>
            <w:vAlign w:val="center"/>
          </w:tcPr>
          <w:p w14:paraId="60AC8C5F">
            <w:pPr>
              <w:spacing w:line="276" w:lineRule="auto"/>
              <w:jc w:val="center"/>
              <w:rPr>
                <w:rFonts w:ascii="新宋体" w:hAnsi="新宋体" w:eastAsia="新宋体"/>
                <w:snapToGrid w:val="0"/>
              </w:rPr>
            </w:pPr>
          </w:p>
        </w:tc>
        <w:tc>
          <w:tcPr>
            <w:tcW w:w="2396" w:type="dxa"/>
            <w:vAlign w:val="center"/>
          </w:tcPr>
          <w:p w14:paraId="733EFA58">
            <w:pPr>
              <w:spacing w:line="276" w:lineRule="auto"/>
              <w:jc w:val="center"/>
              <w:rPr>
                <w:rFonts w:ascii="新宋体" w:hAnsi="新宋体" w:eastAsia="新宋体"/>
                <w:snapToGrid w:val="0"/>
              </w:rPr>
            </w:pPr>
          </w:p>
        </w:tc>
        <w:tc>
          <w:tcPr>
            <w:tcW w:w="851" w:type="dxa"/>
          </w:tcPr>
          <w:p w14:paraId="2F3B8ACE">
            <w:pPr>
              <w:spacing w:line="276" w:lineRule="auto"/>
              <w:jc w:val="center"/>
              <w:rPr>
                <w:rFonts w:ascii="新宋体" w:hAnsi="新宋体" w:eastAsia="新宋体"/>
                <w:snapToGrid w:val="0"/>
              </w:rPr>
            </w:pPr>
          </w:p>
        </w:tc>
        <w:tc>
          <w:tcPr>
            <w:tcW w:w="1417" w:type="dxa"/>
          </w:tcPr>
          <w:p w14:paraId="58992B5A">
            <w:pPr>
              <w:spacing w:line="276" w:lineRule="auto"/>
              <w:jc w:val="center"/>
              <w:rPr>
                <w:rFonts w:ascii="新宋体" w:hAnsi="新宋体" w:eastAsia="新宋体"/>
                <w:snapToGrid w:val="0"/>
              </w:rPr>
            </w:pPr>
          </w:p>
        </w:tc>
      </w:tr>
      <w:tr w14:paraId="2876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76" w:type="dxa"/>
            <w:vAlign w:val="center"/>
          </w:tcPr>
          <w:p w14:paraId="3F3497EC">
            <w:pPr>
              <w:spacing w:line="276" w:lineRule="auto"/>
              <w:jc w:val="center"/>
              <w:rPr>
                <w:rFonts w:ascii="新宋体" w:hAnsi="新宋体" w:eastAsia="新宋体"/>
                <w:snapToGrid w:val="0"/>
              </w:rPr>
            </w:pPr>
            <w:r>
              <w:rPr>
                <w:rFonts w:hint="eastAsia" w:ascii="新宋体" w:hAnsi="新宋体" w:eastAsia="新宋体"/>
                <w:snapToGrid w:val="0"/>
              </w:rPr>
              <w:t>2</w:t>
            </w:r>
          </w:p>
        </w:tc>
        <w:tc>
          <w:tcPr>
            <w:tcW w:w="2835" w:type="dxa"/>
            <w:vAlign w:val="center"/>
          </w:tcPr>
          <w:p w14:paraId="1ADD63C3">
            <w:pPr>
              <w:spacing w:line="276" w:lineRule="auto"/>
              <w:jc w:val="center"/>
              <w:rPr>
                <w:rFonts w:ascii="新宋体" w:hAnsi="新宋体" w:eastAsia="新宋体"/>
                <w:snapToGrid w:val="0"/>
              </w:rPr>
            </w:pPr>
          </w:p>
        </w:tc>
        <w:tc>
          <w:tcPr>
            <w:tcW w:w="2396" w:type="dxa"/>
            <w:vAlign w:val="center"/>
          </w:tcPr>
          <w:p w14:paraId="7CD0D0B1">
            <w:pPr>
              <w:spacing w:line="276" w:lineRule="auto"/>
              <w:jc w:val="center"/>
              <w:rPr>
                <w:rFonts w:ascii="新宋体" w:hAnsi="新宋体" w:eastAsia="新宋体"/>
                <w:snapToGrid w:val="0"/>
              </w:rPr>
            </w:pPr>
          </w:p>
        </w:tc>
        <w:tc>
          <w:tcPr>
            <w:tcW w:w="851" w:type="dxa"/>
          </w:tcPr>
          <w:p w14:paraId="51E2869E">
            <w:pPr>
              <w:spacing w:line="276" w:lineRule="auto"/>
              <w:jc w:val="center"/>
              <w:rPr>
                <w:rFonts w:ascii="新宋体" w:hAnsi="新宋体" w:eastAsia="新宋体"/>
                <w:snapToGrid w:val="0"/>
              </w:rPr>
            </w:pPr>
          </w:p>
        </w:tc>
        <w:tc>
          <w:tcPr>
            <w:tcW w:w="1417" w:type="dxa"/>
          </w:tcPr>
          <w:p w14:paraId="33D1379B">
            <w:pPr>
              <w:spacing w:line="276" w:lineRule="auto"/>
              <w:jc w:val="center"/>
              <w:rPr>
                <w:rFonts w:ascii="新宋体" w:hAnsi="新宋体" w:eastAsia="新宋体"/>
                <w:snapToGrid w:val="0"/>
              </w:rPr>
            </w:pPr>
          </w:p>
        </w:tc>
      </w:tr>
      <w:tr w14:paraId="0103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276" w:type="dxa"/>
            <w:vAlign w:val="center"/>
          </w:tcPr>
          <w:p w14:paraId="5DAC5937">
            <w:pPr>
              <w:spacing w:line="276" w:lineRule="auto"/>
              <w:jc w:val="center"/>
              <w:rPr>
                <w:rFonts w:ascii="新宋体" w:hAnsi="新宋体" w:eastAsia="新宋体"/>
                <w:snapToGrid w:val="0"/>
              </w:rPr>
            </w:pPr>
            <w:r>
              <w:rPr>
                <w:rFonts w:hint="eastAsia" w:ascii="新宋体" w:hAnsi="新宋体" w:eastAsia="新宋体"/>
                <w:snapToGrid w:val="0"/>
              </w:rPr>
              <w:t>3</w:t>
            </w:r>
          </w:p>
        </w:tc>
        <w:tc>
          <w:tcPr>
            <w:tcW w:w="2835" w:type="dxa"/>
            <w:vAlign w:val="center"/>
          </w:tcPr>
          <w:p w14:paraId="31929897">
            <w:pPr>
              <w:spacing w:line="276" w:lineRule="auto"/>
              <w:jc w:val="center"/>
              <w:rPr>
                <w:rFonts w:ascii="新宋体" w:hAnsi="新宋体" w:eastAsia="新宋体"/>
                <w:snapToGrid w:val="0"/>
              </w:rPr>
            </w:pPr>
          </w:p>
        </w:tc>
        <w:tc>
          <w:tcPr>
            <w:tcW w:w="2396" w:type="dxa"/>
            <w:vAlign w:val="center"/>
          </w:tcPr>
          <w:p w14:paraId="2FF4A2DA">
            <w:pPr>
              <w:spacing w:line="276" w:lineRule="auto"/>
              <w:jc w:val="center"/>
              <w:rPr>
                <w:rFonts w:ascii="新宋体" w:hAnsi="新宋体" w:eastAsia="新宋体"/>
                <w:snapToGrid w:val="0"/>
              </w:rPr>
            </w:pPr>
          </w:p>
        </w:tc>
        <w:tc>
          <w:tcPr>
            <w:tcW w:w="851" w:type="dxa"/>
          </w:tcPr>
          <w:p w14:paraId="5AE57899">
            <w:pPr>
              <w:spacing w:line="276" w:lineRule="auto"/>
              <w:jc w:val="center"/>
              <w:rPr>
                <w:rFonts w:ascii="新宋体" w:hAnsi="新宋体" w:eastAsia="新宋体"/>
                <w:snapToGrid w:val="0"/>
              </w:rPr>
            </w:pPr>
          </w:p>
        </w:tc>
        <w:tc>
          <w:tcPr>
            <w:tcW w:w="1417" w:type="dxa"/>
          </w:tcPr>
          <w:p w14:paraId="1CC094C6">
            <w:pPr>
              <w:spacing w:line="276" w:lineRule="auto"/>
              <w:jc w:val="center"/>
              <w:rPr>
                <w:rFonts w:ascii="新宋体" w:hAnsi="新宋体" w:eastAsia="新宋体"/>
                <w:snapToGrid w:val="0"/>
              </w:rPr>
            </w:pPr>
          </w:p>
        </w:tc>
      </w:tr>
    </w:tbl>
    <w:p w14:paraId="41078E80">
      <w:pPr>
        <w:spacing w:line="360" w:lineRule="auto"/>
        <w:rPr>
          <w:rFonts w:ascii="新宋体" w:hAnsi="新宋体" w:eastAsia="新宋体"/>
          <w:color w:val="FF0000"/>
        </w:rPr>
      </w:pPr>
      <w:r>
        <w:rPr>
          <w:rFonts w:hint="eastAsia" w:ascii="新宋体" w:hAnsi="新宋体" w:eastAsia="新宋体"/>
          <w:color w:val="FF0000"/>
        </w:rPr>
        <w:t>备注：投标样品将作为验收产品的主要依据之一。</w:t>
      </w:r>
    </w:p>
    <w:p w14:paraId="18217053">
      <w:pPr>
        <w:rPr>
          <w:rFonts w:ascii="宋体" w:hAnsi="宋体"/>
          <w:bCs/>
          <w:color w:val="000000"/>
          <w:szCs w:val="21"/>
        </w:rPr>
      </w:pPr>
    </w:p>
    <w:p w14:paraId="0EE5A2D4">
      <w:pPr>
        <w:pStyle w:val="4"/>
        <w:jc w:val="left"/>
        <w:rPr>
          <w:rFonts w:ascii="新宋体" w:hAnsi="新宋体" w:eastAsia="新宋体"/>
          <w:kern w:val="44"/>
          <w:sz w:val="30"/>
          <w:szCs w:val="30"/>
        </w:rPr>
      </w:pPr>
      <w:r>
        <w:rPr>
          <w:rFonts w:hint="eastAsia" w:ascii="新宋体" w:hAnsi="新宋体" w:eastAsia="新宋体"/>
          <w:kern w:val="44"/>
          <w:sz w:val="30"/>
          <w:szCs w:val="30"/>
        </w:rPr>
        <w:t>七、演示要求（本项目不适用）</w:t>
      </w:r>
    </w:p>
    <w:p w14:paraId="0DFB17DA">
      <w:pPr>
        <w:spacing w:line="360" w:lineRule="auto"/>
        <w:rPr>
          <w:rFonts w:ascii="新宋体" w:hAnsi="新宋体" w:eastAsia="新宋体"/>
        </w:rPr>
      </w:pPr>
      <w:r>
        <w:rPr>
          <w:rFonts w:hint="eastAsia" w:ascii="新宋体" w:hAnsi="新宋体" w:eastAsia="新宋体"/>
        </w:rPr>
        <w:t>（一）总体要求：</w:t>
      </w:r>
    </w:p>
    <w:p w14:paraId="0A3E1579">
      <w:pPr>
        <w:spacing w:line="360" w:lineRule="auto"/>
        <w:rPr>
          <w:rFonts w:ascii="新宋体" w:hAnsi="新宋体" w:eastAsia="新宋体"/>
        </w:rPr>
      </w:pPr>
      <w:r>
        <w:rPr>
          <w:rFonts w:hint="eastAsia" w:ascii="新宋体" w:hAnsi="新宋体" w:eastAsia="新宋体"/>
        </w:rPr>
        <w:t>各投标人应按照招标公告规定的时间和地点参加现场演示。</w:t>
      </w:r>
    </w:p>
    <w:p w14:paraId="1656BBC5">
      <w:pPr>
        <w:spacing w:line="360" w:lineRule="auto"/>
        <w:rPr>
          <w:rFonts w:ascii="新宋体" w:hAnsi="新宋体" w:eastAsia="新宋体"/>
        </w:rPr>
      </w:pPr>
      <w:r>
        <w:rPr>
          <w:rFonts w:hint="eastAsia" w:ascii="新宋体" w:hAnsi="新宋体" w:eastAsia="新宋体"/>
        </w:rPr>
        <w:t>演示地点提供电源、带VGA接口的液晶显示器及宽带上网环境（无WIFI环境），由投标人代表自带手提电脑、无线路由器、便携式服务器、U盘及其它能完成演示操作的设备（具体以投标人实际需要为准，但严禁携带手机等通讯工具）等进行演示。由于演示场地有限，建议勿携带过大设备进行演示。</w:t>
      </w:r>
    </w:p>
    <w:p w14:paraId="4686D371">
      <w:pPr>
        <w:spacing w:line="360" w:lineRule="auto"/>
        <w:rPr>
          <w:rFonts w:ascii="新宋体" w:hAnsi="新宋体" w:eastAsia="新宋体"/>
        </w:rPr>
      </w:pPr>
      <w:r>
        <w:rPr>
          <w:rFonts w:hint="eastAsia" w:ascii="新宋体" w:hAnsi="新宋体" w:eastAsia="新宋体"/>
        </w:rPr>
        <w:t>每个投标人的现场演示时间不超过10分钟（演示期间评委将进行提问，并有权酌情延长时间），现场演示人员不得超过2人。</w:t>
      </w:r>
    </w:p>
    <w:p w14:paraId="7728CE77">
      <w:pPr>
        <w:spacing w:line="360" w:lineRule="auto"/>
        <w:rPr>
          <w:rFonts w:ascii="新宋体" w:hAnsi="新宋体" w:eastAsia="新宋体"/>
        </w:rPr>
      </w:pPr>
      <w:r>
        <w:rPr>
          <w:rFonts w:hint="eastAsia" w:ascii="新宋体" w:hAnsi="新宋体" w:eastAsia="新宋体"/>
        </w:rPr>
        <w:t>（二）具体程序：</w:t>
      </w:r>
    </w:p>
    <w:p w14:paraId="1D7881DF">
      <w:pPr>
        <w:spacing w:line="360" w:lineRule="auto"/>
        <w:rPr>
          <w:rFonts w:ascii="新宋体" w:hAnsi="新宋体" w:eastAsia="新宋体"/>
        </w:rPr>
      </w:pPr>
      <w:r>
        <w:rPr>
          <w:rFonts w:hint="eastAsia" w:ascii="新宋体" w:hAnsi="新宋体" w:eastAsia="新宋体"/>
        </w:rPr>
        <w:t>1.现场演示人员须在招标公告规定的现场演示签到截止时间前，携带</w:t>
      </w:r>
      <w:r>
        <w:rPr>
          <w:rFonts w:hint="eastAsia" w:ascii="新宋体" w:hAnsi="新宋体" w:eastAsia="新宋体"/>
          <w:bCs/>
        </w:rPr>
        <w:t>法定代表人证明书（盖公章）、</w:t>
      </w:r>
      <w:r>
        <w:rPr>
          <w:rFonts w:hint="eastAsia" w:ascii="新宋体" w:hAnsi="新宋体" w:eastAsia="新宋体"/>
        </w:rPr>
        <w:t>授权委托书（盖公章）、现场演示人员的身份证原件和复印件，到达深圳代理机构，按工作人员指引进行签到。</w:t>
      </w:r>
    </w:p>
    <w:p w14:paraId="25D68438">
      <w:pPr>
        <w:spacing w:line="360" w:lineRule="auto"/>
        <w:rPr>
          <w:rFonts w:ascii="新宋体" w:hAnsi="新宋体" w:eastAsia="新宋体"/>
        </w:rPr>
      </w:pPr>
      <w:r>
        <w:rPr>
          <w:rFonts w:hint="eastAsia" w:ascii="新宋体" w:hAnsi="新宋体" w:eastAsia="新宋体"/>
        </w:rPr>
        <w:t>特别注意事项：（1）资料提供不齐全的，不予签到；（2）招标公告规定的截止时间后，不再受理签到；（3）未签到的人员，不能参与现场演示。</w:t>
      </w:r>
    </w:p>
    <w:p w14:paraId="3B4FC80F">
      <w:pPr>
        <w:spacing w:line="360" w:lineRule="auto"/>
        <w:rPr>
          <w:rFonts w:ascii="新宋体" w:hAnsi="新宋体" w:eastAsia="新宋体"/>
        </w:rPr>
      </w:pPr>
      <w:r>
        <w:rPr>
          <w:rFonts w:hint="eastAsia" w:ascii="新宋体" w:hAnsi="新宋体" w:eastAsia="新宋体"/>
        </w:rPr>
        <w:t>2.招标公告规定的现场演示签到截止时间后正式进行现场演示。现场演示正式开始前将进行身份核对；核对内容为现场演示人员提供的“授权委托书（盖公章）、现场演示人员的身份证原件和复印件”。资料不齐全的人员，不得参与现场演示。</w:t>
      </w:r>
    </w:p>
    <w:p w14:paraId="59037636">
      <w:pPr>
        <w:spacing w:line="360" w:lineRule="auto"/>
        <w:rPr>
          <w:rFonts w:ascii="新宋体" w:hAnsi="新宋体" w:eastAsia="新宋体"/>
        </w:rPr>
      </w:pPr>
      <w:r>
        <w:rPr>
          <w:rFonts w:hint="eastAsia" w:ascii="新宋体" w:hAnsi="新宋体" w:eastAsia="新宋体"/>
        </w:rPr>
        <w:t>（三）其它要求：</w:t>
      </w:r>
    </w:p>
    <w:p w14:paraId="7364E453">
      <w:pPr>
        <w:spacing w:line="360" w:lineRule="auto"/>
        <w:rPr>
          <w:rFonts w:ascii="新宋体" w:hAnsi="新宋体" w:eastAsia="新宋体"/>
        </w:rPr>
      </w:pPr>
      <w:r>
        <w:rPr>
          <w:rFonts w:hint="eastAsia" w:ascii="新宋体" w:hAnsi="新宋体" w:eastAsia="新宋体"/>
        </w:rPr>
        <w:t>1.参加本次现场演示的各投标人，视为认可本次现场演示的程序和环境能够满足现场演示基本条件，并对本现场演示方案要求内的各项规定不做事后异议，且能够严格遵守相关规定。</w:t>
      </w:r>
    </w:p>
    <w:p w14:paraId="30B8BE83">
      <w:pPr>
        <w:spacing w:line="360" w:lineRule="auto"/>
        <w:rPr>
          <w:rFonts w:ascii="新宋体" w:hAnsi="新宋体" w:eastAsia="新宋体"/>
        </w:rPr>
      </w:pPr>
      <w:r>
        <w:rPr>
          <w:rFonts w:hint="eastAsia" w:ascii="新宋体" w:hAnsi="新宋体" w:eastAsia="新宋体"/>
        </w:rPr>
        <w:t>2.现场演示在正式评标环节前进行。现场演示原则上按签到顺序依次进行（经评委同意，可以酌情进行调整）。一个投标人一次性现场演示完毕。一个投标人在进行现场演示时，其他投标人不得进入现场。现场演示期间，评委可视情况现场提问。</w:t>
      </w:r>
    </w:p>
    <w:p w14:paraId="402E017C">
      <w:pPr>
        <w:spacing w:line="360" w:lineRule="auto"/>
        <w:rPr>
          <w:rFonts w:ascii="新宋体" w:hAnsi="新宋体" w:eastAsia="新宋体"/>
        </w:rPr>
      </w:pPr>
      <w:r>
        <w:rPr>
          <w:rFonts w:hint="eastAsia" w:ascii="新宋体" w:hAnsi="新宋体" w:eastAsia="新宋体"/>
        </w:rPr>
        <w:t>3.投标人对本次现场演示条件的不确定性疑虑应在现场演示开始前做书面陈述，若疑虑不能完全消除，并认为现场演示结果仍会产生误判，则可退出现场演示。</w:t>
      </w:r>
    </w:p>
    <w:p w14:paraId="3E7BC707">
      <w:pPr>
        <w:spacing w:line="360" w:lineRule="auto"/>
        <w:rPr>
          <w:rFonts w:ascii="新宋体" w:hAnsi="新宋体" w:eastAsia="新宋体"/>
        </w:rPr>
      </w:pPr>
      <w:r>
        <w:rPr>
          <w:rFonts w:hint="eastAsia" w:ascii="新宋体" w:hAnsi="新宋体" w:eastAsia="新宋体"/>
        </w:rPr>
        <w:t>4.参加本次现场演示的各投标人，视为同意承担其演示结果不确定性的风险，即同意专家以现场演示情况的判定结论。</w:t>
      </w:r>
    </w:p>
    <w:p w14:paraId="6A08286A">
      <w:pPr>
        <w:spacing w:line="360" w:lineRule="auto"/>
        <w:rPr>
          <w:rFonts w:ascii="新宋体" w:hAnsi="新宋体" w:eastAsia="新宋体"/>
        </w:rPr>
      </w:pPr>
      <w:r>
        <w:rPr>
          <w:rFonts w:hint="eastAsia" w:ascii="新宋体" w:hAnsi="新宋体" w:eastAsia="新宋体"/>
        </w:rPr>
        <w:t>5.各项费用由投标人自理、风险自负。</w:t>
      </w:r>
    </w:p>
    <w:p w14:paraId="12F48805">
      <w:pPr>
        <w:spacing w:line="360" w:lineRule="auto"/>
        <w:rPr>
          <w:rFonts w:ascii="新宋体" w:hAnsi="新宋体" w:eastAsia="新宋体"/>
        </w:rPr>
      </w:pPr>
      <w:r>
        <w:rPr>
          <w:rFonts w:hint="eastAsia" w:ascii="新宋体" w:hAnsi="新宋体" w:eastAsia="新宋体"/>
        </w:rPr>
        <w:t>（四）演示内容：</w:t>
      </w:r>
    </w:p>
    <w:p w14:paraId="4B9CE0F6">
      <w:pPr>
        <w:spacing w:line="360" w:lineRule="auto"/>
        <w:rPr>
          <w:rFonts w:ascii="新宋体" w:hAnsi="新宋体" w:eastAsia="新宋体"/>
        </w:rPr>
      </w:pPr>
      <w:r>
        <w:rPr>
          <w:rFonts w:hint="eastAsia" w:ascii="新宋体" w:hAnsi="新宋体" w:eastAsia="新宋体"/>
        </w:rPr>
        <w:t>1. ________</w:t>
      </w:r>
    </w:p>
    <w:p w14:paraId="5CEFE1F3">
      <w:pPr>
        <w:spacing w:line="360" w:lineRule="auto"/>
        <w:rPr>
          <w:rFonts w:ascii="新宋体" w:hAnsi="新宋体" w:eastAsia="新宋体"/>
        </w:rPr>
      </w:pPr>
      <w:r>
        <w:rPr>
          <w:rFonts w:hint="eastAsia" w:ascii="新宋体" w:hAnsi="新宋体" w:eastAsia="新宋体"/>
        </w:rPr>
        <w:t>2. ________</w:t>
      </w:r>
    </w:p>
    <w:p w14:paraId="7C15ED49">
      <w:pPr>
        <w:pStyle w:val="8"/>
        <w:spacing w:before="60" w:beforeLines="25" w:after="60" w:afterLines="25"/>
        <w:ind w:firstLine="0"/>
        <w:rPr>
          <w:rFonts w:ascii="宋体" w:hAnsi="宋体"/>
          <w:szCs w:val="21"/>
        </w:rPr>
      </w:pPr>
      <w:r>
        <w:rPr>
          <w:rFonts w:hint="eastAsia" w:ascii="宋体" w:hAnsi="宋体"/>
          <w:szCs w:val="21"/>
        </w:rPr>
        <w:t>3.</w:t>
      </w:r>
      <w:r>
        <w:rPr>
          <w:rFonts w:hint="eastAsia"/>
        </w:rPr>
        <w:t xml:space="preserve"> ________</w:t>
      </w:r>
    </w:p>
    <w:p w14:paraId="62E52E2F">
      <w:pPr>
        <w:pStyle w:val="8"/>
        <w:spacing w:before="60" w:beforeLines="25" w:after="60" w:afterLines="25"/>
        <w:ind w:firstLine="0"/>
        <w:rPr>
          <w:rFonts w:ascii="宋体" w:hAnsi="宋体"/>
          <w:szCs w:val="21"/>
        </w:rPr>
      </w:pPr>
      <w:r>
        <w:rPr>
          <w:rFonts w:hint="eastAsia" w:ascii="宋体" w:hAnsi="宋体"/>
          <w:szCs w:val="21"/>
        </w:rPr>
        <w:t>……</w:t>
      </w:r>
    </w:p>
    <w:p w14:paraId="460365B3">
      <w:pPr>
        <w:rPr>
          <w:b/>
          <w:szCs w:val="21"/>
        </w:rPr>
      </w:pPr>
    </w:p>
    <w:p w14:paraId="4FE5E346">
      <w:pPr>
        <w:pStyle w:val="4"/>
        <w:jc w:val="left"/>
        <w:rPr>
          <w:rFonts w:ascii="新宋体" w:hAnsi="新宋体" w:eastAsia="新宋体"/>
          <w:kern w:val="44"/>
          <w:sz w:val="30"/>
          <w:szCs w:val="30"/>
        </w:rPr>
      </w:pPr>
      <w:r>
        <w:rPr>
          <w:rFonts w:hint="eastAsia" w:ascii="新宋体" w:hAnsi="新宋体" w:eastAsia="新宋体"/>
          <w:kern w:val="44"/>
          <w:sz w:val="30"/>
          <w:szCs w:val="30"/>
        </w:rPr>
        <w:t>八、商务需求</w:t>
      </w:r>
    </w:p>
    <w:p w14:paraId="00458C74">
      <w:pPr>
        <w:spacing w:line="360" w:lineRule="auto"/>
        <w:rPr>
          <w:rFonts w:ascii="新宋体" w:hAnsi="新宋体" w:eastAsia="新宋体"/>
          <w:b/>
        </w:rPr>
      </w:pPr>
      <w:r>
        <w:rPr>
          <w:rFonts w:hint="eastAsia" w:ascii="新宋体" w:hAnsi="新宋体" w:eastAsia="新宋体"/>
          <w:b/>
        </w:rPr>
        <w:t>说明：1、带“</w:t>
      </w:r>
      <w:r>
        <w:rPr>
          <w:rFonts w:hint="eastAsia" w:ascii="新宋体" w:hAnsi="新宋体" w:eastAsia="新宋体" w:cs="宋体"/>
          <w:b/>
        </w:rPr>
        <w:t>★</w:t>
      </w:r>
      <w:r>
        <w:rPr>
          <w:rFonts w:hint="eastAsia" w:ascii="新宋体" w:hAnsi="新宋体" w:eastAsia="新宋体"/>
          <w:b/>
        </w:rPr>
        <w:t>”指标项为实质性条款，如出现负偏离，将被视为未实质性满足招标文件要求作投标无效处理。</w:t>
      </w:r>
    </w:p>
    <w:p w14:paraId="6D2A42A7">
      <w:pPr>
        <w:spacing w:line="360" w:lineRule="auto"/>
        <w:rPr>
          <w:rFonts w:ascii="新宋体" w:hAnsi="新宋体" w:eastAsia="新宋体"/>
          <w:b/>
        </w:rPr>
      </w:pPr>
      <w:r>
        <w:rPr>
          <w:rFonts w:hint="eastAsia" w:ascii="新宋体" w:hAnsi="新宋体" w:eastAsia="新宋体"/>
          <w:b/>
        </w:rPr>
        <w:t>2、评分时，如对一项招标商务需求（以划分框为准，一个划分框是作为一项招标商务需求）中的内容存在两处（或以上）负偏离的，在评分时只作一项负偏离扣分。</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282"/>
        <w:gridCol w:w="7054"/>
      </w:tblGrid>
      <w:tr w14:paraId="1091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11" w:type="pct"/>
            <w:shd w:val="clear" w:color="auto" w:fill="BEBEBE"/>
            <w:vAlign w:val="center"/>
          </w:tcPr>
          <w:p w14:paraId="5DA180C9">
            <w:pPr>
              <w:widowControl/>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690" w:type="pct"/>
            <w:shd w:val="clear" w:color="auto" w:fill="BEBEBE"/>
            <w:vAlign w:val="center"/>
          </w:tcPr>
          <w:p w14:paraId="42119DB5">
            <w:pPr>
              <w:widowControl/>
              <w:jc w:val="center"/>
              <w:rPr>
                <w:rFonts w:asciiTheme="minorEastAsia" w:hAnsiTheme="minorEastAsia" w:eastAsiaTheme="minorEastAsia"/>
                <w:b/>
                <w:szCs w:val="21"/>
              </w:rPr>
            </w:pPr>
            <w:r>
              <w:rPr>
                <w:rFonts w:hint="eastAsia" w:asciiTheme="minorEastAsia" w:hAnsiTheme="minorEastAsia" w:eastAsiaTheme="minorEastAsia"/>
                <w:b/>
                <w:szCs w:val="21"/>
              </w:rPr>
              <w:t>目录</w:t>
            </w:r>
          </w:p>
        </w:tc>
        <w:tc>
          <w:tcPr>
            <w:tcW w:w="3798" w:type="pct"/>
            <w:shd w:val="clear" w:color="auto" w:fill="BEBEBE"/>
            <w:vAlign w:val="center"/>
          </w:tcPr>
          <w:p w14:paraId="11AB2593">
            <w:pPr>
              <w:widowControl/>
              <w:jc w:val="center"/>
              <w:rPr>
                <w:rFonts w:asciiTheme="minorEastAsia" w:hAnsiTheme="minorEastAsia" w:eastAsiaTheme="minorEastAsia"/>
                <w:b/>
                <w:szCs w:val="21"/>
              </w:rPr>
            </w:pPr>
            <w:r>
              <w:rPr>
                <w:rFonts w:hint="eastAsia" w:cs="宋体" w:asciiTheme="minorEastAsia" w:hAnsiTheme="minorEastAsia" w:eastAsiaTheme="minorEastAsia"/>
                <w:szCs w:val="21"/>
              </w:rPr>
              <w:t>★</w:t>
            </w:r>
            <w:r>
              <w:rPr>
                <w:rFonts w:hint="eastAsia" w:asciiTheme="minorEastAsia" w:hAnsiTheme="minorEastAsia" w:eastAsiaTheme="minorEastAsia"/>
                <w:b/>
                <w:szCs w:val="21"/>
              </w:rPr>
              <w:t>商务条款要求</w:t>
            </w:r>
          </w:p>
        </w:tc>
      </w:tr>
      <w:tr w14:paraId="55DF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11" w:type="pct"/>
            <w:vAlign w:val="center"/>
          </w:tcPr>
          <w:p w14:paraId="1A44B8A9">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690" w:type="pct"/>
            <w:vAlign w:val="center"/>
          </w:tcPr>
          <w:p w14:paraId="4E672865">
            <w:pPr>
              <w:jc w:val="center"/>
              <w:rPr>
                <w:rFonts w:asciiTheme="minorEastAsia" w:hAnsiTheme="minorEastAsia" w:eastAsiaTheme="minorEastAsia"/>
                <w:b/>
                <w:szCs w:val="21"/>
              </w:rPr>
            </w:pPr>
            <w:r>
              <w:rPr>
                <w:rFonts w:hint="eastAsia" w:asciiTheme="minorEastAsia" w:hAnsiTheme="minorEastAsia" w:eastAsiaTheme="minorEastAsia"/>
                <w:b/>
                <w:szCs w:val="21"/>
              </w:rPr>
              <w:t>交货期</w:t>
            </w:r>
          </w:p>
        </w:tc>
        <w:tc>
          <w:tcPr>
            <w:tcW w:w="3798" w:type="pct"/>
          </w:tcPr>
          <w:p w14:paraId="1AB9F606">
            <w:pPr>
              <w:rPr>
                <w:rFonts w:asciiTheme="minorEastAsia" w:hAnsiTheme="minorEastAsia" w:eastAsiaTheme="minorEastAsia"/>
                <w:bCs/>
                <w:szCs w:val="21"/>
              </w:rPr>
            </w:pPr>
            <w:r>
              <w:rPr>
                <w:rFonts w:hint="eastAsia" w:asciiTheme="minorEastAsia" w:hAnsiTheme="minorEastAsia" w:eastAsiaTheme="minorEastAsia"/>
                <w:szCs w:val="21"/>
              </w:rPr>
              <w:t>系指合同签订之日起至货物运抵采购人指定地点并且完成安装、调试，验收合格交付使用的时间。具体是指：合同签订后</w:t>
            </w:r>
            <w:r>
              <w:rPr>
                <w:rFonts w:hint="eastAsia" w:asciiTheme="minorEastAsia" w:hAnsiTheme="minorEastAsia" w:eastAsiaTheme="minorEastAsia"/>
                <w:szCs w:val="21"/>
                <w:u w:val="single"/>
              </w:rPr>
              <w:t>30 日内</w:t>
            </w:r>
            <w:r>
              <w:rPr>
                <w:rFonts w:hint="eastAsia" w:asciiTheme="minorEastAsia" w:hAnsiTheme="minorEastAsia" w:eastAsiaTheme="minorEastAsia"/>
                <w:szCs w:val="21"/>
              </w:rPr>
              <w:t xml:space="preserve"> 。</w:t>
            </w:r>
          </w:p>
        </w:tc>
      </w:tr>
      <w:tr w14:paraId="513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11" w:type="pct"/>
            <w:vAlign w:val="center"/>
          </w:tcPr>
          <w:p w14:paraId="137D41ED">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690" w:type="pct"/>
            <w:vAlign w:val="center"/>
          </w:tcPr>
          <w:p w14:paraId="5D4119A6">
            <w:pPr>
              <w:jc w:val="center"/>
              <w:rPr>
                <w:rFonts w:asciiTheme="minorEastAsia" w:hAnsiTheme="minorEastAsia" w:eastAsiaTheme="minorEastAsia"/>
                <w:b/>
                <w:szCs w:val="21"/>
              </w:rPr>
            </w:pPr>
            <w:r>
              <w:rPr>
                <w:rFonts w:hint="eastAsia" w:asciiTheme="minorEastAsia" w:hAnsiTheme="minorEastAsia" w:eastAsiaTheme="minorEastAsia"/>
                <w:b/>
                <w:szCs w:val="21"/>
              </w:rPr>
              <w:t>交货地点</w:t>
            </w:r>
          </w:p>
        </w:tc>
        <w:tc>
          <w:tcPr>
            <w:tcW w:w="3798" w:type="pct"/>
            <w:vAlign w:val="center"/>
          </w:tcPr>
          <w:p w14:paraId="5CBC69CD">
            <w:pPr>
              <w:rPr>
                <w:rFonts w:asciiTheme="minorEastAsia" w:hAnsiTheme="minorEastAsia" w:eastAsiaTheme="minorEastAsia"/>
                <w:bCs/>
                <w:szCs w:val="21"/>
              </w:rPr>
            </w:pPr>
            <w:r>
              <w:rPr>
                <w:rFonts w:hint="eastAsia" w:asciiTheme="minorEastAsia" w:hAnsiTheme="minorEastAsia" w:eastAsiaTheme="minorEastAsia"/>
                <w:bCs/>
                <w:szCs w:val="21"/>
              </w:rPr>
              <w:t>南京师范大学附属龙岗学校。</w:t>
            </w:r>
          </w:p>
        </w:tc>
      </w:tr>
      <w:tr w14:paraId="23D1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11" w:type="pct"/>
            <w:vAlign w:val="center"/>
          </w:tcPr>
          <w:p w14:paraId="79DD353E">
            <w:pPr>
              <w:jc w:val="center"/>
              <w:rPr>
                <w:rFonts w:asciiTheme="minorEastAsia" w:hAnsiTheme="minorEastAsia" w:eastAsiaTheme="minorEastAsia"/>
                <w:szCs w:val="21"/>
              </w:rPr>
            </w:pPr>
            <w:r>
              <w:rPr>
                <w:rFonts w:hint="eastAsia" w:asciiTheme="minorEastAsia" w:hAnsiTheme="minorEastAsia" w:eastAsiaTheme="minorEastAsia"/>
                <w:b/>
                <w:szCs w:val="21"/>
              </w:rPr>
              <w:t>3</w:t>
            </w:r>
          </w:p>
        </w:tc>
        <w:tc>
          <w:tcPr>
            <w:tcW w:w="690" w:type="pct"/>
            <w:vAlign w:val="center"/>
          </w:tcPr>
          <w:p w14:paraId="1F2A3A0F">
            <w:pPr>
              <w:jc w:val="center"/>
              <w:rPr>
                <w:rFonts w:asciiTheme="minorEastAsia" w:hAnsiTheme="minorEastAsia" w:eastAsiaTheme="minorEastAsia"/>
                <w:bCs/>
                <w:szCs w:val="21"/>
              </w:rPr>
            </w:pPr>
            <w:r>
              <w:rPr>
                <w:rFonts w:hint="eastAsia" w:asciiTheme="minorEastAsia" w:hAnsiTheme="minorEastAsia" w:eastAsiaTheme="minorEastAsia"/>
                <w:bCs/>
                <w:szCs w:val="21"/>
              </w:rPr>
              <w:t>付款方式</w:t>
            </w:r>
          </w:p>
        </w:tc>
        <w:tc>
          <w:tcPr>
            <w:tcW w:w="3798" w:type="pct"/>
            <w:vAlign w:val="center"/>
          </w:tcPr>
          <w:p w14:paraId="4855E140">
            <w:pP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根据合同签订情况。</w:t>
            </w:r>
          </w:p>
        </w:tc>
      </w:tr>
      <w:tr w14:paraId="4680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11" w:type="pct"/>
            <w:vMerge w:val="restart"/>
            <w:vAlign w:val="center"/>
          </w:tcPr>
          <w:p w14:paraId="4903307C">
            <w:pPr>
              <w:jc w:val="center"/>
              <w:rPr>
                <w:rFonts w:asciiTheme="minorEastAsia" w:hAnsiTheme="minorEastAsia" w:eastAsiaTheme="minorEastAsia"/>
                <w:szCs w:val="21"/>
              </w:rPr>
            </w:pPr>
            <w:r>
              <w:rPr>
                <w:rFonts w:hint="eastAsia" w:asciiTheme="minorEastAsia" w:hAnsiTheme="minorEastAsia" w:eastAsiaTheme="minorEastAsia"/>
                <w:b/>
                <w:szCs w:val="21"/>
              </w:rPr>
              <w:t>4</w:t>
            </w:r>
          </w:p>
        </w:tc>
        <w:tc>
          <w:tcPr>
            <w:tcW w:w="690" w:type="pct"/>
            <w:vMerge w:val="restart"/>
            <w:vAlign w:val="center"/>
          </w:tcPr>
          <w:p w14:paraId="3716C36A">
            <w:pPr>
              <w:jc w:val="center"/>
              <w:rPr>
                <w:rFonts w:asciiTheme="minorEastAsia" w:hAnsiTheme="minorEastAsia" w:eastAsiaTheme="minorEastAsia"/>
                <w:b/>
                <w:szCs w:val="21"/>
              </w:rPr>
            </w:pPr>
            <w:r>
              <w:rPr>
                <w:rFonts w:hint="eastAsia" w:asciiTheme="minorEastAsia" w:hAnsiTheme="minorEastAsia" w:eastAsiaTheme="minorEastAsia"/>
                <w:b/>
                <w:bCs/>
                <w:szCs w:val="21"/>
              </w:rPr>
              <w:t>售后服务的要求</w:t>
            </w:r>
          </w:p>
        </w:tc>
        <w:tc>
          <w:tcPr>
            <w:tcW w:w="3798" w:type="pct"/>
          </w:tcPr>
          <w:p w14:paraId="54329970">
            <w:pPr>
              <w:rPr>
                <w:rFonts w:asciiTheme="minorEastAsia" w:hAnsiTheme="minorEastAsia" w:eastAsiaTheme="minorEastAsia"/>
                <w:bCs/>
                <w:szCs w:val="21"/>
              </w:rPr>
            </w:pPr>
            <w:r>
              <w:rPr>
                <w:rFonts w:hint="eastAsia" w:asciiTheme="minorEastAsia" w:hAnsiTheme="minorEastAsia" w:eastAsiaTheme="minorEastAsia"/>
                <w:szCs w:val="21"/>
              </w:rPr>
              <w:t>4.1</w:t>
            </w:r>
            <w:r>
              <w:rPr>
                <w:rFonts w:hint="eastAsia" w:asciiTheme="minorEastAsia" w:hAnsiTheme="minorEastAsia" w:eastAsiaTheme="minorEastAsia"/>
                <w:bCs/>
                <w:szCs w:val="21"/>
              </w:rPr>
              <w:t>质保期：系指中标供应商提供的产品在非使用者人为破坏情况下，出现任何质量问题造成产品不能使用时，由中标供应商免费维修、更换以确保产品正常使用的时间期限。此时间期限从合同验收合格之日起计算。具体是指合同验收合格后3*365日内 。</w:t>
            </w:r>
          </w:p>
        </w:tc>
      </w:tr>
      <w:tr w14:paraId="5620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11" w:type="pct"/>
            <w:vMerge w:val="continue"/>
            <w:vAlign w:val="center"/>
          </w:tcPr>
          <w:p w14:paraId="4D39D75A">
            <w:pPr>
              <w:jc w:val="center"/>
              <w:rPr>
                <w:rFonts w:asciiTheme="minorEastAsia" w:hAnsiTheme="minorEastAsia" w:eastAsiaTheme="minorEastAsia"/>
                <w:szCs w:val="21"/>
              </w:rPr>
            </w:pPr>
          </w:p>
        </w:tc>
        <w:tc>
          <w:tcPr>
            <w:tcW w:w="690" w:type="pct"/>
            <w:vMerge w:val="continue"/>
            <w:vAlign w:val="center"/>
          </w:tcPr>
          <w:p w14:paraId="7FA5196B">
            <w:pPr>
              <w:jc w:val="center"/>
              <w:rPr>
                <w:rFonts w:asciiTheme="minorEastAsia" w:hAnsiTheme="minorEastAsia" w:eastAsiaTheme="minorEastAsia"/>
                <w:b/>
                <w:bCs/>
                <w:szCs w:val="21"/>
              </w:rPr>
            </w:pPr>
          </w:p>
        </w:tc>
        <w:tc>
          <w:tcPr>
            <w:tcW w:w="3798" w:type="pct"/>
          </w:tcPr>
          <w:p w14:paraId="398D9EDE">
            <w:pPr>
              <w:rPr>
                <w:rFonts w:asciiTheme="minorEastAsia" w:hAnsiTheme="minorEastAsia" w:eastAsiaTheme="minorEastAsia"/>
                <w:szCs w:val="21"/>
              </w:rPr>
            </w:pPr>
            <w:r>
              <w:rPr>
                <w:rFonts w:hint="eastAsia" w:asciiTheme="minorEastAsia" w:hAnsiTheme="minorEastAsia" w:eastAsiaTheme="minorEastAsia"/>
                <w:szCs w:val="21"/>
              </w:rPr>
              <w:t>4.2保修期：系指中标供应商提供的产品不能正常使用时，中标供应商可收取费用，同时提供维修、更换以确保产品正常使用的时间期限。此时间期限从质保期期满之日起计算。具体是指质保期满后</w:t>
            </w:r>
          </w:p>
        </w:tc>
      </w:tr>
      <w:tr w14:paraId="2969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11" w:type="pct"/>
            <w:vMerge w:val="continue"/>
            <w:vAlign w:val="center"/>
          </w:tcPr>
          <w:p w14:paraId="0D13DE89">
            <w:pPr>
              <w:jc w:val="center"/>
              <w:rPr>
                <w:rFonts w:asciiTheme="minorEastAsia" w:hAnsiTheme="minorEastAsia" w:eastAsiaTheme="minorEastAsia"/>
                <w:szCs w:val="21"/>
              </w:rPr>
            </w:pPr>
          </w:p>
        </w:tc>
        <w:tc>
          <w:tcPr>
            <w:tcW w:w="690" w:type="pct"/>
            <w:vMerge w:val="continue"/>
            <w:vAlign w:val="center"/>
          </w:tcPr>
          <w:p w14:paraId="7EAF0312">
            <w:pPr>
              <w:jc w:val="center"/>
              <w:rPr>
                <w:rFonts w:asciiTheme="minorEastAsia" w:hAnsiTheme="minorEastAsia" w:eastAsiaTheme="minorEastAsia"/>
                <w:b/>
                <w:bCs/>
                <w:szCs w:val="21"/>
              </w:rPr>
            </w:pPr>
          </w:p>
        </w:tc>
        <w:tc>
          <w:tcPr>
            <w:tcW w:w="3798" w:type="pct"/>
          </w:tcPr>
          <w:p w14:paraId="2F821FEB">
            <w:pPr>
              <w:rPr>
                <w:rFonts w:asciiTheme="minorEastAsia" w:hAnsiTheme="minorEastAsia" w:eastAsiaTheme="minorEastAsia"/>
                <w:bCs/>
                <w:szCs w:val="21"/>
              </w:rPr>
            </w:pPr>
            <w:r>
              <w:rPr>
                <w:rFonts w:hint="eastAsia" w:asciiTheme="minorEastAsia" w:hAnsiTheme="minorEastAsia" w:eastAsiaTheme="minorEastAsia"/>
                <w:szCs w:val="21"/>
              </w:rPr>
              <w:t>4.3维修响应及故障解决时间：</w:t>
            </w:r>
            <w:r>
              <w:rPr>
                <w:rFonts w:hint="eastAsia" w:asciiTheme="minorEastAsia" w:hAnsiTheme="minorEastAsia" w:eastAsiaTheme="minorEastAsia"/>
                <w:bCs/>
                <w:szCs w:val="21"/>
              </w:rPr>
              <w:t>一旦发生产品质量及安装问题，供应商保证在接到通知24小时内赶到现场，进行</w:t>
            </w:r>
            <w:r>
              <w:rPr>
                <w:rFonts w:hint="eastAsia" w:asciiTheme="minorEastAsia" w:hAnsiTheme="minorEastAsia" w:eastAsiaTheme="minorEastAsia"/>
                <w:szCs w:val="21"/>
              </w:rPr>
              <w:t>免费</w:t>
            </w:r>
            <w:r>
              <w:rPr>
                <w:rFonts w:hint="eastAsia" w:asciiTheme="minorEastAsia" w:hAnsiTheme="minorEastAsia" w:eastAsiaTheme="minorEastAsia"/>
                <w:bCs/>
                <w:szCs w:val="21"/>
              </w:rPr>
              <w:t>维修或更换</w:t>
            </w:r>
            <w:r>
              <w:rPr>
                <w:rFonts w:hint="eastAsia" w:asciiTheme="minorEastAsia" w:hAnsiTheme="minorEastAsia" w:eastAsiaTheme="minorEastAsia"/>
                <w:szCs w:val="21"/>
              </w:rPr>
              <w:t>有缺陷的设备或部件</w:t>
            </w:r>
            <w:r>
              <w:rPr>
                <w:rFonts w:hint="eastAsia" w:asciiTheme="minorEastAsia" w:hAnsiTheme="minorEastAsia" w:eastAsiaTheme="minorEastAsia"/>
                <w:bCs/>
                <w:szCs w:val="21"/>
              </w:rPr>
              <w:t>；响应时间：6小时响应；修复时间：</w:t>
            </w:r>
            <w:r>
              <w:rPr>
                <w:rFonts w:asciiTheme="minorEastAsia" w:hAnsiTheme="minorEastAsia" w:eastAsiaTheme="minorEastAsia"/>
                <w:bCs/>
                <w:szCs w:val="21"/>
              </w:rPr>
              <w:t>72</w:t>
            </w:r>
            <w:r>
              <w:rPr>
                <w:rFonts w:hint="eastAsia" w:asciiTheme="minorEastAsia" w:hAnsiTheme="minorEastAsia" w:eastAsiaTheme="minorEastAsia"/>
                <w:bCs/>
                <w:szCs w:val="21"/>
              </w:rPr>
              <w:t>小时内；冗余服务：在24小时内或紧急情况下，未能修复，提供具有同样功能的设备供使用单位使用。</w:t>
            </w:r>
          </w:p>
          <w:p w14:paraId="5B5C8CB2">
            <w:pPr>
              <w:rPr>
                <w:rFonts w:cs="Arial" w:asciiTheme="minorEastAsia" w:hAnsiTheme="minorEastAsia" w:eastAsiaTheme="minorEastAsia"/>
                <w:b/>
                <w:bCs/>
                <w:szCs w:val="21"/>
              </w:rPr>
            </w:pPr>
            <w:r>
              <w:rPr>
                <w:rFonts w:hint="eastAsia" w:cs="Arial" w:asciiTheme="minorEastAsia" w:hAnsiTheme="minorEastAsia" w:eastAsiaTheme="minorEastAsia"/>
                <w:b/>
                <w:bCs/>
                <w:szCs w:val="21"/>
              </w:rPr>
              <w:t>指引：对维修响应时限可根据项目具体情况自行修改；如有其它特殊要求，请在“其它”项中予以要求。</w:t>
            </w:r>
          </w:p>
        </w:tc>
      </w:tr>
      <w:tr w14:paraId="51FA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11" w:type="pct"/>
            <w:vMerge w:val="continue"/>
            <w:vAlign w:val="center"/>
          </w:tcPr>
          <w:p w14:paraId="293369E1">
            <w:pPr>
              <w:jc w:val="center"/>
              <w:rPr>
                <w:rFonts w:asciiTheme="minorEastAsia" w:hAnsiTheme="minorEastAsia" w:eastAsiaTheme="minorEastAsia"/>
                <w:szCs w:val="21"/>
              </w:rPr>
            </w:pPr>
          </w:p>
        </w:tc>
        <w:tc>
          <w:tcPr>
            <w:tcW w:w="690" w:type="pct"/>
            <w:vMerge w:val="continue"/>
            <w:vAlign w:val="center"/>
          </w:tcPr>
          <w:p w14:paraId="2DD88949">
            <w:pPr>
              <w:jc w:val="center"/>
              <w:rPr>
                <w:rFonts w:asciiTheme="minorEastAsia" w:hAnsiTheme="minorEastAsia" w:eastAsiaTheme="minorEastAsia"/>
                <w:b/>
                <w:bCs/>
                <w:szCs w:val="21"/>
              </w:rPr>
            </w:pPr>
          </w:p>
        </w:tc>
        <w:tc>
          <w:tcPr>
            <w:tcW w:w="3798" w:type="pct"/>
          </w:tcPr>
          <w:p w14:paraId="01176D6D">
            <w:pPr>
              <w:rPr>
                <w:rFonts w:asciiTheme="minorEastAsia" w:hAnsiTheme="minorEastAsia" w:eastAsiaTheme="minorEastAsia"/>
                <w:szCs w:val="21"/>
              </w:rPr>
            </w:pPr>
            <w:r>
              <w:rPr>
                <w:rFonts w:hint="eastAsia" w:asciiTheme="minorEastAsia" w:hAnsiTheme="minorEastAsia" w:eastAsiaTheme="minorEastAsia"/>
                <w:bCs/>
                <w:szCs w:val="21"/>
              </w:rPr>
              <w:t>4.4投标人应按其投标文件中的承诺，进行其他售后服务工作。</w:t>
            </w:r>
          </w:p>
        </w:tc>
      </w:tr>
      <w:tr w14:paraId="0CF8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11" w:type="pct"/>
            <w:vMerge w:val="restart"/>
            <w:vAlign w:val="center"/>
          </w:tcPr>
          <w:p w14:paraId="651B20D5">
            <w:pPr>
              <w:jc w:val="center"/>
              <w:rPr>
                <w:rFonts w:asciiTheme="minorEastAsia" w:hAnsiTheme="minorEastAsia" w:eastAsiaTheme="minorEastAsia"/>
                <w:szCs w:val="21"/>
              </w:rPr>
            </w:pPr>
            <w:r>
              <w:rPr>
                <w:rFonts w:hint="eastAsia" w:asciiTheme="minorEastAsia" w:hAnsiTheme="minorEastAsia" w:eastAsiaTheme="minorEastAsia"/>
                <w:b/>
                <w:szCs w:val="21"/>
              </w:rPr>
              <w:t>5</w:t>
            </w:r>
          </w:p>
        </w:tc>
        <w:tc>
          <w:tcPr>
            <w:tcW w:w="690" w:type="pct"/>
            <w:vMerge w:val="restart"/>
            <w:vAlign w:val="center"/>
          </w:tcPr>
          <w:p w14:paraId="338DE547">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关于验收</w:t>
            </w:r>
          </w:p>
        </w:tc>
        <w:tc>
          <w:tcPr>
            <w:tcW w:w="3798" w:type="pct"/>
          </w:tcPr>
          <w:p w14:paraId="3DA32537">
            <w:pPr>
              <w:rPr>
                <w:rFonts w:asciiTheme="minorEastAsia" w:hAnsiTheme="minorEastAsia" w:eastAsiaTheme="minorEastAsia"/>
                <w:szCs w:val="21"/>
              </w:rPr>
            </w:pPr>
            <w:r>
              <w:rPr>
                <w:rFonts w:hint="eastAsia" w:asciiTheme="minorEastAsia" w:hAnsiTheme="minorEastAsia" w:eastAsiaTheme="minorEastAsia"/>
                <w:bCs/>
                <w:szCs w:val="21"/>
              </w:rPr>
              <w:t>5.1投标人货物经过双方检验认可后，签署验收报告，产品免费保修期自验收合格之日起算，由投标人提供产品保修文件</w:t>
            </w:r>
          </w:p>
        </w:tc>
      </w:tr>
      <w:tr w14:paraId="596A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11" w:type="pct"/>
            <w:vMerge w:val="continue"/>
            <w:vAlign w:val="center"/>
          </w:tcPr>
          <w:p w14:paraId="2BADF5C6">
            <w:pPr>
              <w:jc w:val="center"/>
              <w:rPr>
                <w:rFonts w:asciiTheme="minorEastAsia" w:hAnsiTheme="minorEastAsia" w:eastAsiaTheme="minorEastAsia"/>
                <w:szCs w:val="21"/>
              </w:rPr>
            </w:pPr>
          </w:p>
        </w:tc>
        <w:tc>
          <w:tcPr>
            <w:tcW w:w="690" w:type="pct"/>
            <w:vMerge w:val="continue"/>
            <w:vAlign w:val="center"/>
          </w:tcPr>
          <w:p w14:paraId="3A768B75">
            <w:pPr>
              <w:jc w:val="center"/>
              <w:rPr>
                <w:rFonts w:asciiTheme="minorEastAsia" w:hAnsiTheme="minorEastAsia" w:eastAsiaTheme="minorEastAsia"/>
                <w:b/>
                <w:bCs/>
                <w:szCs w:val="21"/>
              </w:rPr>
            </w:pPr>
          </w:p>
        </w:tc>
        <w:tc>
          <w:tcPr>
            <w:tcW w:w="3798" w:type="pct"/>
          </w:tcPr>
          <w:p w14:paraId="140C9BFF">
            <w:pPr>
              <w:rPr>
                <w:rFonts w:asciiTheme="minorEastAsia" w:hAnsiTheme="minorEastAsia" w:eastAsiaTheme="minorEastAsia"/>
                <w:bCs/>
                <w:szCs w:val="21"/>
              </w:rPr>
            </w:pPr>
            <w:r>
              <w:rPr>
                <w:rFonts w:hint="eastAsia" w:asciiTheme="minorEastAsia" w:hAnsiTheme="minorEastAsia" w:eastAsiaTheme="minorEastAsia"/>
                <w:bCs/>
                <w:szCs w:val="21"/>
              </w:rPr>
              <w:t>5.2当满足以下条件时，采购人才向中标人签发货物验收报告：</w:t>
            </w:r>
          </w:p>
          <w:p w14:paraId="4E962234">
            <w:pPr>
              <w:rPr>
                <w:rFonts w:asciiTheme="minorEastAsia" w:hAnsiTheme="minorEastAsia" w:eastAsiaTheme="minorEastAsia"/>
                <w:bCs/>
                <w:szCs w:val="21"/>
              </w:rPr>
            </w:pPr>
            <w:r>
              <w:rPr>
                <w:rFonts w:asciiTheme="minorEastAsia" w:hAnsiTheme="minorEastAsia" w:eastAsiaTheme="minorEastAsia"/>
                <w:bCs/>
                <w:szCs w:val="21"/>
              </w:rPr>
              <w:t>a</w:t>
            </w:r>
            <w:r>
              <w:rPr>
                <w:rFonts w:hint="eastAsia" w:asciiTheme="minorEastAsia" w:hAnsiTheme="minorEastAsia" w:eastAsiaTheme="minorEastAsia"/>
                <w:bCs/>
                <w:szCs w:val="21"/>
              </w:rPr>
              <w:t>、中标人已按照合同规定提供了全部产品及完整的技术资料。</w:t>
            </w:r>
          </w:p>
          <w:p w14:paraId="4012EB27">
            <w:pPr>
              <w:rPr>
                <w:rFonts w:asciiTheme="minorEastAsia" w:hAnsiTheme="minorEastAsia" w:eastAsiaTheme="minorEastAsia"/>
                <w:bCs/>
                <w:szCs w:val="21"/>
              </w:rPr>
            </w:pPr>
            <w:r>
              <w:rPr>
                <w:rFonts w:asciiTheme="minorEastAsia" w:hAnsiTheme="minorEastAsia" w:eastAsiaTheme="minorEastAsia"/>
                <w:bCs/>
                <w:szCs w:val="21"/>
              </w:rPr>
              <w:t>b</w:t>
            </w:r>
            <w:r>
              <w:rPr>
                <w:rFonts w:hint="eastAsia" w:asciiTheme="minorEastAsia" w:hAnsiTheme="minorEastAsia" w:eastAsiaTheme="minorEastAsia"/>
                <w:bCs/>
                <w:szCs w:val="21"/>
              </w:rPr>
              <w:t>、货物符合招标文件技术规格书的要求，性能满足要求。</w:t>
            </w:r>
          </w:p>
          <w:p w14:paraId="1D867B73">
            <w:pPr>
              <w:rPr>
                <w:rFonts w:asciiTheme="minorEastAsia" w:hAnsiTheme="minorEastAsia" w:eastAsiaTheme="minorEastAsia"/>
                <w:szCs w:val="21"/>
              </w:rPr>
            </w:pPr>
            <w:r>
              <w:rPr>
                <w:rFonts w:asciiTheme="minorEastAsia" w:hAnsiTheme="minorEastAsia" w:eastAsiaTheme="minorEastAsia"/>
                <w:bCs/>
                <w:szCs w:val="21"/>
              </w:rPr>
              <w:t>c</w:t>
            </w:r>
            <w:r>
              <w:rPr>
                <w:rFonts w:hint="eastAsia" w:asciiTheme="minorEastAsia" w:hAnsiTheme="minorEastAsia" w:eastAsiaTheme="minorEastAsia"/>
                <w:bCs/>
                <w:szCs w:val="21"/>
              </w:rPr>
              <w:t>、货物具备产品合格证。</w:t>
            </w:r>
          </w:p>
        </w:tc>
      </w:tr>
      <w:tr w14:paraId="328E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11" w:type="pct"/>
            <w:vMerge w:val="continue"/>
            <w:vAlign w:val="center"/>
          </w:tcPr>
          <w:p w14:paraId="53A10485">
            <w:pPr>
              <w:jc w:val="center"/>
              <w:rPr>
                <w:rFonts w:asciiTheme="minorEastAsia" w:hAnsiTheme="minorEastAsia" w:eastAsiaTheme="minorEastAsia"/>
                <w:szCs w:val="21"/>
              </w:rPr>
            </w:pPr>
          </w:p>
        </w:tc>
        <w:tc>
          <w:tcPr>
            <w:tcW w:w="690" w:type="pct"/>
            <w:vMerge w:val="continue"/>
            <w:vAlign w:val="center"/>
          </w:tcPr>
          <w:p w14:paraId="77C053D3">
            <w:pPr>
              <w:jc w:val="center"/>
              <w:rPr>
                <w:rFonts w:asciiTheme="minorEastAsia" w:hAnsiTheme="minorEastAsia" w:eastAsiaTheme="minorEastAsia"/>
                <w:b/>
                <w:bCs/>
                <w:szCs w:val="21"/>
              </w:rPr>
            </w:pPr>
          </w:p>
        </w:tc>
        <w:tc>
          <w:tcPr>
            <w:tcW w:w="3798" w:type="pct"/>
          </w:tcPr>
          <w:p w14:paraId="71C1FAF4">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5.3其他：</w:t>
            </w:r>
            <w:r>
              <w:rPr>
                <w:rFonts w:hint="eastAsia" w:asciiTheme="minorEastAsia" w:hAnsiTheme="minorEastAsia" w:eastAsiaTheme="minorEastAsia"/>
                <w:szCs w:val="21"/>
              </w:rPr>
              <w:t>特别说明：</w:t>
            </w:r>
            <w:r>
              <w:rPr>
                <w:rFonts w:hint="eastAsia" w:cs="宋体" w:asciiTheme="minorEastAsia" w:hAnsiTheme="minorEastAsia" w:eastAsiaTheme="minorEastAsia"/>
                <w:kern w:val="0"/>
                <w:szCs w:val="21"/>
              </w:rPr>
              <w:t>本项目合同签订并供货完成安装后，采购人将会同相关主管部门，聘请第三方专业检测机构对中标人交付的所有设备进行全批量检测，若出现检测结果不满足招标文件要求、投标文件承诺等不合格情况，采购人将对检测情况报主管部门，可能对中标人做出取消采购合同、索赔、认定虚假应标并列入政府采购诚信名录、禁止参与政府采购活动等处罚。</w:t>
            </w:r>
          </w:p>
        </w:tc>
      </w:tr>
    </w:tbl>
    <w:p w14:paraId="2F1E38CA">
      <w:pPr>
        <w:pStyle w:val="8"/>
        <w:spacing w:before="60" w:beforeLines="25" w:after="60" w:afterLines="25"/>
        <w:ind w:firstLine="392" w:firstLineChars="187"/>
        <w:rPr>
          <w:rFonts w:ascii="宋体" w:hAnsi="宋体"/>
          <w:szCs w:val="21"/>
        </w:rPr>
      </w:pPr>
    </w:p>
    <w:p w14:paraId="73A9FBC9">
      <w:pPr>
        <w:pStyle w:val="4"/>
        <w:jc w:val="left"/>
        <w:rPr>
          <w:rFonts w:ascii="新宋体" w:hAnsi="新宋体" w:eastAsia="新宋体"/>
          <w:kern w:val="44"/>
          <w:sz w:val="30"/>
          <w:szCs w:val="30"/>
        </w:rPr>
      </w:pPr>
      <w:r>
        <w:rPr>
          <w:rFonts w:hint="eastAsia" w:ascii="新宋体" w:hAnsi="新宋体" w:eastAsia="新宋体"/>
          <w:kern w:val="44"/>
          <w:sz w:val="30"/>
          <w:szCs w:val="30"/>
        </w:rPr>
        <w:t>九、政策导向</w:t>
      </w:r>
    </w:p>
    <w:p w14:paraId="230DC46A">
      <w:pPr>
        <w:spacing w:line="360" w:lineRule="auto"/>
        <w:rPr>
          <w:rFonts w:ascii="新宋体" w:hAnsi="新宋体" w:eastAsia="新宋体"/>
        </w:rPr>
      </w:pPr>
      <w:r>
        <w:rPr>
          <w:rFonts w:hint="eastAsia" w:ascii="新宋体" w:hAnsi="新宋体" w:eastAsia="新宋体"/>
        </w:rPr>
        <w:t>1、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1D16D464">
      <w:pPr>
        <w:spacing w:line="360" w:lineRule="auto"/>
        <w:rPr>
          <w:rFonts w:ascii="新宋体" w:hAnsi="新宋体" w:eastAsia="新宋体"/>
        </w:rPr>
      </w:pPr>
      <w:r>
        <w:rPr>
          <w:rFonts w:hint="eastAsia" w:ascii="新宋体" w:hAnsi="新宋体" w:eastAsia="新宋体"/>
          <w:color w:val="000000"/>
          <w:shd w:val="clear" w:color="auto" w:fill="FFFFFF"/>
        </w:rPr>
        <w:t>2、</w:t>
      </w:r>
      <w:r>
        <w:rPr>
          <w:rFonts w:hint="eastAsia" w:ascii="新宋体" w:hAnsi="新宋体" w:eastAsia="新宋体"/>
        </w:rPr>
        <w:t>根据《深圳市人民政府关于印发深圳市贯彻落实守信联合激励和失信联合惩戒制度实施方案的通知》（深府〔2017〕57号）对列入失信“黑名单”的供应商限制参与政府采购。</w:t>
      </w:r>
    </w:p>
    <w:p w14:paraId="25DB05A8">
      <w:pPr>
        <w:spacing w:line="360" w:lineRule="auto"/>
        <w:rPr>
          <w:rFonts w:ascii="新宋体" w:hAnsi="新宋体" w:eastAsia="新宋体"/>
        </w:rPr>
      </w:pPr>
      <w:r>
        <w:rPr>
          <w:rFonts w:hint="eastAsia" w:ascii="新宋体" w:hAnsi="新宋体" w:eastAsia="新宋体"/>
        </w:rPr>
        <w:t>3、“信用中国”、“中国政府采购网”以及“深圳市政府采购监管网”为供应商信用信息的查询渠道，相关信息以中标通知书发出前的查询结果为准。</w:t>
      </w:r>
    </w:p>
    <w:p w14:paraId="4031591F">
      <w:pPr>
        <w:spacing w:line="360" w:lineRule="auto"/>
        <w:rPr>
          <w:rFonts w:ascii="新宋体" w:hAnsi="新宋体" w:eastAsia="新宋体"/>
        </w:rPr>
      </w:pPr>
    </w:p>
    <w:p w14:paraId="5605BF84">
      <w:pPr>
        <w:spacing w:line="360" w:lineRule="auto"/>
        <w:rPr>
          <w:rFonts w:ascii="新宋体" w:hAnsi="新宋体" w:eastAsia="新宋体"/>
        </w:rPr>
      </w:pPr>
    </w:p>
    <w:p w14:paraId="5F56426A">
      <w:pPr>
        <w:spacing w:line="360" w:lineRule="auto"/>
        <w:rPr>
          <w:rFonts w:ascii="新宋体" w:hAnsi="新宋体" w:eastAsia="新宋体"/>
        </w:rPr>
      </w:pPr>
    </w:p>
    <w:p w14:paraId="3234BC13">
      <w:pPr>
        <w:spacing w:line="360" w:lineRule="auto"/>
        <w:rPr>
          <w:rFonts w:ascii="新宋体" w:hAnsi="新宋体" w:eastAsia="新宋体"/>
        </w:rPr>
      </w:pPr>
    </w:p>
    <w:p w14:paraId="3C85B1A2">
      <w:pPr>
        <w:pStyle w:val="6"/>
        <w:rPr>
          <w:rFonts w:ascii="新宋体" w:hAnsi="新宋体" w:eastAsia="新宋体"/>
          <w:kern w:val="44"/>
          <w:sz w:val="30"/>
          <w:szCs w:val="30"/>
        </w:rPr>
      </w:pPr>
      <w:r>
        <w:rPr>
          <w:rFonts w:hint="eastAsia" w:ascii="新宋体" w:hAnsi="新宋体" w:eastAsia="新宋体"/>
          <w:kern w:val="44"/>
          <w:sz w:val="30"/>
          <w:szCs w:val="30"/>
        </w:rPr>
        <w:t>第三章 投标文件格式、附件</w:t>
      </w:r>
    </w:p>
    <w:p w14:paraId="3C8C1DCD">
      <w:pPr>
        <w:spacing w:line="360" w:lineRule="auto"/>
        <w:rPr>
          <w:rFonts w:ascii="新宋体" w:hAnsi="新宋体" w:eastAsia="新宋体"/>
          <w:b/>
          <w:sz w:val="24"/>
        </w:rPr>
      </w:pPr>
      <w:r>
        <w:rPr>
          <w:rFonts w:hint="eastAsia" w:ascii="新宋体" w:hAnsi="新宋体" w:eastAsia="新宋体"/>
          <w:b/>
          <w:sz w:val="24"/>
        </w:rPr>
        <w:t>投标文件组成：</w:t>
      </w:r>
    </w:p>
    <w:p w14:paraId="1EC31310">
      <w:pPr>
        <w:spacing w:line="360" w:lineRule="auto"/>
        <w:rPr>
          <w:rFonts w:ascii="新宋体" w:hAnsi="新宋体" w:eastAsia="新宋体"/>
          <w:bCs/>
        </w:rPr>
      </w:pPr>
      <w:r>
        <w:rPr>
          <w:rFonts w:hint="eastAsia" w:ascii="新宋体" w:hAnsi="新宋体" w:eastAsia="新宋体"/>
          <w:bCs/>
        </w:rPr>
        <w:t>1.投标文件正文，主要包括以下内容：</w:t>
      </w:r>
    </w:p>
    <w:p w14:paraId="62A7F370">
      <w:pPr>
        <w:spacing w:line="360" w:lineRule="auto"/>
        <w:rPr>
          <w:rFonts w:ascii="新宋体" w:hAnsi="新宋体" w:eastAsia="新宋体"/>
          <w:bCs/>
        </w:rPr>
      </w:pPr>
      <w:r>
        <w:rPr>
          <w:rFonts w:hint="eastAsia" w:ascii="新宋体" w:hAnsi="新宋体" w:eastAsia="新宋体"/>
          <w:bCs/>
        </w:rPr>
        <w:t>（1）投标函</w:t>
      </w:r>
    </w:p>
    <w:p w14:paraId="0CC65B4D">
      <w:pPr>
        <w:spacing w:line="360" w:lineRule="auto"/>
        <w:rPr>
          <w:rFonts w:ascii="新宋体" w:hAnsi="新宋体" w:eastAsia="新宋体"/>
          <w:bCs/>
        </w:rPr>
      </w:pPr>
      <w:r>
        <w:rPr>
          <w:rFonts w:hint="eastAsia" w:ascii="新宋体" w:hAnsi="新宋体" w:eastAsia="新宋体"/>
          <w:bCs/>
        </w:rPr>
        <w:t>（2）政府采购投标及履约承诺函</w:t>
      </w:r>
    </w:p>
    <w:p w14:paraId="0B784FBB">
      <w:pPr>
        <w:spacing w:line="360" w:lineRule="auto"/>
        <w:rPr>
          <w:rFonts w:ascii="新宋体" w:hAnsi="新宋体" w:eastAsia="新宋体"/>
          <w:bCs/>
        </w:rPr>
      </w:pPr>
      <w:r>
        <w:rPr>
          <w:rFonts w:hint="eastAsia" w:ascii="新宋体" w:hAnsi="新宋体" w:eastAsia="新宋体"/>
          <w:bCs/>
        </w:rPr>
        <w:t>（3）政府采购违法行为风险知悉确认书</w:t>
      </w:r>
    </w:p>
    <w:p w14:paraId="6AEA7EFB">
      <w:pPr>
        <w:spacing w:line="360" w:lineRule="auto"/>
        <w:rPr>
          <w:rFonts w:ascii="新宋体" w:hAnsi="新宋体" w:eastAsia="新宋体"/>
          <w:bCs/>
        </w:rPr>
      </w:pPr>
      <w:r>
        <w:rPr>
          <w:rFonts w:hint="eastAsia" w:ascii="新宋体" w:hAnsi="新宋体" w:eastAsia="新宋体"/>
          <w:bCs/>
        </w:rPr>
        <w:t>（4）分项报价清单</w:t>
      </w:r>
    </w:p>
    <w:p w14:paraId="30FF3C9C">
      <w:pPr>
        <w:spacing w:line="360" w:lineRule="auto"/>
        <w:rPr>
          <w:rFonts w:ascii="新宋体" w:hAnsi="新宋体" w:eastAsia="新宋体"/>
          <w:bCs/>
        </w:rPr>
      </w:pPr>
      <w:r>
        <w:rPr>
          <w:rFonts w:hint="eastAsia" w:ascii="新宋体" w:hAnsi="新宋体" w:eastAsia="新宋体"/>
          <w:bCs/>
        </w:rPr>
        <w:t>（5）投标人情况介绍</w:t>
      </w:r>
    </w:p>
    <w:p w14:paraId="18263834">
      <w:pPr>
        <w:spacing w:line="360" w:lineRule="auto"/>
        <w:rPr>
          <w:rFonts w:ascii="新宋体" w:hAnsi="新宋体" w:eastAsia="新宋体"/>
          <w:bCs/>
        </w:rPr>
      </w:pPr>
      <w:r>
        <w:rPr>
          <w:rFonts w:hint="eastAsia" w:ascii="新宋体" w:hAnsi="新宋体" w:eastAsia="新宋体"/>
          <w:bCs/>
        </w:rPr>
        <w:t>（6）货物说明一览表</w:t>
      </w:r>
    </w:p>
    <w:p w14:paraId="606B6D5C">
      <w:pPr>
        <w:spacing w:line="360" w:lineRule="auto"/>
        <w:rPr>
          <w:rFonts w:ascii="新宋体" w:hAnsi="新宋体" w:eastAsia="新宋体"/>
          <w:bCs/>
        </w:rPr>
      </w:pPr>
      <w:r>
        <w:rPr>
          <w:rFonts w:hint="eastAsia" w:ascii="新宋体" w:hAnsi="新宋体" w:eastAsia="新宋体"/>
          <w:bCs/>
        </w:rPr>
        <w:t>（7）技术规格偏离表</w:t>
      </w:r>
    </w:p>
    <w:p w14:paraId="3DC08DF1">
      <w:pPr>
        <w:spacing w:line="360" w:lineRule="auto"/>
        <w:rPr>
          <w:rFonts w:ascii="新宋体" w:hAnsi="新宋体" w:eastAsia="新宋体"/>
          <w:bCs/>
        </w:rPr>
      </w:pPr>
      <w:r>
        <w:rPr>
          <w:rFonts w:hint="eastAsia" w:ascii="新宋体" w:hAnsi="新宋体" w:eastAsia="新宋体"/>
          <w:bCs/>
        </w:rPr>
        <w:t>（8）商务需求偏离表</w:t>
      </w:r>
    </w:p>
    <w:p w14:paraId="4025093D">
      <w:pPr>
        <w:spacing w:line="360" w:lineRule="auto"/>
        <w:rPr>
          <w:rFonts w:ascii="新宋体" w:hAnsi="新宋体" w:eastAsia="新宋体"/>
          <w:bCs/>
        </w:rPr>
      </w:pPr>
      <w:r>
        <w:rPr>
          <w:rFonts w:hint="eastAsia" w:ascii="新宋体" w:hAnsi="新宋体" w:eastAsia="新宋体"/>
          <w:bCs/>
        </w:rPr>
        <w:t>（9）投标人认为需要加以说明的其他内容</w:t>
      </w:r>
    </w:p>
    <w:p w14:paraId="60B185B2">
      <w:pPr>
        <w:spacing w:line="360" w:lineRule="auto"/>
        <w:rPr>
          <w:rFonts w:ascii="新宋体" w:hAnsi="新宋体" w:eastAsia="新宋体"/>
          <w:b/>
          <w:szCs w:val="21"/>
        </w:rPr>
      </w:pPr>
      <w:r>
        <w:rPr>
          <w:rFonts w:hint="eastAsia" w:ascii="新宋体" w:hAnsi="新宋体" w:eastAsia="新宋体"/>
          <w:b/>
          <w:szCs w:val="21"/>
        </w:rPr>
        <w:t>注：仅供参考，具体按评分信息设置标书节点</w:t>
      </w:r>
    </w:p>
    <w:p w14:paraId="58A21634">
      <w:pPr>
        <w:spacing w:line="360" w:lineRule="auto"/>
        <w:rPr>
          <w:rFonts w:ascii="新宋体" w:hAnsi="新宋体" w:eastAsia="新宋体"/>
          <w:bCs/>
        </w:rPr>
      </w:pPr>
    </w:p>
    <w:p w14:paraId="5DEC582F">
      <w:pPr>
        <w:spacing w:line="360" w:lineRule="auto"/>
        <w:rPr>
          <w:rFonts w:ascii="新宋体" w:hAnsi="新宋体" w:eastAsia="新宋体"/>
          <w:bCs/>
        </w:rPr>
      </w:pPr>
      <w:r>
        <w:rPr>
          <w:rFonts w:hint="eastAsia" w:ascii="新宋体" w:hAnsi="新宋体" w:eastAsia="新宋体"/>
          <w:bCs/>
        </w:rPr>
        <w:t>2.投标文件附件：主要包括以下内容：</w:t>
      </w:r>
    </w:p>
    <w:p w14:paraId="37FE99F7">
      <w:pPr>
        <w:spacing w:line="360" w:lineRule="auto"/>
        <w:rPr>
          <w:rFonts w:ascii="新宋体" w:hAnsi="新宋体" w:eastAsia="新宋体"/>
          <w:bCs/>
        </w:rPr>
      </w:pPr>
      <w:r>
        <w:rPr>
          <w:rFonts w:hint="eastAsia" w:ascii="新宋体" w:hAnsi="新宋体" w:eastAsia="新宋体"/>
          <w:bCs/>
        </w:rPr>
        <w:t>（1）法定代表人证明书</w:t>
      </w:r>
    </w:p>
    <w:p w14:paraId="12F20676">
      <w:pPr>
        <w:spacing w:line="360" w:lineRule="auto"/>
        <w:rPr>
          <w:rFonts w:ascii="新宋体" w:hAnsi="新宋体" w:eastAsia="新宋体"/>
          <w:bCs/>
        </w:rPr>
      </w:pPr>
      <w:r>
        <w:rPr>
          <w:rFonts w:hint="eastAsia" w:ascii="新宋体" w:hAnsi="新宋体" w:eastAsia="新宋体"/>
          <w:bCs/>
        </w:rPr>
        <w:t>（2）投标文件签署授权委托书</w:t>
      </w:r>
    </w:p>
    <w:p w14:paraId="2FB4F5E1">
      <w:pPr>
        <w:spacing w:line="360" w:lineRule="auto"/>
        <w:rPr>
          <w:rFonts w:ascii="新宋体" w:hAnsi="新宋体" w:eastAsia="新宋体"/>
          <w:bCs/>
        </w:rPr>
      </w:pPr>
      <w:r>
        <w:rPr>
          <w:rFonts w:hint="eastAsia" w:ascii="新宋体" w:hAnsi="新宋体" w:eastAsia="新宋体"/>
          <w:bCs/>
        </w:rPr>
        <w:t>（3）实质性条款响应情况表</w:t>
      </w:r>
    </w:p>
    <w:p w14:paraId="6D482A17">
      <w:pPr>
        <w:spacing w:line="360" w:lineRule="auto"/>
        <w:rPr>
          <w:rFonts w:ascii="新宋体" w:hAnsi="新宋体" w:eastAsia="新宋体"/>
          <w:bCs/>
        </w:rPr>
      </w:pPr>
      <w:r>
        <w:rPr>
          <w:rFonts w:hint="eastAsia" w:ascii="新宋体" w:hAnsi="新宋体" w:eastAsia="新宋体"/>
          <w:bCs/>
        </w:rPr>
        <w:t>（4）项目实施方案</w:t>
      </w:r>
    </w:p>
    <w:p w14:paraId="5047A58B">
      <w:pPr>
        <w:spacing w:line="360" w:lineRule="auto"/>
        <w:rPr>
          <w:rFonts w:ascii="新宋体" w:hAnsi="新宋体" w:eastAsia="新宋体"/>
          <w:bCs/>
        </w:rPr>
      </w:pPr>
      <w:r>
        <w:rPr>
          <w:rFonts w:hint="eastAsia" w:ascii="新宋体" w:hAnsi="新宋体" w:eastAsia="新宋体"/>
          <w:bCs/>
        </w:rPr>
        <w:t>（5）售后服务方案</w:t>
      </w:r>
    </w:p>
    <w:p w14:paraId="59F53B37">
      <w:pPr>
        <w:spacing w:line="360" w:lineRule="auto"/>
        <w:rPr>
          <w:rFonts w:ascii="新宋体" w:hAnsi="新宋体" w:eastAsia="新宋体"/>
          <w:b/>
          <w:szCs w:val="21"/>
        </w:rPr>
      </w:pPr>
      <w:r>
        <w:rPr>
          <w:rFonts w:hint="eastAsia" w:ascii="新宋体" w:hAnsi="新宋体" w:eastAsia="新宋体"/>
          <w:b/>
          <w:szCs w:val="21"/>
        </w:rPr>
        <w:t>注：仅供参考，具体按评分信息设置标书节点</w:t>
      </w:r>
    </w:p>
    <w:p w14:paraId="58C3CA1D">
      <w:pPr>
        <w:ind w:left="718" w:leftChars="342" w:firstLine="1417" w:firstLineChars="675"/>
        <w:rPr>
          <w:szCs w:val="21"/>
        </w:rPr>
      </w:pPr>
    </w:p>
    <w:p w14:paraId="3BE9D4B1">
      <w:pPr>
        <w:rPr>
          <w:rFonts w:ascii="宋体" w:hAnsi="宋体"/>
          <w:color w:val="FF0000"/>
          <w:sz w:val="24"/>
        </w:rPr>
      </w:pPr>
    </w:p>
    <w:p w14:paraId="2058AC12">
      <w:pPr>
        <w:rPr>
          <w:rFonts w:ascii="宋体" w:hAnsi="宋体"/>
          <w:color w:val="FF0000"/>
          <w:sz w:val="24"/>
        </w:rPr>
      </w:pPr>
    </w:p>
    <w:p w14:paraId="0FAEC6E7">
      <w:pPr>
        <w:rPr>
          <w:rFonts w:ascii="宋体" w:hAnsi="宋体"/>
          <w:color w:val="FF0000"/>
          <w:sz w:val="24"/>
        </w:rPr>
      </w:pPr>
    </w:p>
    <w:p w14:paraId="259C275A">
      <w:pPr>
        <w:rPr>
          <w:rFonts w:ascii="宋体" w:hAnsi="宋体"/>
          <w:color w:val="FF0000"/>
          <w:sz w:val="24"/>
        </w:rPr>
      </w:pPr>
    </w:p>
    <w:p w14:paraId="0FAC061C">
      <w:pPr>
        <w:spacing w:line="360" w:lineRule="auto"/>
        <w:rPr>
          <w:rFonts w:ascii="新宋体" w:hAnsi="新宋体" w:eastAsia="新宋体"/>
          <w:b/>
          <w:sz w:val="24"/>
        </w:rPr>
      </w:pPr>
      <w:r>
        <w:rPr>
          <w:rFonts w:hint="eastAsia" w:ascii="新宋体" w:hAnsi="新宋体" w:eastAsia="新宋体"/>
          <w:b/>
          <w:sz w:val="24"/>
        </w:rPr>
        <w:t>投标文件正文</w:t>
      </w:r>
    </w:p>
    <w:p w14:paraId="51953AE7">
      <w:pPr>
        <w:pStyle w:val="4"/>
        <w:jc w:val="center"/>
        <w:rPr>
          <w:rFonts w:ascii="新宋体" w:hAnsi="新宋体" w:eastAsia="新宋体"/>
          <w:kern w:val="44"/>
          <w:sz w:val="30"/>
          <w:szCs w:val="30"/>
        </w:rPr>
      </w:pPr>
      <w:r>
        <w:rPr>
          <w:rFonts w:hint="eastAsia" w:ascii="新宋体" w:hAnsi="新宋体" w:eastAsia="新宋体"/>
          <w:kern w:val="44"/>
          <w:sz w:val="30"/>
          <w:szCs w:val="30"/>
        </w:rPr>
        <w:t>一、投标函</w:t>
      </w:r>
    </w:p>
    <w:p w14:paraId="5F769CA6">
      <w:pPr>
        <w:spacing w:line="480" w:lineRule="auto"/>
        <w:rPr>
          <w:rFonts w:ascii="新宋体" w:hAnsi="新宋体" w:eastAsia="新宋体"/>
        </w:rPr>
      </w:pPr>
      <w:r>
        <w:rPr>
          <w:rFonts w:hint="eastAsia" w:ascii="新宋体" w:hAnsi="新宋体" w:eastAsia="新宋体"/>
        </w:rPr>
        <w:t>致：深圳市瑞凝信招标咨询有限公司</w:t>
      </w:r>
    </w:p>
    <w:p w14:paraId="075CCA33">
      <w:pPr>
        <w:spacing w:line="480" w:lineRule="auto"/>
        <w:rPr>
          <w:rFonts w:ascii="新宋体" w:hAnsi="新宋体" w:eastAsia="新宋体"/>
        </w:rPr>
      </w:pPr>
      <w:r>
        <w:rPr>
          <w:rFonts w:hint="eastAsia" w:ascii="新宋体" w:hAnsi="新宋体" w:eastAsia="新宋体"/>
        </w:rPr>
        <w:t>1、根据已收到贵方的招标编号为        的               项目的招标文件，遵照《深圳经济特区政府采购条例》等有关规定，我单位经研究上述招标文件的专用条款及通用条款后，我方愿以《开标一览表》中填写的投标报价并按招标文件要求承包上述项目并修补其任何缺陷。</w:t>
      </w:r>
    </w:p>
    <w:p w14:paraId="08ADA72B">
      <w:pPr>
        <w:spacing w:line="480" w:lineRule="auto"/>
        <w:rPr>
          <w:rFonts w:ascii="新宋体" w:hAnsi="新宋体" w:eastAsia="新宋体"/>
        </w:rPr>
      </w:pPr>
      <w:r>
        <w:rPr>
          <w:rFonts w:ascii="新宋体" w:hAnsi="新宋体" w:eastAsia="新宋体"/>
        </w:rPr>
        <w:t>2</w:t>
      </w:r>
      <w:r>
        <w:rPr>
          <w:rFonts w:hint="eastAsia" w:ascii="新宋体" w:hAnsi="新宋体" w:eastAsia="新宋体"/>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4339FD44">
      <w:pPr>
        <w:spacing w:line="480" w:lineRule="auto"/>
        <w:rPr>
          <w:rFonts w:ascii="新宋体" w:hAnsi="新宋体" w:eastAsia="新宋体"/>
        </w:rPr>
      </w:pPr>
      <w:r>
        <w:rPr>
          <w:rFonts w:hint="eastAsia" w:ascii="新宋体" w:hAnsi="新宋体" w:eastAsia="新宋体"/>
        </w:rPr>
        <w:t>3、如果我方中标，我方将按照规定提交上述总价      ％（或   万元）作为履约担保。</w:t>
      </w:r>
    </w:p>
    <w:p w14:paraId="1BE2A2F8">
      <w:pPr>
        <w:spacing w:line="480" w:lineRule="auto"/>
        <w:rPr>
          <w:rFonts w:ascii="新宋体" w:hAnsi="新宋体" w:eastAsia="新宋体"/>
        </w:rPr>
      </w:pPr>
      <w:r>
        <w:rPr>
          <w:rFonts w:hint="eastAsia" w:ascii="新宋体" w:hAnsi="新宋体" w:eastAsia="新宋体"/>
        </w:rPr>
        <w:t>4、我方同意所递交的投标文件在“对通用条款的补充内容”中的投标有效期内有效，在此期间内我方的投标有可能中标，我方将受此约束。</w:t>
      </w:r>
    </w:p>
    <w:p w14:paraId="383F3FD1">
      <w:pPr>
        <w:spacing w:line="480" w:lineRule="auto"/>
        <w:rPr>
          <w:rFonts w:ascii="新宋体" w:hAnsi="新宋体" w:eastAsia="新宋体"/>
        </w:rPr>
      </w:pPr>
      <w:r>
        <w:rPr>
          <w:rFonts w:hint="eastAsia" w:ascii="新宋体" w:hAnsi="新宋体" w:eastAsia="新宋体"/>
        </w:rPr>
        <w:t>5、除非另外达成协议并生效，贵方的中标通知书和本投标文件将构成约束我们双方的合同。</w:t>
      </w:r>
    </w:p>
    <w:p w14:paraId="4B52AAF6">
      <w:pPr>
        <w:spacing w:line="480" w:lineRule="auto"/>
        <w:rPr>
          <w:rFonts w:ascii="新宋体" w:hAnsi="新宋体" w:eastAsia="新宋体"/>
        </w:rPr>
      </w:pPr>
      <w:r>
        <w:rPr>
          <w:rFonts w:hint="eastAsia" w:ascii="新宋体" w:hAnsi="新宋体" w:eastAsia="新宋体"/>
        </w:rPr>
        <w:t>6、我方理解贵方将不受必须接受你们所收到的最低标价或其它任何投标文件的约束。</w:t>
      </w:r>
    </w:p>
    <w:p w14:paraId="1F653D42">
      <w:pPr>
        <w:spacing w:line="480" w:lineRule="auto"/>
        <w:rPr>
          <w:rFonts w:ascii="新宋体" w:hAnsi="新宋体" w:eastAsia="新宋体"/>
        </w:rPr>
      </w:pPr>
      <w:r>
        <w:rPr>
          <w:rFonts w:hint="eastAsia" w:ascii="新宋体" w:hAnsi="新宋体" w:eastAsia="新宋体"/>
        </w:rPr>
        <w:t xml:space="preserve">投标人：（公章）                       </w:t>
      </w:r>
    </w:p>
    <w:p w14:paraId="5FB31D2B">
      <w:pPr>
        <w:spacing w:line="480" w:lineRule="auto"/>
        <w:rPr>
          <w:rFonts w:ascii="新宋体" w:hAnsi="新宋体" w:eastAsia="新宋体"/>
        </w:rPr>
      </w:pPr>
      <w:r>
        <w:rPr>
          <w:rFonts w:hint="eastAsia" w:ascii="新宋体" w:hAnsi="新宋体" w:eastAsia="新宋体"/>
        </w:rPr>
        <w:t xml:space="preserve">单位地址：               </w:t>
      </w:r>
    </w:p>
    <w:p w14:paraId="0D93D4AF">
      <w:pPr>
        <w:spacing w:line="480" w:lineRule="auto"/>
        <w:rPr>
          <w:rFonts w:ascii="新宋体" w:hAnsi="新宋体" w:eastAsia="新宋体"/>
        </w:rPr>
      </w:pPr>
      <w:r>
        <w:rPr>
          <w:rFonts w:hint="eastAsia" w:ascii="新宋体" w:hAnsi="新宋体" w:eastAsia="新宋体"/>
        </w:rPr>
        <w:t>法定代表人或其委托代理人：（盖章或签字）</w:t>
      </w:r>
    </w:p>
    <w:p w14:paraId="7BEF69C1">
      <w:pPr>
        <w:spacing w:line="480" w:lineRule="auto"/>
        <w:rPr>
          <w:rFonts w:ascii="新宋体" w:hAnsi="新宋体" w:eastAsia="新宋体"/>
        </w:rPr>
      </w:pPr>
      <w:r>
        <w:rPr>
          <w:rFonts w:hint="eastAsia" w:ascii="新宋体" w:hAnsi="新宋体" w:eastAsia="新宋体"/>
        </w:rPr>
        <w:t>日期：    年   月   日</w:t>
      </w:r>
    </w:p>
    <w:p w14:paraId="4D5EFB08">
      <w:pPr>
        <w:spacing w:line="480" w:lineRule="auto"/>
        <w:rPr>
          <w:rFonts w:ascii="新宋体" w:hAnsi="新宋体" w:eastAsia="新宋体"/>
        </w:rPr>
      </w:pPr>
      <w:r>
        <w:rPr>
          <w:rFonts w:hint="eastAsia" w:ascii="新宋体" w:hAnsi="新宋体" w:eastAsia="新宋体"/>
        </w:rPr>
        <w:t xml:space="preserve">邮政编码：            电话：            传真：            </w:t>
      </w:r>
    </w:p>
    <w:p w14:paraId="11BA12BD">
      <w:pPr>
        <w:spacing w:line="480" w:lineRule="auto"/>
        <w:rPr>
          <w:rFonts w:ascii="新宋体" w:hAnsi="新宋体" w:eastAsia="新宋体"/>
        </w:rPr>
      </w:pPr>
      <w:r>
        <w:rPr>
          <w:rFonts w:hint="eastAsia" w:ascii="新宋体" w:hAnsi="新宋体" w:eastAsia="新宋体"/>
        </w:rPr>
        <w:t>开户银行名称：</w:t>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p>
    <w:p w14:paraId="6258E050">
      <w:pPr>
        <w:spacing w:line="480" w:lineRule="auto"/>
        <w:rPr>
          <w:rFonts w:ascii="新宋体" w:hAnsi="新宋体" w:eastAsia="新宋体"/>
        </w:rPr>
      </w:pPr>
      <w:r>
        <w:rPr>
          <w:rFonts w:hint="eastAsia" w:ascii="新宋体" w:hAnsi="新宋体" w:eastAsia="新宋体"/>
        </w:rPr>
        <w:t>开户银行帐号：</w:t>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p>
    <w:p w14:paraId="27C7C8AB">
      <w:pPr>
        <w:spacing w:line="480" w:lineRule="auto"/>
        <w:rPr>
          <w:rFonts w:ascii="新宋体" w:hAnsi="新宋体" w:eastAsia="新宋体"/>
        </w:rPr>
      </w:pPr>
      <w:r>
        <w:rPr>
          <w:rFonts w:hint="eastAsia" w:ascii="新宋体" w:hAnsi="新宋体" w:eastAsia="新宋体"/>
        </w:rPr>
        <w:t>开户银行地址：</w:t>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r>
        <w:rPr>
          <w:rFonts w:hint="eastAsia" w:ascii="新宋体" w:hAnsi="新宋体" w:eastAsia="新宋体"/>
        </w:rPr>
        <w:tab/>
      </w:r>
    </w:p>
    <w:p w14:paraId="4F60336D">
      <w:r>
        <w:rPr>
          <w:rFonts w:hint="eastAsia"/>
        </w:rPr>
        <w:t>开户银行电话：</w:t>
      </w:r>
      <w:r>
        <w:rPr>
          <w:rFonts w:hint="eastAsia"/>
        </w:rPr>
        <w:tab/>
      </w:r>
      <w:r>
        <w:rPr>
          <w:rFonts w:hint="eastAsia"/>
        </w:rPr>
        <w:tab/>
      </w:r>
      <w:r>
        <w:rPr>
          <w:rFonts w:hint="eastAsia"/>
        </w:rPr>
        <w:tab/>
      </w:r>
      <w:r>
        <w:rPr>
          <w:rFonts w:hint="eastAsia"/>
        </w:rPr>
        <w:tab/>
      </w:r>
    </w:p>
    <w:p w14:paraId="06CA1BF8"/>
    <w:p w14:paraId="7896D7DA">
      <w:pPr>
        <w:spacing w:line="480" w:lineRule="auto"/>
        <w:rPr>
          <w:rFonts w:ascii="新宋体" w:hAnsi="新宋体" w:eastAsia="新宋体"/>
        </w:rPr>
      </w:pPr>
      <w:r>
        <w:rPr>
          <w:rFonts w:hint="eastAsia" w:ascii="新宋体" w:hAnsi="新宋体" w:eastAsia="新宋体"/>
        </w:rPr>
        <w:t>（备注：如联合体投标，投标人一栏仅需填写牵头人的名称）</w:t>
      </w:r>
    </w:p>
    <w:p w14:paraId="2241BE54">
      <w:pPr>
        <w:pStyle w:val="4"/>
        <w:jc w:val="center"/>
        <w:rPr>
          <w:rFonts w:ascii="新宋体" w:hAnsi="新宋体" w:eastAsia="新宋体"/>
          <w:kern w:val="44"/>
          <w:sz w:val="30"/>
          <w:szCs w:val="30"/>
        </w:rPr>
      </w:pPr>
      <w:r>
        <w:rPr>
          <w:rFonts w:hint="eastAsia" w:ascii="新宋体" w:hAnsi="新宋体" w:eastAsia="新宋体"/>
          <w:kern w:val="44"/>
          <w:sz w:val="30"/>
          <w:szCs w:val="30"/>
        </w:rPr>
        <w:t>二、政府采购投标及履约承诺函</w:t>
      </w:r>
    </w:p>
    <w:p w14:paraId="55D53305">
      <w:pPr>
        <w:spacing w:line="480" w:lineRule="auto"/>
        <w:rPr>
          <w:rFonts w:ascii="新宋体" w:hAnsi="新宋体" w:eastAsia="新宋体"/>
        </w:rPr>
      </w:pPr>
      <w:r>
        <w:rPr>
          <w:rFonts w:hint="eastAsia" w:ascii="新宋体" w:hAnsi="新宋体" w:eastAsia="新宋体"/>
        </w:rPr>
        <w:t>致：深圳市瑞凝信招标咨询有限公司</w:t>
      </w:r>
    </w:p>
    <w:p w14:paraId="58F70523">
      <w:pPr>
        <w:spacing w:line="360" w:lineRule="auto"/>
        <w:rPr>
          <w:rFonts w:ascii="新宋体" w:hAnsi="新宋体" w:eastAsia="新宋体"/>
        </w:rPr>
      </w:pPr>
      <w:r>
        <w:rPr>
          <w:rFonts w:hint="eastAsia" w:ascii="新宋体" w:hAnsi="新宋体" w:eastAsia="新宋体"/>
        </w:rPr>
        <w:t>我公司承诺：</w:t>
      </w:r>
    </w:p>
    <w:p w14:paraId="37F16D6E">
      <w:pPr>
        <w:spacing w:line="360" w:lineRule="auto"/>
        <w:rPr>
          <w:rFonts w:ascii="新宋体" w:hAnsi="新宋体" w:eastAsia="新宋体"/>
        </w:rPr>
      </w:pPr>
      <w:r>
        <w:rPr>
          <w:rFonts w:hint="eastAsia" w:ascii="新宋体" w:hAnsi="新宋体" w:eastAsia="新宋体"/>
        </w:rPr>
        <w:t>1.我公司本招标项目所提供的货物或服务未侵犯知识产权。</w:t>
      </w:r>
    </w:p>
    <w:p w14:paraId="5A1B3BD5">
      <w:pPr>
        <w:spacing w:line="360" w:lineRule="auto"/>
        <w:rPr>
          <w:rFonts w:ascii="新宋体" w:hAnsi="新宋体" w:eastAsia="新宋体"/>
        </w:rPr>
      </w:pPr>
      <w:r>
        <w:rPr>
          <w:rFonts w:hint="eastAsia" w:ascii="新宋体" w:hAnsi="新宋体" w:eastAsia="新宋体"/>
        </w:rPr>
        <w:t>2.我公司参与本项目投标前三年内，在经营活动中没有重大违法记录。</w:t>
      </w:r>
    </w:p>
    <w:p w14:paraId="403CB71B">
      <w:pPr>
        <w:spacing w:line="360" w:lineRule="auto"/>
        <w:rPr>
          <w:rFonts w:ascii="新宋体" w:hAnsi="新宋体" w:eastAsia="新宋体"/>
        </w:rPr>
      </w:pPr>
      <w:r>
        <w:rPr>
          <w:rFonts w:hint="eastAsia" w:ascii="新宋体" w:hAnsi="新宋体" w:eastAsia="新宋体"/>
        </w:rPr>
        <w:t>3.我公司参与本项目政府采购活动时不存在被有关部门禁止参与政府采购活动且在有效期内的情况。</w:t>
      </w:r>
    </w:p>
    <w:p w14:paraId="469926EC">
      <w:pPr>
        <w:spacing w:line="360" w:lineRule="auto"/>
        <w:rPr>
          <w:rFonts w:ascii="新宋体" w:hAnsi="新宋体" w:eastAsia="新宋体"/>
        </w:rPr>
      </w:pPr>
      <w:r>
        <w:rPr>
          <w:rFonts w:hint="eastAsia" w:ascii="新宋体" w:hAnsi="新宋体" w:eastAsia="新宋体"/>
        </w:rPr>
        <w:t>4.我公司具备《中华人民共和国政府采购法》第二十二条第一款规定的六项条件。</w:t>
      </w:r>
    </w:p>
    <w:p w14:paraId="0D0490C7">
      <w:pPr>
        <w:spacing w:line="360" w:lineRule="auto"/>
        <w:rPr>
          <w:rFonts w:ascii="新宋体" w:hAnsi="新宋体" w:eastAsia="新宋体"/>
        </w:rPr>
      </w:pPr>
      <w:r>
        <w:rPr>
          <w:rFonts w:hint="eastAsia" w:ascii="新宋体" w:hAnsi="新宋体" w:eastAsia="新宋体"/>
        </w:rPr>
        <w:t>5.我公司未被列入失信被执行人、重大税收违法案件当事人名单、政府采购严重违法失信行为记录名单</w:t>
      </w:r>
    </w:p>
    <w:p w14:paraId="1D64B10C">
      <w:pPr>
        <w:spacing w:line="360" w:lineRule="auto"/>
        <w:rPr>
          <w:rFonts w:ascii="新宋体" w:hAnsi="新宋体" w:eastAsia="新宋体"/>
        </w:rPr>
      </w:pPr>
      <w:r>
        <w:rPr>
          <w:rFonts w:hint="eastAsia" w:ascii="新宋体" w:hAnsi="新宋体" w:eastAsia="新宋体"/>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05A805D3">
      <w:pPr>
        <w:spacing w:line="360" w:lineRule="auto"/>
        <w:rPr>
          <w:rFonts w:ascii="新宋体" w:hAnsi="新宋体" w:eastAsia="新宋体"/>
        </w:rPr>
      </w:pPr>
      <w:r>
        <w:rPr>
          <w:rFonts w:hint="eastAsia" w:ascii="新宋体" w:hAnsi="新宋体" w:eastAsia="新宋体"/>
        </w:rPr>
        <w:t>7.我公司如果中标，做到守信，不偷工减料，依照本项目招标文件需求内容、签署的采购合同及本公司在投标中所作的一切承诺履约。项目验收达到全部指标合格，力争优良。</w:t>
      </w:r>
    </w:p>
    <w:p w14:paraId="45421DCE">
      <w:pPr>
        <w:spacing w:line="360" w:lineRule="auto"/>
        <w:rPr>
          <w:rFonts w:ascii="新宋体" w:hAnsi="新宋体" w:eastAsia="新宋体"/>
        </w:rPr>
      </w:pPr>
      <w:r>
        <w:rPr>
          <w:rFonts w:hint="eastAsia" w:ascii="新宋体" w:hAnsi="新宋体" w:eastAsia="新宋体"/>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00A99785">
      <w:pPr>
        <w:spacing w:line="360" w:lineRule="auto"/>
        <w:rPr>
          <w:rFonts w:ascii="新宋体" w:hAnsi="新宋体" w:eastAsia="新宋体"/>
        </w:rPr>
      </w:pPr>
      <w:r>
        <w:rPr>
          <w:rFonts w:hint="eastAsia" w:ascii="新宋体" w:hAnsi="新宋体" w:eastAsia="新宋体"/>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32A8E906">
      <w:pPr>
        <w:spacing w:line="360" w:lineRule="auto"/>
        <w:rPr>
          <w:rFonts w:ascii="新宋体" w:hAnsi="新宋体" w:eastAsia="新宋体"/>
        </w:rPr>
      </w:pPr>
      <w:r>
        <w:rPr>
          <w:rFonts w:hint="eastAsia" w:ascii="新宋体" w:hAnsi="新宋体" w:eastAsia="新宋体"/>
        </w:rPr>
        <w:t>10.我公司承诺不非法转包、分包。</w:t>
      </w:r>
    </w:p>
    <w:p w14:paraId="170C8AD4">
      <w:pPr>
        <w:spacing w:line="360" w:lineRule="auto"/>
        <w:rPr>
          <w:rFonts w:ascii="新宋体" w:hAnsi="新宋体" w:eastAsia="新宋体"/>
        </w:rPr>
      </w:pPr>
      <w:r>
        <w:rPr>
          <w:rFonts w:hint="eastAsia" w:ascii="新宋体" w:hAnsi="新宋体" w:eastAsia="新宋体"/>
        </w:rPr>
        <w:t xml:space="preserve">以上承诺，如有违反，愿依照国家相关法律处理，并承担由此给采购人带来的损失。                                 </w:t>
      </w:r>
    </w:p>
    <w:p w14:paraId="75518A7A">
      <w:pPr>
        <w:spacing w:line="360" w:lineRule="auto"/>
        <w:rPr>
          <w:rFonts w:ascii="新宋体" w:hAnsi="新宋体" w:eastAsia="新宋体"/>
        </w:rPr>
      </w:pPr>
      <w:r>
        <w:rPr>
          <w:rFonts w:hint="eastAsia" w:ascii="新宋体" w:hAnsi="新宋体" w:eastAsia="新宋体"/>
        </w:rPr>
        <w:t xml:space="preserve">投标人：（公章）                       </w:t>
      </w:r>
    </w:p>
    <w:p w14:paraId="15BB9757">
      <w:pPr>
        <w:spacing w:line="360" w:lineRule="auto"/>
        <w:rPr>
          <w:rFonts w:ascii="新宋体" w:hAnsi="新宋体" w:eastAsia="新宋体"/>
        </w:rPr>
      </w:pPr>
      <w:r>
        <w:rPr>
          <w:rFonts w:hint="eastAsia" w:ascii="新宋体" w:hAnsi="新宋体" w:eastAsia="新宋体"/>
        </w:rPr>
        <w:t xml:space="preserve">单位地址：               </w:t>
      </w:r>
    </w:p>
    <w:p w14:paraId="227AD454">
      <w:pPr>
        <w:spacing w:line="360" w:lineRule="auto"/>
        <w:rPr>
          <w:rFonts w:ascii="新宋体" w:hAnsi="新宋体" w:eastAsia="新宋体"/>
        </w:rPr>
      </w:pPr>
      <w:r>
        <w:rPr>
          <w:rFonts w:hint="eastAsia" w:ascii="新宋体" w:hAnsi="新宋体" w:eastAsia="新宋体"/>
        </w:rPr>
        <w:t>法定代表人或其委托代理人：（盖章或签字）</w:t>
      </w:r>
    </w:p>
    <w:p w14:paraId="5B006A9B">
      <w:pPr>
        <w:spacing w:line="360" w:lineRule="auto"/>
        <w:rPr>
          <w:rFonts w:ascii="新宋体" w:hAnsi="新宋体" w:eastAsia="新宋体"/>
        </w:rPr>
      </w:pPr>
      <w:r>
        <w:rPr>
          <w:rFonts w:hint="eastAsia" w:ascii="新宋体" w:hAnsi="新宋体" w:eastAsia="新宋体"/>
        </w:rPr>
        <w:t xml:space="preserve">日期：    年   月   日   </w:t>
      </w:r>
    </w:p>
    <w:p w14:paraId="332C133F">
      <w:pPr>
        <w:ind w:firstLine="645"/>
        <w:rPr>
          <w:rFonts w:ascii="宋体" w:hAnsi="宋体"/>
          <w:szCs w:val="21"/>
        </w:rPr>
      </w:pPr>
    </w:p>
    <w:p w14:paraId="5120783C">
      <w:pPr>
        <w:ind w:firstLine="645"/>
        <w:rPr>
          <w:rFonts w:ascii="宋体" w:hAnsi="宋体"/>
          <w:szCs w:val="21"/>
        </w:rPr>
      </w:pPr>
    </w:p>
    <w:p w14:paraId="701AA9F5">
      <w:pPr>
        <w:pStyle w:val="4"/>
        <w:jc w:val="center"/>
        <w:rPr>
          <w:rFonts w:ascii="新宋体" w:hAnsi="新宋体" w:eastAsia="新宋体"/>
          <w:kern w:val="44"/>
          <w:sz w:val="30"/>
          <w:szCs w:val="30"/>
        </w:rPr>
      </w:pPr>
      <w:r>
        <w:rPr>
          <w:rFonts w:hint="eastAsia" w:ascii="新宋体" w:hAnsi="新宋体" w:eastAsia="新宋体"/>
          <w:kern w:val="44"/>
          <w:sz w:val="30"/>
          <w:szCs w:val="30"/>
        </w:rPr>
        <w:t>三、政府采购违法行为风险知悉确认书</w:t>
      </w:r>
    </w:p>
    <w:p w14:paraId="3992279A">
      <w:pPr>
        <w:spacing w:line="360" w:lineRule="auto"/>
        <w:rPr>
          <w:rFonts w:ascii="新宋体" w:hAnsi="新宋体" w:eastAsia="新宋体"/>
          <w:szCs w:val="21"/>
        </w:rPr>
      </w:pPr>
    </w:p>
    <w:p w14:paraId="6C67FF4A">
      <w:pPr>
        <w:spacing w:after="120" w:afterLines="50" w:line="360" w:lineRule="exact"/>
        <w:ind w:firstLine="422" w:firstLineChars="200"/>
        <w:rPr>
          <w:rFonts w:ascii="新宋体" w:hAnsi="新宋体" w:eastAsia="新宋体"/>
          <w:b/>
          <w:bCs/>
          <w:szCs w:val="21"/>
        </w:rPr>
      </w:pPr>
      <w:r>
        <w:rPr>
          <w:rFonts w:hint="eastAsia" w:ascii="新宋体" w:hAnsi="新宋体" w:eastAsia="新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4D6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2364BC67">
            <w:pPr>
              <w:spacing w:line="400" w:lineRule="exact"/>
              <w:jc w:val="center"/>
              <w:rPr>
                <w:rFonts w:ascii="新宋体" w:hAnsi="新宋体" w:eastAsia="新宋体" w:cs="仿宋_GB2312"/>
                <w:szCs w:val="21"/>
              </w:rPr>
            </w:pPr>
            <w:r>
              <w:rPr>
                <w:rFonts w:hint="eastAsia" w:ascii="新宋体" w:hAnsi="新宋体" w:eastAsia="新宋体" w:cs="仿宋_GB2312"/>
                <w:szCs w:val="21"/>
              </w:rPr>
              <w:t>序号</w:t>
            </w:r>
          </w:p>
        </w:tc>
        <w:tc>
          <w:tcPr>
            <w:tcW w:w="7811" w:type="dxa"/>
          </w:tcPr>
          <w:p w14:paraId="381723B0">
            <w:pPr>
              <w:spacing w:line="400" w:lineRule="exact"/>
              <w:jc w:val="center"/>
              <w:rPr>
                <w:rFonts w:ascii="新宋体" w:hAnsi="新宋体" w:eastAsia="新宋体" w:cs="仿宋_GB2312"/>
                <w:szCs w:val="21"/>
              </w:rPr>
            </w:pPr>
            <w:r>
              <w:rPr>
                <w:rFonts w:hint="eastAsia" w:ascii="新宋体" w:hAnsi="新宋体" w:eastAsia="新宋体" w:cs="仿宋_GB2312"/>
                <w:szCs w:val="21"/>
              </w:rPr>
              <w:t>供应商参与投标禁止情形</w:t>
            </w:r>
          </w:p>
        </w:tc>
      </w:tr>
      <w:tr w14:paraId="6736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98D4C8B">
            <w:pPr>
              <w:spacing w:line="400" w:lineRule="exact"/>
              <w:jc w:val="center"/>
              <w:rPr>
                <w:rFonts w:ascii="新宋体" w:hAnsi="新宋体" w:eastAsia="新宋体" w:cs="仿宋_GB2312"/>
                <w:szCs w:val="21"/>
              </w:rPr>
            </w:pPr>
            <w:r>
              <w:rPr>
                <w:rFonts w:hint="eastAsia" w:ascii="新宋体" w:hAnsi="新宋体" w:eastAsia="新宋体" w:cs="仿宋_GB2312"/>
                <w:szCs w:val="21"/>
              </w:rPr>
              <w:t>1</w:t>
            </w:r>
          </w:p>
        </w:tc>
        <w:tc>
          <w:tcPr>
            <w:tcW w:w="7811" w:type="dxa"/>
            <w:vAlign w:val="center"/>
          </w:tcPr>
          <w:p w14:paraId="011B5A02">
            <w:pPr>
              <w:spacing w:line="400" w:lineRule="exact"/>
              <w:jc w:val="left"/>
              <w:rPr>
                <w:rFonts w:ascii="新宋体" w:hAnsi="新宋体" w:eastAsia="新宋体" w:cs="仿宋_GB2312"/>
                <w:szCs w:val="21"/>
              </w:rPr>
            </w:pPr>
            <w:r>
              <w:rPr>
                <w:rFonts w:hint="eastAsia" w:ascii="新宋体" w:hAnsi="新宋体" w:eastAsia="新宋体" w:cs="仿宋_GB2312"/>
                <w:szCs w:val="21"/>
              </w:rPr>
              <w:t>与其他投标供应商的法定代表人、主要经营负责人、投标授权代表人、项目负责人、主要技术人员为同一人、属同一单位或者在同一单位缴纳社会保险。</w:t>
            </w:r>
          </w:p>
        </w:tc>
      </w:tr>
      <w:tr w14:paraId="19D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48A1FEF">
            <w:pPr>
              <w:spacing w:line="400" w:lineRule="exact"/>
              <w:jc w:val="center"/>
              <w:rPr>
                <w:rFonts w:ascii="新宋体" w:hAnsi="新宋体" w:eastAsia="新宋体" w:cs="仿宋_GB2312"/>
                <w:szCs w:val="21"/>
              </w:rPr>
            </w:pPr>
            <w:r>
              <w:rPr>
                <w:rFonts w:hint="eastAsia" w:ascii="新宋体" w:hAnsi="新宋体" w:eastAsia="新宋体" w:cs="仿宋_GB2312"/>
                <w:szCs w:val="21"/>
              </w:rPr>
              <w:t>2</w:t>
            </w:r>
          </w:p>
        </w:tc>
        <w:tc>
          <w:tcPr>
            <w:tcW w:w="7811" w:type="dxa"/>
            <w:vAlign w:val="center"/>
          </w:tcPr>
          <w:p w14:paraId="05AB89E8">
            <w:pPr>
              <w:spacing w:line="400" w:lineRule="exact"/>
              <w:jc w:val="left"/>
              <w:rPr>
                <w:rFonts w:ascii="新宋体" w:hAnsi="新宋体" w:eastAsia="新宋体" w:cs="仿宋_GB2312"/>
                <w:szCs w:val="21"/>
              </w:rPr>
            </w:pPr>
            <w:r>
              <w:rPr>
                <w:rFonts w:hint="eastAsia" w:ascii="新宋体" w:hAnsi="新宋体" w:eastAsia="新宋体" w:cs="仿宋_GB2312"/>
                <w:szCs w:val="21"/>
              </w:rPr>
              <w:t>参与本项目政府采购活动时，与其他投标供应商存在单位负责人为同一人或直接控股、管理关系。</w:t>
            </w:r>
          </w:p>
        </w:tc>
      </w:tr>
      <w:tr w14:paraId="2591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36F8D7D">
            <w:pPr>
              <w:spacing w:line="400" w:lineRule="exact"/>
              <w:jc w:val="center"/>
              <w:rPr>
                <w:rFonts w:ascii="新宋体" w:hAnsi="新宋体" w:eastAsia="新宋体" w:cs="仿宋_GB2312"/>
                <w:szCs w:val="21"/>
              </w:rPr>
            </w:pPr>
            <w:r>
              <w:rPr>
                <w:rFonts w:hint="eastAsia" w:ascii="新宋体" w:hAnsi="新宋体" w:eastAsia="新宋体" w:cs="仿宋_GB2312"/>
                <w:szCs w:val="21"/>
              </w:rPr>
              <w:t>3</w:t>
            </w:r>
          </w:p>
        </w:tc>
        <w:tc>
          <w:tcPr>
            <w:tcW w:w="7811" w:type="dxa"/>
            <w:vAlign w:val="center"/>
          </w:tcPr>
          <w:p w14:paraId="491093F9">
            <w:pPr>
              <w:spacing w:line="400" w:lineRule="exact"/>
              <w:jc w:val="left"/>
              <w:rPr>
                <w:rFonts w:ascii="新宋体" w:hAnsi="新宋体" w:eastAsia="新宋体" w:cs="仿宋_GB2312"/>
                <w:szCs w:val="21"/>
              </w:rPr>
            </w:pPr>
            <w:r>
              <w:rPr>
                <w:rFonts w:hint="eastAsia" w:ascii="新宋体" w:hAnsi="新宋体" w:eastAsia="新宋体" w:cs="仿宋_GB2312"/>
                <w:szCs w:val="21"/>
              </w:rPr>
              <w:t>与其他投标供应商的投标文件或部分投标文件相互混装或存在非正常一致。</w:t>
            </w:r>
          </w:p>
        </w:tc>
      </w:tr>
      <w:tr w14:paraId="40E1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125F2AB">
            <w:pPr>
              <w:spacing w:line="400" w:lineRule="exact"/>
              <w:jc w:val="center"/>
              <w:rPr>
                <w:rFonts w:ascii="新宋体" w:hAnsi="新宋体" w:eastAsia="新宋体" w:cs="仿宋_GB2312"/>
                <w:szCs w:val="21"/>
              </w:rPr>
            </w:pPr>
            <w:r>
              <w:rPr>
                <w:rFonts w:hint="eastAsia" w:ascii="新宋体" w:hAnsi="新宋体" w:eastAsia="新宋体" w:cs="仿宋_GB2312"/>
                <w:szCs w:val="21"/>
              </w:rPr>
              <w:t xml:space="preserve">4 </w:t>
            </w:r>
          </w:p>
        </w:tc>
        <w:tc>
          <w:tcPr>
            <w:tcW w:w="7811" w:type="dxa"/>
            <w:vAlign w:val="center"/>
          </w:tcPr>
          <w:p w14:paraId="14E2A24C">
            <w:pPr>
              <w:spacing w:line="400" w:lineRule="exact"/>
              <w:jc w:val="left"/>
              <w:rPr>
                <w:rFonts w:ascii="新宋体" w:hAnsi="新宋体" w:eastAsia="新宋体" w:cs="仿宋_GB2312"/>
                <w:szCs w:val="21"/>
              </w:rPr>
            </w:pPr>
            <w:r>
              <w:rPr>
                <w:rFonts w:hint="eastAsia" w:ascii="新宋体" w:hAnsi="新宋体" w:eastAsia="新宋体" w:cs="仿宋_GB2312"/>
                <w:szCs w:val="21"/>
              </w:rPr>
              <w:t>提供未经出具机构核实的虚假的检验检测报告、业绩材料、社保缴纳证明、学历学位证书、职称认证证书等材料。</w:t>
            </w:r>
          </w:p>
        </w:tc>
      </w:tr>
    </w:tbl>
    <w:p w14:paraId="0F3D86B7">
      <w:pPr>
        <w:spacing w:before="120" w:beforeLines="50" w:line="380" w:lineRule="exact"/>
        <w:ind w:firstLine="422" w:firstLineChars="200"/>
        <w:rPr>
          <w:rFonts w:ascii="新宋体" w:hAnsi="新宋体" w:eastAsia="新宋体"/>
          <w:b/>
          <w:szCs w:val="21"/>
        </w:rPr>
      </w:pPr>
      <w:r>
        <w:rPr>
          <w:rFonts w:hint="eastAsia" w:ascii="新宋体" w:hAnsi="新宋体" w:eastAsia="新宋体"/>
          <w:b/>
          <w:szCs w:val="21"/>
        </w:rPr>
        <w:t>一、我单位已充分知悉“隐瞒真实情况，提供虚假资料”的法定情形，包括但不限于：</w:t>
      </w:r>
    </w:p>
    <w:p w14:paraId="11073CB4">
      <w:pPr>
        <w:spacing w:line="380" w:lineRule="exact"/>
        <w:ind w:firstLine="420" w:firstLineChars="200"/>
        <w:rPr>
          <w:rFonts w:ascii="新宋体" w:hAnsi="新宋体" w:eastAsia="新宋体"/>
          <w:szCs w:val="21"/>
        </w:rPr>
      </w:pPr>
      <w:r>
        <w:rPr>
          <w:rFonts w:hint="eastAsia" w:ascii="新宋体" w:hAnsi="新宋体" w:eastAsia="新宋体"/>
          <w:szCs w:val="21"/>
        </w:rPr>
        <w:t>（一）通过转让或者租借等方式从其他单位获取资格或者资质证书投标的。</w:t>
      </w:r>
    </w:p>
    <w:p w14:paraId="08A7DDE5">
      <w:pPr>
        <w:spacing w:line="380" w:lineRule="exact"/>
        <w:ind w:firstLine="420" w:firstLineChars="200"/>
        <w:rPr>
          <w:rFonts w:ascii="新宋体" w:hAnsi="新宋体" w:eastAsia="新宋体"/>
          <w:szCs w:val="21"/>
        </w:rPr>
      </w:pPr>
      <w:r>
        <w:rPr>
          <w:rFonts w:hint="eastAsia" w:ascii="新宋体" w:hAnsi="新宋体" w:eastAsia="新宋体"/>
          <w:szCs w:val="21"/>
        </w:rPr>
        <w:t>（二）由其他单位或者其他单位负责人在投标供应商编制的投标文件上加盖印章或者签字的。</w:t>
      </w:r>
    </w:p>
    <w:p w14:paraId="291C8DF3">
      <w:pPr>
        <w:spacing w:line="380" w:lineRule="exact"/>
        <w:ind w:firstLine="420" w:firstLineChars="200"/>
        <w:rPr>
          <w:rFonts w:ascii="新宋体" w:hAnsi="新宋体" w:eastAsia="新宋体"/>
          <w:szCs w:val="21"/>
        </w:rPr>
      </w:pPr>
      <w:r>
        <w:rPr>
          <w:rFonts w:hint="eastAsia" w:ascii="新宋体" w:hAnsi="新宋体" w:eastAsia="新宋体"/>
          <w:szCs w:val="21"/>
        </w:rPr>
        <w:t>（三）项目负责人或者主要技术人员不是本单位人员的。</w:t>
      </w:r>
    </w:p>
    <w:p w14:paraId="1AC5507D">
      <w:pPr>
        <w:spacing w:line="380" w:lineRule="exact"/>
        <w:ind w:firstLine="420" w:firstLineChars="200"/>
        <w:rPr>
          <w:rFonts w:ascii="新宋体" w:hAnsi="新宋体" w:eastAsia="新宋体"/>
          <w:szCs w:val="21"/>
        </w:rPr>
      </w:pPr>
      <w:r>
        <w:rPr>
          <w:rFonts w:hint="eastAsia" w:ascii="新宋体" w:hAnsi="新宋体" w:eastAsia="新宋体"/>
          <w:szCs w:val="21"/>
        </w:rPr>
        <w:t>（四）投标保证金不是从投标供应商基本账户转出的。</w:t>
      </w:r>
    </w:p>
    <w:p w14:paraId="1288F6D6">
      <w:pPr>
        <w:spacing w:line="380" w:lineRule="exact"/>
        <w:ind w:firstLine="420" w:firstLineChars="200"/>
        <w:rPr>
          <w:rFonts w:ascii="新宋体" w:hAnsi="新宋体" w:eastAsia="新宋体"/>
          <w:szCs w:val="21"/>
        </w:rPr>
      </w:pPr>
      <w:r>
        <w:rPr>
          <w:rFonts w:hint="eastAsia" w:ascii="新宋体" w:hAnsi="新宋体" w:eastAsia="新宋体"/>
          <w:szCs w:val="21"/>
        </w:rPr>
        <w:t>（五）其他隐瞒真实情况、提供虚假资料的行为。</w:t>
      </w:r>
    </w:p>
    <w:p w14:paraId="3B676657">
      <w:pPr>
        <w:spacing w:line="380" w:lineRule="exact"/>
        <w:ind w:firstLine="422" w:firstLineChars="200"/>
        <w:rPr>
          <w:rFonts w:ascii="新宋体" w:hAnsi="新宋体" w:eastAsia="新宋体"/>
          <w:b/>
          <w:szCs w:val="21"/>
        </w:rPr>
      </w:pPr>
      <w:r>
        <w:rPr>
          <w:rFonts w:hint="eastAsia" w:ascii="新宋体" w:hAnsi="新宋体" w:eastAsia="新宋体"/>
          <w:b/>
          <w:szCs w:val="21"/>
        </w:rPr>
        <w:t>二、我单位已充分知悉“与其他采购参加人串通投标”的法定情形，包括但不限于：</w:t>
      </w:r>
    </w:p>
    <w:p w14:paraId="6D3008FE">
      <w:pPr>
        <w:spacing w:line="380" w:lineRule="exact"/>
        <w:ind w:firstLine="420" w:firstLineChars="200"/>
        <w:rPr>
          <w:rFonts w:ascii="新宋体" w:hAnsi="新宋体" w:eastAsia="新宋体"/>
          <w:szCs w:val="21"/>
        </w:rPr>
      </w:pPr>
      <w:r>
        <w:rPr>
          <w:rFonts w:hint="eastAsia" w:ascii="新宋体" w:hAnsi="新宋体" w:eastAsia="新宋体"/>
          <w:szCs w:val="21"/>
        </w:rPr>
        <w:t>（一）投标供应商之间相互约定给予未中标的供应商利益补偿。</w:t>
      </w:r>
    </w:p>
    <w:p w14:paraId="3B5D0F3E">
      <w:pPr>
        <w:spacing w:line="380" w:lineRule="exact"/>
        <w:ind w:firstLine="420" w:firstLineChars="200"/>
        <w:rPr>
          <w:rFonts w:ascii="新宋体" w:hAnsi="新宋体" w:eastAsia="新宋体"/>
          <w:szCs w:val="21"/>
        </w:rPr>
      </w:pPr>
      <w:r>
        <w:rPr>
          <w:rFonts w:hint="eastAsia" w:ascii="新宋体" w:hAnsi="新宋体" w:eastAsia="新宋体"/>
          <w:szCs w:val="21"/>
        </w:rPr>
        <w:t>（二）不同投标供应商的法定代表人、主要经营负责人、项目投标授权代表人、项目负责人、主要技术人员为同一人、属同一单位或者在同一单位缴纳社会保险。</w:t>
      </w:r>
    </w:p>
    <w:p w14:paraId="73658503">
      <w:pPr>
        <w:spacing w:line="340" w:lineRule="exact"/>
        <w:ind w:firstLine="420" w:firstLineChars="200"/>
        <w:rPr>
          <w:rFonts w:ascii="新宋体" w:hAnsi="新宋体" w:eastAsia="新宋体"/>
          <w:szCs w:val="21"/>
        </w:rPr>
      </w:pPr>
      <w:r>
        <w:rPr>
          <w:rFonts w:hint="eastAsia" w:ascii="新宋体" w:hAnsi="新宋体" w:eastAsia="新宋体"/>
          <w:szCs w:val="21"/>
        </w:rPr>
        <w:t>（三）不同投标供应商的投标文件由同一单位或者同一人编制，或者由同一人分阶段参与编制的。</w:t>
      </w:r>
    </w:p>
    <w:p w14:paraId="37C994B7">
      <w:pPr>
        <w:spacing w:line="340" w:lineRule="exact"/>
        <w:ind w:firstLine="420" w:firstLineChars="200"/>
        <w:rPr>
          <w:rFonts w:ascii="新宋体" w:hAnsi="新宋体" w:eastAsia="新宋体"/>
          <w:szCs w:val="21"/>
        </w:rPr>
      </w:pPr>
      <w:r>
        <w:rPr>
          <w:rFonts w:hint="eastAsia" w:ascii="新宋体" w:hAnsi="新宋体" w:eastAsia="新宋体"/>
          <w:szCs w:val="21"/>
        </w:rPr>
        <w:t>（四）不同投标供应商的投标文件或部分投标文件相互混装。</w:t>
      </w:r>
    </w:p>
    <w:p w14:paraId="5FFFEDD9">
      <w:pPr>
        <w:spacing w:line="340" w:lineRule="exact"/>
        <w:ind w:firstLine="420" w:firstLineChars="200"/>
        <w:rPr>
          <w:rFonts w:ascii="新宋体" w:hAnsi="新宋体" w:eastAsia="新宋体"/>
          <w:szCs w:val="21"/>
        </w:rPr>
      </w:pPr>
      <w:r>
        <w:rPr>
          <w:rFonts w:hint="eastAsia" w:ascii="新宋体" w:hAnsi="新宋体" w:eastAsia="新宋体"/>
          <w:szCs w:val="21"/>
        </w:rPr>
        <w:t>（五）不同投标供应商的投标文件内容存在非正常一致。</w:t>
      </w:r>
    </w:p>
    <w:p w14:paraId="0F47495F">
      <w:pPr>
        <w:spacing w:line="340" w:lineRule="exact"/>
        <w:ind w:firstLine="420" w:firstLineChars="200"/>
        <w:rPr>
          <w:rFonts w:ascii="新宋体" w:hAnsi="新宋体" w:eastAsia="新宋体"/>
          <w:szCs w:val="21"/>
        </w:rPr>
      </w:pPr>
      <w:r>
        <w:rPr>
          <w:rFonts w:hint="eastAsia" w:ascii="新宋体" w:hAnsi="新宋体" w:eastAsia="新宋体"/>
          <w:szCs w:val="21"/>
        </w:rPr>
        <w:t>（六）由同一单位工作人员为两家以上（含两家）供应商进行同一项投标活动的。</w:t>
      </w:r>
    </w:p>
    <w:p w14:paraId="14694884">
      <w:pPr>
        <w:spacing w:line="340" w:lineRule="exact"/>
        <w:ind w:firstLine="420" w:firstLineChars="200"/>
        <w:rPr>
          <w:rFonts w:ascii="新宋体" w:hAnsi="新宋体" w:eastAsia="新宋体"/>
          <w:szCs w:val="21"/>
        </w:rPr>
      </w:pPr>
      <w:r>
        <w:rPr>
          <w:rFonts w:hint="eastAsia" w:ascii="新宋体" w:hAnsi="新宋体" w:eastAsia="新宋体"/>
          <w:szCs w:val="21"/>
        </w:rPr>
        <w:t>（七）不同投标人的投标报价呈规律性差异。</w:t>
      </w:r>
    </w:p>
    <w:p w14:paraId="1243DBB5">
      <w:pPr>
        <w:spacing w:line="340" w:lineRule="exact"/>
        <w:ind w:firstLine="420" w:firstLineChars="200"/>
        <w:rPr>
          <w:rFonts w:ascii="新宋体" w:hAnsi="新宋体" w:eastAsia="新宋体"/>
          <w:szCs w:val="21"/>
        </w:rPr>
      </w:pPr>
      <w:r>
        <w:rPr>
          <w:rFonts w:hint="eastAsia" w:ascii="新宋体" w:hAnsi="新宋体" w:eastAsia="新宋体"/>
          <w:szCs w:val="21"/>
        </w:rPr>
        <w:t>（八）不同投标人的投标保证金从同一单位或者个人的账户转出。</w:t>
      </w:r>
    </w:p>
    <w:p w14:paraId="446A3A81">
      <w:pPr>
        <w:spacing w:line="340" w:lineRule="exact"/>
        <w:ind w:firstLine="420" w:firstLineChars="200"/>
        <w:rPr>
          <w:rFonts w:ascii="新宋体" w:hAnsi="新宋体" w:eastAsia="新宋体"/>
          <w:szCs w:val="21"/>
        </w:rPr>
      </w:pPr>
      <w:r>
        <w:rPr>
          <w:rFonts w:hint="eastAsia" w:ascii="新宋体" w:hAnsi="新宋体" w:eastAsia="新宋体"/>
          <w:szCs w:val="21"/>
        </w:rPr>
        <w:t>（九）主管部门依照法律、法规认定的其他情形。</w:t>
      </w:r>
    </w:p>
    <w:p w14:paraId="34082DA6">
      <w:pPr>
        <w:spacing w:line="340" w:lineRule="exact"/>
        <w:ind w:firstLine="422" w:firstLineChars="200"/>
        <w:rPr>
          <w:rFonts w:ascii="新宋体" w:hAnsi="新宋体" w:eastAsia="新宋体"/>
          <w:b/>
          <w:szCs w:val="21"/>
        </w:rPr>
      </w:pPr>
      <w:r>
        <w:rPr>
          <w:rFonts w:hint="eastAsia" w:ascii="新宋体" w:hAnsi="新宋体" w:eastAsia="新宋体"/>
          <w:b/>
          <w:szCs w:val="21"/>
        </w:rPr>
        <w:t>三、我单位已充分知悉下列情形存在法律风险，在投标前已对相关风险事项进行排查。</w:t>
      </w:r>
    </w:p>
    <w:p w14:paraId="71C720F7">
      <w:pPr>
        <w:spacing w:line="340" w:lineRule="exact"/>
        <w:ind w:firstLine="420" w:firstLineChars="200"/>
        <w:rPr>
          <w:rFonts w:ascii="新宋体" w:hAnsi="新宋体" w:eastAsia="新宋体"/>
          <w:b/>
          <w:szCs w:val="21"/>
        </w:rPr>
      </w:pPr>
      <w:r>
        <w:rPr>
          <w:rFonts w:hint="eastAsia" w:ascii="新宋体" w:hAnsi="新宋体" w:eastAsia="新宋体"/>
          <w:szCs w:val="21"/>
        </w:rPr>
        <w:t>（一）对于从其他主体获取的投标资料，我单位应审慎核查，确保其真实性。</w:t>
      </w:r>
      <w:r>
        <w:rPr>
          <w:rFonts w:hint="eastAsia" w:ascii="新宋体" w:hAnsi="新宋体" w:eastAsia="新宋体"/>
          <w:b/>
          <w:szCs w:val="21"/>
        </w:rPr>
        <w:t>如主管部门查实投标文件中存在虚假资料的，无论相关资料是否由第三方或本公司员工提供，均不影响主管部门对供应商存在“隐瞒真实情况，提供虚假资料”违法行为的认定。</w:t>
      </w:r>
    </w:p>
    <w:p w14:paraId="5E871946">
      <w:pPr>
        <w:spacing w:line="340" w:lineRule="exact"/>
        <w:ind w:firstLine="420" w:firstLineChars="200"/>
        <w:rPr>
          <w:rFonts w:ascii="新宋体" w:hAnsi="新宋体" w:eastAsia="新宋体"/>
          <w:szCs w:val="21"/>
        </w:rPr>
      </w:pPr>
      <w:r>
        <w:rPr>
          <w:rFonts w:hint="eastAsia" w:ascii="新宋体" w:hAnsi="新宋体" w:eastAsia="新宋体"/>
          <w:szCs w:val="21"/>
        </w:rPr>
        <w:t>（二）对于涉及国家机关出具的公文、证件、证明材料等文件，一旦涉嫌虚假，经查实，主管部门将依法从严处理，并移送有关部门追究法律责任；涉嫌犯罪的，移送司法机关处理。</w:t>
      </w:r>
    </w:p>
    <w:p w14:paraId="45C5BAC6">
      <w:pPr>
        <w:spacing w:line="340" w:lineRule="exact"/>
        <w:ind w:firstLine="420" w:firstLineChars="200"/>
        <w:rPr>
          <w:rFonts w:ascii="新宋体" w:hAnsi="新宋体" w:eastAsia="新宋体"/>
          <w:szCs w:val="21"/>
        </w:rPr>
      </w:pPr>
      <w:r>
        <w:rPr>
          <w:rFonts w:hint="eastAsia" w:ascii="新宋体" w:hAnsi="新宋体" w:eastAsia="新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新宋体" w:hAnsi="新宋体" w:eastAsia="新宋体"/>
          <w:b/>
          <w:bCs/>
          <w:szCs w:val="21"/>
        </w:rPr>
        <w:t>擅自将投标密钥或电子营业执照出借他人使用所造成的法律后果，由我单位自行承担</w:t>
      </w:r>
      <w:r>
        <w:rPr>
          <w:rFonts w:hint="eastAsia" w:ascii="新宋体" w:hAnsi="新宋体" w:eastAsia="新宋体"/>
          <w:szCs w:val="21"/>
        </w:rPr>
        <w:t>。</w:t>
      </w:r>
    </w:p>
    <w:p w14:paraId="3D4E390E">
      <w:pPr>
        <w:spacing w:line="340" w:lineRule="exact"/>
        <w:ind w:firstLine="422" w:firstLineChars="200"/>
        <w:rPr>
          <w:rFonts w:ascii="新宋体" w:hAnsi="新宋体" w:eastAsia="新宋体"/>
          <w:b/>
          <w:szCs w:val="21"/>
        </w:rPr>
      </w:pPr>
      <w:r>
        <w:rPr>
          <w:rFonts w:hint="eastAsia" w:ascii="新宋体" w:hAnsi="新宋体" w:eastAsia="新宋体"/>
          <w:b/>
          <w:szCs w:val="21"/>
        </w:rPr>
        <w:t>四、我单位已充分知悉政府采购违法、违规行为的法律后果。</w:t>
      </w:r>
    </w:p>
    <w:p w14:paraId="00E09D3E">
      <w:pPr>
        <w:spacing w:line="340" w:lineRule="exact"/>
        <w:ind w:firstLine="420" w:firstLineChars="200"/>
        <w:rPr>
          <w:rFonts w:ascii="新宋体" w:hAnsi="新宋体" w:eastAsia="新宋体"/>
          <w:szCs w:val="21"/>
        </w:rPr>
      </w:pPr>
      <w:r>
        <w:rPr>
          <w:rFonts w:hint="eastAsia" w:ascii="新宋体" w:hAnsi="新宋体" w:eastAsia="新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5464756">
      <w:pPr>
        <w:spacing w:line="340" w:lineRule="exact"/>
        <w:ind w:firstLine="420" w:firstLineChars="200"/>
        <w:rPr>
          <w:rFonts w:ascii="新宋体" w:hAnsi="新宋体" w:eastAsia="新宋体"/>
          <w:szCs w:val="21"/>
        </w:rPr>
      </w:pPr>
      <w:r>
        <w:rPr>
          <w:rFonts w:hint="eastAsia" w:ascii="新宋体" w:hAnsi="新宋体" w:eastAsia="新宋体"/>
          <w:szCs w:val="21"/>
        </w:rPr>
        <w:t>以下文字请投标供应商抄写并确认：“我单位已仔细阅读《政府采购违法行为风险知悉确认书》，充分知悉违法行为的法律后果，并承诺将严谨、诚信、依法依规参与政府采购活动”。</w:t>
      </w:r>
    </w:p>
    <w:tbl>
      <w:tblPr>
        <w:tblStyle w:val="47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F822E4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0E339F8">
            <w:pPr>
              <w:autoSpaceDE w:val="0"/>
              <w:autoSpaceDN w:val="0"/>
              <w:spacing w:line="340" w:lineRule="exact"/>
              <w:ind w:firstLine="1866"/>
              <w:rPr>
                <w:rFonts w:ascii="新宋体" w:hAnsi="新宋体" w:eastAsia="新宋体"/>
                <w:spacing w:val="-4"/>
                <w:kern w:val="0"/>
                <w:szCs w:val="21"/>
              </w:rPr>
            </w:pPr>
          </w:p>
        </w:tc>
      </w:tr>
      <w:tr w14:paraId="26521BB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BB3DB26">
            <w:pPr>
              <w:autoSpaceDE w:val="0"/>
              <w:autoSpaceDN w:val="0"/>
              <w:spacing w:line="340" w:lineRule="exact"/>
              <w:ind w:firstLine="1866"/>
              <w:rPr>
                <w:rFonts w:ascii="新宋体" w:hAnsi="新宋体" w:eastAsia="新宋体"/>
                <w:spacing w:val="-4"/>
                <w:kern w:val="0"/>
                <w:szCs w:val="21"/>
              </w:rPr>
            </w:pPr>
          </w:p>
        </w:tc>
      </w:tr>
      <w:tr w14:paraId="5AA14B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D04324B">
            <w:pPr>
              <w:autoSpaceDE w:val="0"/>
              <w:autoSpaceDN w:val="0"/>
              <w:spacing w:line="340" w:lineRule="exact"/>
              <w:ind w:firstLine="1866"/>
              <w:rPr>
                <w:rFonts w:ascii="新宋体" w:hAnsi="新宋体" w:eastAsia="新宋体"/>
                <w:spacing w:val="-4"/>
                <w:kern w:val="0"/>
                <w:szCs w:val="21"/>
              </w:rPr>
            </w:pPr>
          </w:p>
        </w:tc>
      </w:tr>
      <w:tr w14:paraId="30B5FC5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5DB899CF">
            <w:pPr>
              <w:autoSpaceDE w:val="0"/>
              <w:autoSpaceDN w:val="0"/>
              <w:spacing w:line="340" w:lineRule="exact"/>
              <w:ind w:firstLine="1866"/>
              <w:rPr>
                <w:rFonts w:ascii="新宋体" w:hAnsi="新宋体" w:eastAsia="新宋体"/>
                <w:spacing w:val="-4"/>
                <w:kern w:val="0"/>
                <w:szCs w:val="21"/>
              </w:rPr>
            </w:pPr>
          </w:p>
        </w:tc>
      </w:tr>
    </w:tbl>
    <w:p w14:paraId="110453A0">
      <w:pPr>
        <w:widowControl/>
        <w:wordWrap w:val="0"/>
        <w:autoSpaceDE w:val="0"/>
        <w:autoSpaceDN w:val="0"/>
        <w:spacing w:line="340" w:lineRule="exact"/>
        <w:ind w:right="808" w:firstLine="404" w:firstLineChars="200"/>
        <w:jc w:val="right"/>
        <w:rPr>
          <w:rFonts w:ascii="新宋体" w:hAnsi="新宋体" w:eastAsia="新宋体"/>
          <w:spacing w:val="-4"/>
          <w:kern w:val="0"/>
          <w:szCs w:val="21"/>
        </w:rPr>
      </w:pPr>
    </w:p>
    <w:p w14:paraId="60241CC5">
      <w:pPr>
        <w:widowControl/>
        <w:wordWrap w:val="0"/>
        <w:autoSpaceDE w:val="0"/>
        <w:autoSpaceDN w:val="0"/>
        <w:spacing w:line="340" w:lineRule="exact"/>
        <w:ind w:right="808" w:firstLine="404" w:firstLineChars="200"/>
        <w:jc w:val="right"/>
        <w:rPr>
          <w:rFonts w:ascii="新宋体" w:hAnsi="新宋体" w:eastAsia="新宋体"/>
          <w:spacing w:val="-4"/>
          <w:kern w:val="0"/>
          <w:szCs w:val="21"/>
          <w:u w:val="single"/>
        </w:rPr>
      </w:pPr>
      <w:r>
        <w:rPr>
          <w:rFonts w:hint="eastAsia" w:ascii="新宋体" w:hAnsi="新宋体" w:eastAsia="新宋体"/>
          <w:spacing w:val="-4"/>
          <w:kern w:val="0"/>
          <w:szCs w:val="21"/>
        </w:rPr>
        <w:t>单位负责人签名：</w:t>
      </w:r>
      <w:r>
        <w:rPr>
          <w:rFonts w:hint="eastAsia" w:ascii="新宋体" w:hAnsi="新宋体" w:eastAsia="新宋体"/>
          <w:spacing w:val="-4"/>
          <w:kern w:val="0"/>
          <w:szCs w:val="21"/>
          <w:u w:val="single"/>
        </w:rPr>
        <w:t xml:space="preserve">              </w:t>
      </w:r>
    </w:p>
    <w:p w14:paraId="23C68C13">
      <w:pPr>
        <w:widowControl/>
        <w:wordWrap w:val="0"/>
        <w:autoSpaceDE w:val="0"/>
        <w:autoSpaceDN w:val="0"/>
        <w:spacing w:line="340" w:lineRule="exact"/>
        <w:ind w:right="808" w:firstLine="404" w:firstLineChars="200"/>
        <w:jc w:val="center"/>
        <w:rPr>
          <w:rFonts w:ascii="新宋体" w:hAnsi="新宋体" w:eastAsia="新宋体"/>
          <w:spacing w:val="-4"/>
          <w:kern w:val="0"/>
          <w:szCs w:val="21"/>
          <w:u w:val="single"/>
        </w:rPr>
      </w:pPr>
      <w:r>
        <w:rPr>
          <w:rFonts w:hint="eastAsia" w:ascii="新宋体" w:hAnsi="新宋体" w:eastAsia="新宋体"/>
          <w:spacing w:val="-4"/>
          <w:kern w:val="0"/>
          <w:szCs w:val="21"/>
        </w:rPr>
        <w:t xml:space="preserve">                                 （加盖公章）</w:t>
      </w:r>
    </w:p>
    <w:p w14:paraId="740A7D58">
      <w:pPr>
        <w:widowControl/>
        <w:wordWrap w:val="0"/>
        <w:autoSpaceDE w:val="0"/>
        <w:autoSpaceDN w:val="0"/>
        <w:spacing w:line="340" w:lineRule="exact"/>
        <w:ind w:right="808" w:firstLine="404" w:firstLineChars="200"/>
        <w:jc w:val="right"/>
        <w:rPr>
          <w:rFonts w:ascii="新宋体" w:hAnsi="新宋体" w:eastAsia="新宋体"/>
          <w:spacing w:val="-4"/>
          <w:kern w:val="0"/>
          <w:szCs w:val="21"/>
          <w:u w:val="single"/>
        </w:rPr>
      </w:pPr>
      <w:r>
        <w:rPr>
          <w:rFonts w:hint="eastAsia" w:ascii="新宋体" w:hAnsi="新宋体" w:eastAsia="新宋体"/>
          <w:spacing w:val="-4"/>
          <w:kern w:val="0"/>
          <w:szCs w:val="21"/>
        </w:rPr>
        <w:t xml:space="preserve">   日期：</w:t>
      </w:r>
      <w:r>
        <w:rPr>
          <w:rFonts w:hint="eastAsia" w:ascii="新宋体" w:hAnsi="新宋体" w:eastAsia="新宋体"/>
          <w:spacing w:val="-4"/>
          <w:kern w:val="0"/>
          <w:szCs w:val="21"/>
          <w:u w:val="single"/>
        </w:rPr>
        <w:t xml:space="preserve">              </w:t>
      </w:r>
    </w:p>
    <w:p w14:paraId="5BA05B6D">
      <w:pPr>
        <w:widowControl/>
        <w:autoSpaceDE w:val="0"/>
        <w:autoSpaceDN w:val="0"/>
        <w:spacing w:line="340" w:lineRule="exact"/>
        <w:ind w:firstLine="406" w:firstLineChars="200"/>
        <w:jc w:val="left"/>
        <w:rPr>
          <w:rFonts w:ascii="宋体" w:hAnsi="宋体"/>
          <w:b/>
          <w:bCs/>
          <w:spacing w:val="-4"/>
          <w:kern w:val="0"/>
          <w:szCs w:val="21"/>
        </w:rPr>
      </w:pPr>
    </w:p>
    <w:p w14:paraId="6C0A798B">
      <w:pPr>
        <w:spacing w:line="360" w:lineRule="auto"/>
        <w:ind w:firstLine="424" w:firstLineChars="202"/>
        <w:rPr>
          <w:rFonts w:ascii="新宋体" w:hAnsi="新宋体" w:eastAsia="新宋体"/>
          <w:szCs w:val="21"/>
        </w:rPr>
      </w:pPr>
    </w:p>
    <w:p w14:paraId="18B04EEB">
      <w:pPr>
        <w:spacing w:line="360" w:lineRule="auto"/>
        <w:rPr>
          <w:rFonts w:ascii="新宋体" w:hAnsi="新宋体" w:eastAsia="新宋体"/>
          <w:szCs w:val="21"/>
        </w:rPr>
      </w:pPr>
    </w:p>
    <w:p w14:paraId="7B75DAF9">
      <w:pPr>
        <w:spacing w:line="360" w:lineRule="auto"/>
        <w:jc w:val="left"/>
        <w:rPr>
          <w:rFonts w:ascii="新宋体" w:hAnsi="新宋体" w:eastAsia="新宋体"/>
          <w:b/>
          <w:szCs w:val="21"/>
        </w:rPr>
      </w:pPr>
      <w:r>
        <w:rPr>
          <w:rFonts w:hint="eastAsia" w:ascii="新宋体" w:hAnsi="新宋体" w:eastAsia="新宋体"/>
          <w:b/>
          <w:szCs w:val="21"/>
        </w:rPr>
        <w:t>本风险知悉确认书用于对供应商违法行为的警示，不作为供应商资格性审查及符合性审查条件。</w:t>
      </w:r>
    </w:p>
    <w:p w14:paraId="0755FDA7">
      <w:pPr>
        <w:ind w:firstLine="645"/>
        <w:rPr>
          <w:rFonts w:ascii="宋体" w:hAnsi="宋体"/>
          <w:szCs w:val="21"/>
        </w:rPr>
      </w:pPr>
    </w:p>
    <w:p w14:paraId="11EDB688">
      <w:pPr>
        <w:ind w:firstLine="645"/>
        <w:rPr>
          <w:rFonts w:ascii="宋体"/>
          <w:b/>
          <w:szCs w:val="21"/>
        </w:rPr>
      </w:pPr>
    </w:p>
    <w:p w14:paraId="6182F537">
      <w:pPr>
        <w:ind w:firstLine="645"/>
        <w:rPr>
          <w:rFonts w:ascii="宋体"/>
          <w:b/>
          <w:szCs w:val="21"/>
        </w:rPr>
      </w:pPr>
    </w:p>
    <w:p w14:paraId="50884F68">
      <w:pPr>
        <w:ind w:firstLine="645"/>
        <w:rPr>
          <w:rFonts w:ascii="宋体"/>
          <w:b/>
          <w:szCs w:val="21"/>
        </w:rPr>
      </w:pPr>
    </w:p>
    <w:p w14:paraId="37335586">
      <w:pPr>
        <w:ind w:firstLine="645"/>
        <w:rPr>
          <w:rFonts w:ascii="宋体"/>
          <w:b/>
          <w:szCs w:val="21"/>
        </w:rPr>
      </w:pPr>
    </w:p>
    <w:p w14:paraId="5624BF4C">
      <w:pPr>
        <w:ind w:firstLine="645"/>
        <w:rPr>
          <w:rFonts w:ascii="宋体"/>
          <w:b/>
          <w:szCs w:val="21"/>
        </w:rPr>
      </w:pPr>
    </w:p>
    <w:p w14:paraId="4874F022">
      <w:pPr>
        <w:ind w:firstLine="645"/>
        <w:rPr>
          <w:rFonts w:ascii="宋体"/>
          <w:b/>
          <w:szCs w:val="21"/>
        </w:rPr>
      </w:pPr>
    </w:p>
    <w:p w14:paraId="5C0F214D">
      <w:pPr>
        <w:ind w:firstLine="645"/>
        <w:rPr>
          <w:rFonts w:ascii="宋体"/>
          <w:b/>
          <w:szCs w:val="21"/>
        </w:rPr>
      </w:pPr>
    </w:p>
    <w:p w14:paraId="28E5E475">
      <w:pPr>
        <w:ind w:firstLine="645"/>
        <w:rPr>
          <w:rFonts w:ascii="宋体"/>
          <w:b/>
          <w:szCs w:val="21"/>
        </w:rPr>
      </w:pPr>
    </w:p>
    <w:p w14:paraId="42A0A51D">
      <w:pPr>
        <w:ind w:firstLine="645"/>
        <w:rPr>
          <w:rFonts w:ascii="宋体"/>
          <w:b/>
          <w:szCs w:val="21"/>
        </w:rPr>
      </w:pPr>
    </w:p>
    <w:p w14:paraId="1A0BEBF9">
      <w:pPr>
        <w:ind w:firstLine="645"/>
        <w:rPr>
          <w:rFonts w:ascii="宋体"/>
          <w:b/>
          <w:szCs w:val="21"/>
        </w:rPr>
      </w:pPr>
    </w:p>
    <w:p w14:paraId="1FB64102">
      <w:pPr>
        <w:ind w:firstLine="645"/>
        <w:rPr>
          <w:rFonts w:ascii="宋体"/>
          <w:b/>
          <w:szCs w:val="21"/>
        </w:rPr>
      </w:pPr>
    </w:p>
    <w:p w14:paraId="06CF9BCA">
      <w:pPr>
        <w:ind w:firstLine="645"/>
        <w:rPr>
          <w:rFonts w:ascii="宋体"/>
          <w:b/>
          <w:szCs w:val="21"/>
        </w:rPr>
      </w:pPr>
    </w:p>
    <w:p w14:paraId="5E52E7C0">
      <w:pPr>
        <w:ind w:firstLine="645"/>
        <w:rPr>
          <w:rFonts w:ascii="宋体"/>
          <w:b/>
          <w:szCs w:val="21"/>
        </w:rPr>
      </w:pPr>
    </w:p>
    <w:p w14:paraId="0CC258CD">
      <w:pPr>
        <w:ind w:firstLine="645"/>
        <w:rPr>
          <w:rFonts w:ascii="宋体"/>
          <w:b/>
          <w:szCs w:val="21"/>
        </w:rPr>
      </w:pPr>
    </w:p>
    <w:p w14:paraId="31544D6E">
      <w:pPr>
        <w:ind w:firstLine="645"/>
        <w:rPr>
          <w:rFonts w:ascii="宋体"/>
          <w:b/>
          <w:szCs w:val="21"/>
        </w:rPr>
      </w:pPr>
    </w:p>
    <w:p w14:paraId="3FCCCA6A">
      <w:pPr>
        <w:ind w:firstLine="645"/>
        <w:rPr>
          <w:rFonts w:ascii="宋体"/>
          <w:b/>
          <w:szCs w:val="21"/>
        </w:rPr>
      </w:pPr>
    </w:p>
    <w:p w14:paraId="348EAFD2">
      <w:pPr>
        <w:ind w:firstLine="645"/>
        <w:rPr>
          <w:rFonts w:ascii="宋体"/>
          <w:b/>
          <w:szCs w:val="21"/>
        </w:rPr>
      </w:pPr>
    </w:p>
    <w:p w14:paraId="66FDD1FD">
      <w:pPr>
        <w:ind w:firstLine="645"/>
        <w:rPr>
          <w:rFonts w:ascii="宋体"/>
          <w:b/>
          <w:szCs w:val="21"/>
        </w:rPr>
      </w:pPr>
    </w:p>
    <w:p w14:paraId="4337A875">
      <w:pPr>
        <w:pStyle w:val="4"/>
        <w:jc w:val="center"/>
        <w:rPr>
          <w:rFonts w:ascii="新宋体" w:hAnsi="新宋体" w:eastAsia="新宋体"/>
          <w:kern w:val="44"/>
          <w:sz w:val="30"/>
          <w:szCs w:val="30"/>
        </w:rPr>
      </w:pPr>
      <w:r>
        <w:rPr>
          <w:rFonts w:hint="eastAsia" w:ascii="新宋体" w:hAnsi="新宋体" w:eastAsia="新宋体"/>
          <w:kern w:val="44"/>
          <w:sz w:val="30"/>
          <w:szCs w:val="30"/>
        </w:rPr>
        <w:t>四、分项报价清单</w:t>
      </w:r>
    </w:p>
    <w:p w14:paraId="57AB7A4F">
      <w:pPr>
        <w:numPr>
          <w:ilvl w:val="0"/>
          <w:numId w:val="15"/>
        </w:numPr>
        <w:spacing w:line="360" w:lineRule="auto"/>
        <w:jc w:val="left"/>
        <w:rPr>
          <w:rFonts w:ascii="新宋体" w:hAnsi="新宋体" w:eastAsia="新宋体"/>
          <w:b/>
          <w:kern w:val="0"/>
          <w:szCs w:val="21"/>
        </w:rPr>
      </w:pPr>
      <w:r>
        <w:rPr>
          <w:rFonts w:hint="eastAsia" w:ascii="新宋体" w:hAnsi="新宋体" w:eastAsia="新宋体"/>
          <w:b/>
          <w:kern w:val="0"/>
          <w:szCs w:val="21"/>
        </w:rPr>
        <w:t>项目报价表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851"/>
        <w:gridCol w:w="1025"/>
        <w:gridCol w:w="1336"/>
        <w:gridCol w:w="900"/>
        <w:gridCol w:w="876"/>
        <w:gridCol w:w="564"/>
        <w:gridCol w:w="577"/>
        <w:gridCol w:w="850"/>
        <w:gridCol w:w="817"/>
        <w:gridCol w:w="993"/>
      </w:tblGrid>
      <w:tr w14:paraId="574B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14:paraId="19124E8C">
            <w:pPr>
              <w:spacing w:line="360" w:lineRule="auto"/>
              <w:jc w:val="center"/>
              <w:rPr>
                <w:rFonts w:ascii="新宋体" w:hAnsi="新宋体" w:eastAsia="新宋体"/>
                <w:color w:val="FF0000"/>
                <w:szCs w:val="21"/>
              </w:rPr>
            </w:pPr>
            <w:r>
              <w:rPr>
                <w:rFonts w:hint="eastAsia" w:ascii="新宋体" w:hAnsi="新宋体" w:eastAsia="新宋体"/>
                <w:color w:val="FF0000"/>
                <w:szCs w:val="21"/>
              </w:rPr>
              <w:t>序号</w:t>
            </w:r>
          </w:p>
        </w:tc>
        <w:tc>
          <w:tcPr>
            <w:tcW w:w="851" w:type="dxa"/>
            <w:vAlign w:val="center"/>
          </w:tcPr>
          <w:p w14:paraId="60BDD825">
            <w:pPr>
              <w:spacing w:line="360" w:lineRule="auto"/>
              <w:jc w:val="center"/>
              <w:rPr>
                <w:rFonts w:ascii="新宋体" w:hAnsi="新宋体" w:eastAsia="新宋体"/>
                <w:color w:val="FF0000"/>
                <w:szCs w:val="21"/>
              </w:rPr>
            </w:pPr>
            <w:r>
              <w:rPr>
                <w:rFonts w:hint="eastAsia" w:ascii="新宋体" w:hAnsi="新宋体" w:eastAsia="新宋体"/>
                <w:color w:val="FF0000"/>
                <w:szCs w:val="21"/>
              </w:rPr>
              <w:t>采购计划编号</w:t>
            </w:r>
          </w:p>
        </w:tc>
        <w:tc>
          <w:tcPr>
            <w:tcW w:w="1025" w:type="dxa"/>
            <w:vAlign w:val="center"/>
          </w:tcPr>
          <w:p w14:paraId="69E797E0">
            <w:pPr>
              <w:spacing w:line="360" w:lineRule="auto"/>
              <w:jc w:val="center"/>
              <w:rPr>
                <w:rFonts w:ascii="新宋体" w:hAnsi="新宋体" w:eastAsia="新宋体"/>
                <w:color w:val="FF0000"/>
                <w:szCs w:val="21"/>
              </w:rPr>
            </w:pPr>
            <w:r>
              <w:rPr>
                <w:rFonts w:hint="eastAsia" w:ascii="新宋体" w:hAnsi="新宋体" w:eastAsia="新宋体"/>
                <w:color w:val="FF0000"/>
                <w:szCs w:val="21"/>
              </w:rPr>
              <w:t>货物名称</w:t>
            </w:r>
          </w:p>
        </w:tc>
        <w:tc>
          <w:tcPr>
            <w:tcW w:w="1336" w:type="dxa"/>
            <w:vAlign w:val="center"/>
          </w:tcPr>
          <w:p w14:paraId="4858C56F">
            <w:pPr>
              <w:spacing w:line="360" w:lineRule="auto"/>
              <w:jc w:val="center"/>
              <w:rPr>
                <w:rFonts w:ascii="新宋体" w:hAnsi="新宋体" w:eastAsia="新宋体"/>
                <w:color w:val="FF0000"/>
                <w:szCs w:val="21"/>
              </w:rPr>
            </w:pPr>
            <w:r>
              <w:rPr>
                <w:rFonts w:hint="eastAsia" w:ascii="新宋体" w:hAnsi="新宋体" w:eastAsia="新宋体"/>
                <w:color w:val="FF0000"/>
                <w:szCs w:val="21"/>
              </w:rPr>
              <w:t>规格/型号</w:t>
            </w:r>
          </w:p>
        </w:tc>
        <w:tc>
          <w:tcPr>
            <w:tcW w:w="900" w:type="dxa"/>
            <w:vAlign w:val="center"/>
          </w:tcPr>
          <w:p w14:paraId="4C60C680">
            <w:pPr>
              <w:spacing w:line="360" w:lineRule="auto"/>
              <w:jc w:val="center"/>
              <w:rPr>
                <w:rFonts w:ascii="新宋体" w:hAnsi="新宋体" w:eastAsia="新宋体"/>
                <w:b/>
                <w:color w:val="FF0000"/>
                <w:szCs w:val="21"/>
              </w:rPr>
            </w:pPr>
            <w:r>
              <w:rPr>
                <w:rFonts w:hint="eastAsia" w:ascii="新宋体" w:hAnsi="新宋体" w:eastAsia="新宋体"/>
                <w:b/>
                <w:color w:val="FF0000"/>
                <w:szCs w:val="21"/>
              </w:rPr>
              <w:t>原产地</w:t>
            </w:r>
          </w:p>
        </w:tc>
        <w:tc>
          <w:tcPr>
            <w:tcW w:w="876" w:type="dxa"/>
            <w:vAlign w:val="center"/>
          </w:tcPr>
          <w:p w14:paraId="1E72F7F1">
            <w:pPr>
              <w:spacing w:line="360" w:lineRule="auto"/>
              <w:jc w:val="center"/>
              <w:rPr>
                <w:rFonts w:ascii="新宋体" w:hAnsi="新宋体" w:eastAsia="新宋体"/>
                <w:color w:val="FF0000"/>
                <w:szCs w:val="21"/>
              </w:rPr>
            </w:pPr>
            <w:r>
              <w:rPr>
                <w:rFonts w:hint="eastAsia" w:ascii="新宋体" w:hAnsi="新宋体" w:eastAsia="新宋体"/>
                <w:color w:val="FF0000"/>
                <w:szCs w:val="21"/>
              </w:rPr>
              <w:t>制造商名称</w:t>
            </w:r>
          </w:p>
        </w:tc>
        <w:tc>
          <w:tcPr>
            <w:tcW w:w="564" w:type="dxa"/>
            <w:vAlign w:val="center"/>
          </w:tcPr>
          <w:p w14:paraId="5FFA7604">
            <w:pPr>
              <w:spacing w:line="360" w:lineRule="auto"/>
              <w:jc w:val="center"/>
              <w:rPr>
                <w:rFonts w:ascii="新宋体" w:hAnsi="新宋体" w:eastAsia="新宋体"/>
                <w:color w:val="FF0000"/>
                <w:szCs w:val="21"/>
              </w:rPr>
            </w:pPr>
            <w:r>
              <w:rPr>
                <w:rFonts w:hint="eastAsia" w:ascii="新宋体" w:hAnsi="新宋体" w:eastAsia="新宋体"/>
                <w:color w:val="FF0000"/>
                <w:szCs w:val="21"/>
              </w:rPr>
              <w:t>数量</w:t>
            </w:r>
          </w:p>
        </w:tc>
        <w:tc>
          <w:tcPr>
            <w:tcW w:w="577" w:type="dxa"/>
            <w:vAlign w:val="center"/>
          </w:tcPr>
          <w:p w14:paraId="0C1E139E">
            <w:pPr>
              <w:spacing w:line="360" w:lineRule="auto"/>
              <w:jc w:val="center"/>
              <w:rPr>
                <w:rFonts w:ascii="新宋体" w:hAnsi="新宋体" w:eastAsia="新宋体"/>
                <w:color w:val="FF0000"/>
                <w:szCs w:val="21"/>
              </w:rPr>
            </w:pPr>
            <w:r>
              <w:rPr>
                <w:rFonts w:hint="eastAsia" w:ascii="新宋体" w:hAnsi="新宋体" w:eastAsia="新宋体"/>
                <w:color w:val="FF0000"/>
                <w:szCs w:val="21"/>
              </w:rPr>
              <w:t>单位</w:t>
            </w:r>
          </w:p>
        </w:tc>
        <w:tc>
          <w:tcPr>
            <w:tcW w:w="850" w:type="dxa"/>
            <w:vAlign w:val="center"/>
          </w:tcPr>
          <w:p w14:paraId="09ECFD52">
            <w:pPr>
              <w:spacing w:line="360" w:lineRule="auto"/>
              <w:jc w:val="center"/>
              <w:rPr>
                <w:rFonts w:ascii="新宋体" w:hAnsi="新宋体" w:eastAsia="新宋体"/>
                <w:color w:val="FF0000"/>
                <w:szCs w:val="21"/>
              </w:rPr>
            </w:pPr>
            <w:r>
              <w:rPr>
                <w:rFonts w:hint="eastAsia" w:ascii="新宋体" w:hAnsi="新宋体" w:eastAsia="新宋体"/>
                <w:color w:val="FF0000"/>
                <w:szCs w:val="21"/>
              </w:rPr>
              <w:t>单价(元)</w:t>
            </w:r>
          </w:p>
        </w:tc>
        <w:tc>
          <w:tcPr>
            <w:tcW w:w="817" w:type="dxa"/>
            <w:vAlign w:val="center"/>
          </w:tcPr>
          <w:p w14:paraId="4B386767">
            <w:pPr>
              <w:spacing w:line="360" w:lineRule="auto"/>
              <w:jc w:val="center"/>
              <w:rPr>
                <w:rFonts w:ascii="新宋体" w:hAnsi="新宋体" w:eastAsia="新宋体"/>
                <w:color w:val="FF0000"/>
                <w:szCs w:val="21"/>
              </w:rPr>
            </w:pPr>
            <w:r>
              <w:rPr>
                <w:rFonts w:hint="eastAsia" w:ascii="新宋体" w:hAnsi="新宋体" w:eastAsia="新宋体"/>
                <w:color w:val="FF0000"/>
                <w:szCs w:val="21"/>
              </w:rPr>
              <w:t>合价(元)</w:t>
            </w:r>
          </w:p>
        </w:tc>
        <w:tc>
          <w:tcPr>
            <w:tcW w:w="993" w:type="dxa"/>
            <w:vAlign w:val="center"/>
          </w:tcPr>
          <w:p w14:paraId="3B447C0F">
            <w:pPr>
              <w:spacing w:line="360" w:lineRule="auto"/>
              <w:jc w:val="center"/>
              <w:rPr>
                <w:rFonts w:ascii="新宋体" w:hAnsi="新宋体" w:eastAsia="新宋体"/>
                <w:color w:val="FF0000"/>
                <w:szCs w:val="21"/>
              </w:rPr>
            </w:pPr>
            <w:r>
              <w:rPr>
                <w:rFonts w:hint="eastAsia" w:ascii="新宋体" w:hAnsi="新宋体" w:eastAsia="新宋体"/>
                <w:color w:val="FF0000"/>
                <w:szCs w:val="21"/>
              </w:rPr>
              <w:t>财政预算限额（元）</w:t>
            </w:r>
          </w:p>
        </w:tc>
      </w:tr>
      <w:tr w14:paraId="2E39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14:paraId="75EF2171">
            <w:pPr>
              <w:spacing w:line="360" w:lineRule="auto"/>
              <w:rPr>
                <w:rFonts w:ascii="新宋体" w:hAnsi="新宋体" w:eastAsia="新宋体"/>
                <w:color w:val="FF0000"/>
                <w:szCs w:val="21"/>
              </w:rPr>
            </w:pPr>
          </w:p>
        </w:tc>
        <w:tc>
          <w:tcPr>
            <w:tcW w:w="851" w:type="dxa"/>
            <w:vAlign w:val="center"/>
          </w:tcPr>
          <w:p w14:paraId="5B63BC96">
            <w:pPr>
              <w:spacing w:line="360" w:lineRule="auto"/>
              <w:rPr>
                <w:rFonts w:ascii="新宋体" w:hAnsi="新宋体" w:eastAsia="新宋体"/>
                <w:color w:val="FF0000"/>
                <w:szCs w:val="21"/>
              </w:rPr>
            </w:pPr>
          </w:p>
        </w:tc>
        <w:tc>
          <w:tcPr>
            <w:tcW w:w="1025" w:type="dxa"/>
            <w:vAlign w:val="center"/>
          </w:tcPr>
          <w:p w14:paraId="1FF3C92A">
            <w:pPr>
              <w:spacing w:line="360" w:lineRule="auto"/>
              <w:rPr>
                <w:rFonts w:ascii="新宋体" w:hAnsi="新宋体" w:eastAsia="新宋体"/>
                <w:color w:val="FF0000"/>
                <w:szCs w:val="21"/>
              </w:rPr>
            </w:pPr>
          </w:p>
        </w:tc>
        <w:tc>
          <w:tcPr>
            <w:tcW w:w="1336" w:type="dxa"/>
            <w:vAlign w:val="center"/>
          </w:tcPr>
          <w:p w14:paraId="7F02E2AF">
            <w:pPr>
              <w:spacing w:line="360" w:lineRule="auto"/>
              <w:rPr>
                <w:rFonts w:ascii="新宋体" w:hAnsi="新宋体" w:eastAsia="新宋体"/>
                <w:color w:val="FF0000"/>
                <w:szCs w:val="21"/>
              </w:rPr>
            </w:pPr>
          </w:p>
        </w:tc>
        <w:tc>
          <w:tcPr>
            <w:tcW w:w="900" w:type="dxa"/>
            <w:vAlign w:val="center"/>
          </w:tcPr>
          <w:p w14:paraId="35D9EA49">
            <w:pPr>
              <w:spacing w:line="360" w:lineRule="auto"/>
              <w:rPr>
                <w:rFonts w:ascii="新宋体" w:hAnsi="新宋体" w:eastAsia="新宋体"/>
                <w:color w:val="FF0000"/>
                <w:szCs w:val="21"/>
              </w:rPr>
            </w:pPr>
          </w:p>
        </w:tc>
        <w:tc>
          <w:tcPr>
            <w:tcW w:w="876" w:type="dxa"/>
            <w:vAlign w:val="center"/>
          </w:tcPr>
          <w:p w14:paraId="42E21D0B">
            <w:pPr>
              <w:spacing w:line="360" w:lineRule="auto"/>
              <w:rPr>
                <w:rFonts w:ascii="新宋体" w:hAnsi="新宋体" w:eastAsia="新宋体"/>
                <w:color w:val="FF0000"/>
                <w:szCs w:val="21"/>
              </w:rPr>
            </w:pPr>
          </w:p>
        </w:tc>
        <w:tc>
          <w:tcPr>
            <w:tcW w:w="564" w:type="dxa"/>
            <w:vAlign w:val="center"/>
          </w:tcPr>
          <w:p w14:paraId="3BCB3C96">
            <w:pPr>
              <w:spacing w:line="360" w:lineRule="auto"/>
              <w:rPr>
                <w:rFonts w:ascii="新宋体" w:hAnsi="新宋体" w:eastAsia="新宋体"/>
                <w:color w:val="FF0000"/>
                <w:szCs w:val="21"/>
              </w:rPr>
            </w:pPr>
          </w:p>
        </w:tc>
        <w:tc>
          <w:tcPr>
            <w:tcW w:w="577" w:type="dxa"/>
            <w:vAlign w:val="center"/>
          </w:tcPr>
          <w:p w14:paraId="14782614">
            <w:pPr>
              <w:spacing w:line="360" w:lineRule="auto"/>
              <w:rPr>
                <w:rFonts w:ascii="新宋体" w:hAnsi="新宋体" w:eastAsia="新宋体"/>
                <w:color w:val="FF0000"/>
                <w:szCs w:val="21"/>
              </w:rPr>
            </w:pPr>
          </w:p>
        </w:tc>
        <w:tc>
          <w:tcPr>
            <w:tcW w:w="850" w:type="dxa"/>
            <w:vAlign w:val="center"/>
          </w:tcPr>
          <w:p w14:paraId="3281211C">
            <w:pPr>
              <w:spacing w:line="360" w:lineRule="auto"/>
              <w:rPr>
                <w:rFonts w:ascii="新宋体" w:hAnsi="新宋体" w:eastAsia="新宋体"/>
                <w:color w:val="FF0000"/>
                <w:szCs w:val="21"/>
              </w:rPr>
            </w:pPr>
          </w:p>
        </w:tc>
        <w:tc>
          <w:tcPr>
            <w:tcW w:w="817" w:type="dxa"/>
            <w:vAlign w:val="center"/>
          </w:tcPr>
          <w:p w14:paraId="2272B948">
            <w:pPr>
              <w:spacing w:line="360" w:lineRule="auto"/>
              <w:rPr>
                <w:rFonts w:ascii="新宋体" w:hAnsi="新宋体" w:eastAsia="新宋体"/>
                <w:color w:val="FF0000"/>
                <w:szCs w:val="21"/>
              </w:rPr>
            </w:pPr>
          </w:p>
        </w:tc>
        <w:tc>
          <w:tcPr>
            <w:tcW w:w="993" w:type="dxa"/>
            <w:vAlign w:val="center"/>
          </w:tcPr>
          <w:p w14:paraId="0C585621">
            <w:pPr>
              <w:spacing w:line="360" w:lineRule="auto"/>
              <w:rPr>
                <w:rFonts w:ascii="新宋体" w:hAnsi="新宋体" w:eastAsia="新宋体"/>
                <w:color w:val="FF0000"/>
                <w:szCs w:val="21"/>
              </w:rPr>
            </w:pPr>
          </w:p>
        </w:tc>
      </w:tr>
      <w:tr w14:paraId="1681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14:paraId="7B8BD50D">
            <w:pPr>
              <w:spacing w:line="360" w:lineRule="auto"/>
              <w:rPr>
                <w:rFonts w:ascii="新宋体" w:hAnsi="新宋体" w:eastAsia="新宋体"/>
                <w:color w:val="FF0000"/>
                <w:szCs w:val="21"/>
              </w:rPr>
            </w:pPr>
          </w:p>
        </w:tc>
        <w:tc>
          <w:tcPr>
            <w:tcW w:w="851" w:type="dxa"/>
            <w:vAlign w:val="center"/>
          </w:tcPr>
          <w:p w14:paraId="790B0E18">
            <w:pPr>
              <w:spacing w:line="360" w:lineRule="auto"/>
              <w:rPr>
                <w:rFonts w:ascii="新宋体" w:hAnsi="新宋体" w:eastAsia="新宋体"/>
                <w:color w:val="FF0000"/>
                <w:szCs w:val="21"/>
              </w:rPr>
            </w:pPr>
          </w:p>
        </w:tc>
        <w:tc>
          <w:tcPr>
            <w:tcW w:w="1025" w:type="dxa"/>
            <w:vAlign w:val="center"/>
          </w:tcPr>
          <w:p w14:paraId="0A68996D">
            <w:pPr>
              <w:spacing w:line="360" w:lineRule="auto"/>
              <w:rPr>
                <w:rFonts w:ascii="新宋体" w:hAnsi="新宋体" w:eastAsia="新宋体"/>
                <w:color w:val="FF0000"/>
                <w:szCs w:val="21"/>
              </w:rPr>
            </w:pPr>
          </w:p>
        </w:tc>
        <w:tc>
          <w:tcPr>
            <w:tcW w:w="1336" w:type="dxa"/>
            <w:vAlign w:val="center"/>
          </w:tcPr>
          <w:p w14:paraId="3A8FF1C5">
            <w:pPr>
              <w:spacing w:line="360" w:lineRule="auto"/>
              <w:rPr>
                <w:rFonts w:ascii="新宋体" w:hAnsi="新宋体" w:eastAsia="新宋体"/>
                <w:color w:val="FF0000"/>
                <w:szCs w:val="21"/>
              </w:rPr>
            </w:pPr>
          </w:p>
        </w:tc>
        <w:tc>
          <w:tcPr>
            <w:tcW w:w="900" w:type="dxa"/>
            <w:vAlign w:val="center"/>
          </w:tcPr>
          <w:p w14:paraId="3E6F1E7F">
            <w:pPr>
              <w:spacing w:line="360" w:lineRule="auto"/>
              <w:rPr>
                <w:rFonts w:ascii="新宋体" w:hAnsi="新宋体" w:eastAsia="新宋体"/>
                <w:color w:val="FF0000"/>
                <w:szCs w:val="21"/>
              </w:rPr>
            </w:pPr>
          </w:p>
        </w:tc>
        <w:tc>
          <w:tcPr>
            <w:tcW w:w="876" w:type="dxa"/>
            <w:vAlign w:val="center"/>
          </w:tcPr>
          <w:p w14:paraId="7C8DD7B1">
            <w:pPr>
              <w:spacing w:line="360" w:lineRule="auto"/>
              <w:rPr>
                <w:rFonts w:ascii="新宋体" w:hAnsi="新宋体" w:eastAsia="新宋体"/>
                <w:color w:val="FF0000"/>
                <w:szCs w:val="21"/>
              </w:rPr>
            </w:pPr>
          </w:p>
        </w:tc>
        <w:tc>
          <w:tcPr>
            <w:tcW w:w="564" w:type="dxa"/>
            <w:vAlign w:val="center"/>
          </w:tcPr>
          <w:p w14:paraId="4C4ED935">
            <w:pPr>
              <w:spacing w:line="360" w:lineRule="auto"/>
              <w:rPr>
                <w:rFonts w:ascii="新宋体" w:hAnsi="新宋体" w:eastAsia="新宋体"/>
                <w:color w:val="FF0000"/>
                <w:szCs w:val="21"/>
              </w:rPr>
            </w:pPr>
          </w:p>
        </w:tc>
        <w:tc>
          <w:tcPr>
            <w:tcW w:w="577" w:type="dxa"/>
            <w:vAlign w:val="center"/>
          </w:tcPr>
          <w:p w14:paraId="702E1AE4">
            <w:pPr>
              <w:spacing w:line="360" w:lineRule="auto"/>
              <w:rPr>
                <w:rFonts w:ascii="新宋体" w:hAnsi="新宋体" w:eastAsia="新宋体"/>
                <w:color w:val="FF0000"/>
                <w:szCs w:val="21"/>
              </w:rPr>
            </w:pPr>
          </w:p>
        </w:tc>
        <w:tc>
          <w:tcPr>
            <w:tcW w:w="850" w:type="dxa"/>
            <w:vAlign w:val="center"/>
          </w:tcPr>
          <w:p w14:paraId="69CCBF06">
            <w:pPr>
              <w:spacing w:line="360" w:lineRule="auto"/>
              <w:rPr>
                <w:rFonts w:ascii="新宋体" w:hAnsi="新宋体" w:eastAsia="新宋体"/>
                <w:color w:val="FF0000"/>
                <w:szCs w:val="21"/>
              </w:rPr>
            </w:pPr>
          </w:p>
        </w:tc>
        <w:tc>
          <w:tcPr>
            <w:tcW w:w="817" w:type="dxa"/>
            <w:vAlign w:val="center"/>
          </w:tcPr>
          <w:p w14:paraId="0D51B524">
            <w:pPr>
              <w:spacing w:line="360" w:lineRule="auto"/>
              <w:rPr>
                <w:rFonts w:ascii="新宋体" w:hAnsi="新宋体" w:eastAsia="新宋体"/>
                <w:color w:val="FF0000"/>
                <w:szCs w:val="21"/>
              </w:rPr>
            </w:pPr>
          </w:p>
        </w:tc>
        <w:tc>
          <w:tcPr>
            <w:tcW w:w="993" w:type="dxa"/>
            <w:vAlign w:val="center"/>
          </w:tcPr>
          <w:p w14:paraId="40BF3AB2">
            <w:pPr>
              <w:spacing w:line="360" w:lineRule="auto"/>
              <w:rPr>
                <w:rFonts w:ascii="新宋体" w:hAnsi="新宋体" w:eastAsia="新宋体"/>
                <w:color w:val="FF0000"/>
                <w:szCs w:val="21"/>
              </w:rPr>
            </w:pPr>
          </w:p>
        </w:tc>
      </w:tr>
      <w:tr w14:paraId="6D42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14:paraId="16DCB419">
            <w:pPr>
              <w:spacing w:line="360" w:lineRule="auto"/>
              <w:rPr>
                <w:rFonts w:ascii="新宋体" w:hAnsi="新宋体" w:eastAsia="新宋体"/>
                <w:color w:val="FF0000"/>
                <w:szCs w:val="21"/>
              </w:rPr>
            </w:pPr>
          </w:p>
        </w:tc>
        <w:tc>
          <w:tcPr>
            <w:tcW w:w="851" w:type="dxa"/>
            <w:vAlign w:val="center"/>
          </w:tcPr>
          <w:p w14:paraId="1F42892B">
            <w:pPr>
              <w:spacing w:line="360" w:lineRule="auto"/>
              <w:rPr>
                <w:rFonts w:ascii="新宋体" w:hAnsi="新宋体" w:eastAsia="新宋体"/>
                <w:color w:val="FF0000"/>
                <w:szCs w:val="21"/>
              </w:rPr>
            </w:pPr>
          </w:p>
        </w:tc>
        <w:tc>
          <w:tcPr>
            <w:tcW w:w="1025" w:type="dxa"/>
            <w:vAlign w:val="center"/>
          </w:tcPr>
          <w:p w14:paraId="51F5C1AE">
            <w:pPr>
              <w:spacing w:line="360" w:lineRule="auto"/>
              <w:rPr>
                <w:rFonts w:ascii="新宋体" w:hAnsi="新宋体" w:eastAsia="新宋体"/>
                <w:color w:val="FF0000"/>
                <w:szCs w:val="21"/>
              </w:rPr>
            </w:pPr>
          </w:p>
        </w:tc>
        <w:tc>
          <w:tcPr>
            <w:tcW w:w="1336" w:type="dxa"/>
            <w:vAlign w:val="center"/>
          </w:tcPr>
          <w:p w14:paraId="4ABB5DC9">
            <w:pPr>
              <w:spacing w:line="360" w:lineRule="auto"/>
              <w:rPr>
                <w:rFonts w:ascii="新宋体" w:hAnsi="新宋体" w:eastAsia="新宋体"/>
                <w:color w:val="FF0000"/>
                <w:szCs w:val="21"/>
              </w:rPr>
            </w:pPr>
          </w:p>
        </w:tc>
        <w:tc>
          <w:tcPr>
            <w:tcW w:w="900" w:type="dxa"/>
            <w:vAlign w:val="center"/>
          </w:tcPr>
          <w:p w14:paraId="0DC2D00F">
            <w:pPr>
              <w:spacing w:line="360" w:lineRule="auto"/>
              <w:rPr>
                <w:rFonts w:ascii="新宋体" w:hAnsi="新宋体" w:eastAsia="新宋体"/>
                <w:color w:val="FF0000"/>
                <w:szCs w:val="21"/>
              </w:rPr>
            </w:pPr>
          </w:p>
        </w:tc>
        <w:tc>
          <w:tcPr>
            <w:tcW w:w="876" w:type="dxa"/>
            <w:vAlign w:val="center"/>
          </w:tcPr>
          <w:p w14:paraId="27B02A42">
            <w:pPr>
              <w:spacing w:line="360" w:lineRule="auto"/>
              <w:rPr>
                <w:rFonts w:ascii="新宋体" w:hAnsi="新宋体" w:eastAsia="新宋体"/>
                <w:color w:val="FF0000"/>
                <w:szCs w:val="21"/>
              </w:rPr>
            </w:pPr>
          </w:p>
        </w:tc>
        <w:tc>
          <w:tcPr>
            <w:tcW w:w="564" w:type="dxa"/>
            <w:vAlign w:val="center"/>
          </w:tcPr>
          <w:p w14:paraId="147F0F6A">
            <w:pPr>
              <w:spacing w:line="360" w:lineRule="auto"/>
              <w:rPr>
                <w:rFonts w:ascii="新宋体" w:hAnsi="新宋体" w:eastAsia="新宋体"/>
                <w:color w:val="FF0000"/>
                <w:szCs w:val="21"/>
              </w:rPr>
            </w:pPr>
          </w:p>
        </w:tc>
        <w:tc>
          <w:tcPr>
            <w:tcW w:w="577" w:type="dxa"/>
            <w:vAlign w:val="center"/>
          </w:tcPr>
          <w:p w14:paraId="56EE462A">
            <w:pPr>
              <w:spacing w:line="360" w:lineRule="auto"/>
              <w:rPr>
                <w:rFonts w:ascii="新宋体" w:hAnsi="新宋体" w:eastAsia="新宋体"/>
                <w:color w:val="FF0000"/>
                <w:szCs w:val="21"/>
              </w:rPr>
            </w:pPr>
          </w:p>
        </w:tc>
        <w:tc>
          <w:tcPr>
            <w:tcW w:w="850" w:type="dxa"/>
            <w:vAlign w:val="center"/>
          </w:tcPr>
          <w:p w14:paraId="65482FB2">
            <w:pPr>
              <w:spacing w:line="360" w:lineRule="auto"/>
              <w:rPr>
                <w:rFonts w:ascii="新宋体" w:hAnsi="新宋体" w:eastAsia="新宋体"/>
                <w:color w:val="FF0000"/>
                <w:szCs w:val="21"/>
              </w:rPr>
            </w:pPr>
          </w:p>
        </w:tc>
        <w:tc>
          <w:tcPr>
            <w:tcW w:w="817" w:type="dxa"/>
            <w:vAlign w:val="center"/>
          </w:tcPr>
          <w:p w14:paraId="3D979002">
            <w:pPr>
              <w:spacing w:line="360" w:lineRule="auto"/>
              <w:rPr>
                <w:rFonts w:ascii="新宋体" w:hAnsi="新宋体" w:eastAsia="新宋体"/>
                <w:color w:val="FF0000"/>
                <w:szCs w:val="21"/>
              </w:rPr>
            </w:pPr>
          </w:p>
        </w:tc>
        <w:tc>
          <w:tcPr>
            <w:tcW w:w="993" w:type="dxa"/>
            <w:vAlign w:val="center"/>
          </w:tcPr>
          <w:p w14:paraId="62BC7C57">
            <w:pPr>
              <w:spacing w:line="360" w:lineRule="auto"/>
              <w:rPr>
                <w:rFonts w:ascii="新宋体" w:hAnsi="新宋体" w:eastAsia="新宋体"/>
                <w:color w:val="FF0000"/>
                <w:szCs w:val="21"/>
              </w:rPr>
            </w:pPr>
          </w:p>
        </w:tc>
      </w:tr>
      <w:tr w14:paraId="669C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14:paraId="6777BA1B">
            <w:pPr>
              <w:spacing w:line="360" w:lineRule="auto"/>
              <w:rPr>
                <w:rFonts w:ascii="新宋体" w:hAnsi="新宋体" w:eastAsia="新宋体"/>
                <w:color w:val="FF0000"/>
                <w:szCs w:val="21"/>
              </w:rPr>
            </w:pPr>
          </w:p>
        </w:tc>
        <w:tc>
          <w:tcPr>
            <w:tcW w:w="851" w:type="dxa"/>
            <w:vAlign w:val="center"/>
          </w:tcPr>
          <w:p w14:paraId="4039619F">
            <w:pPr>
              <w:spacing w:line="360" w:lineRule="auto"/>
              <w:rPr>
                <w:rFonts w:ascii="新宋体" w:hAnsi="新宋体" w:eastAsia="新宋体"/>
                <w:color w:val="FF0000"/>
                <w:szCs w:val="21"/>
              </w:rPr>
            </w:pPr>
          </w:p>
        </w:tc>
        <w:tc>
          <w:tcPr>
            <w:tcW w:w="1025" w:type="dxa"/>
            <w:vAlign w:val="center"/>
          </w:tcPr>
          <w:p w14:paraId="5B9E3BCA">
            <w:pPr>
              <w:spacing w:line="360" w:lineRule="auto"/>
              <w:rPr>
                <w:rFonts w:ascii="新宋体" w:hAnsi="新宋体" w:eastAsia="新宋体"/>
                <w:color w:val="FF0000"/>
                <w:szCs w:val="21"/>
              </w:rPr>
            </w:pPr>
          </w:p>
        </w:tc>
        <w:tc>
          <w:tcPr>
            <w:tcW w:w="1336" w:type="dxa"/>
            <w:vAlign w:val="center"/>
          </w:tcPr>
          <w:p w14:paraId="335EAEBF">
            <w:pPr>
              <w:spacing w:line="360" w:lineRule="auto"/>
              <w:rPr>
                <w:rFonts w:ascii="新宋体" w:hAnsi="新宋体" w:eastAsia="新宋体"/>
                <w:color w:val="FF0000"/>
                <w:szCs w:val="21"/>
              </w:rPr>
            </w:pPr>
          </w:p>
        </w:tc>
        <w:tc>
          <w:tcPr>
            <w:tcW w:w="900" w:type="dxa"/>
            <w:vAlign w:val="center"/>
          </w:tcPr>
          <w:p w14:paraId="519A7900">
            <w:pPr>
              <w:spacing w:line="360" w:lineRule="auto"/>
              <w:rPr>
                <w:rFonts w:ascii="新宋体" w:hAnsi="新宋体" w:eastAsia="新宋体"/>
                <w:color w:val="FF0000"/>
                <w:szCs w:val="21"/>
              </w:rPr>
            </w:pPr>
          </w:p>
        </w:tc>
        <w:tc>
          <w:tcPr>
            <w:tcW w:w="876" w:type="dxa"/>
            <w:vAlign w:val="center"/>
          </w:tcPr>
          <w:p w14:paraId="2D33BDD0">
            <w:pPr>
              <w:spacing w:line="360" w:lineRule="auto"/>
              <w:rPr>
                <w:rFonts w:ascii="新宋体" w:hAnsi="新宋体" w:eastAsia="新宋体"/>
                <w:color w:val="FF0000"/>
                <w:szCs w:val="21"/>
              </w:rPr>
            </w:pPr>
          </w:p>
        </w:tc>
        <w:tc>
          <w:tcPr>
            <w:tcW w:w="564" w:type="dxa"/>
            <w:vAlign w:val="center"/>
          </w:tcPr>
          <w:p w14:paraId="54681FB1">
            <w:pPr>
              <w:spacing w:line="360" w:lineRule="auto"/>
              <w:rPr>
                <w:rFonts w:ascii="新宋体" w:hAnsi="新宋体" w:eastAsia="新宋体"/>
                <w:color w:val="FF0000"/>
                <w:szCs w:val="21"/>
              </w:rPr>
            </w:pPr>
          </w:p>
        </w:tc>
        <w:tc>
          <w:tcPr>
            <w:tcW w:w="577" w:type="dxa"/>
            <w:vAlign w:val="center"/>
          </w:tcPr>
          <w:p w14:paraId="4F44ED28">
            <w:pPr>
              <w:spacing w:line="360" w:lineRule="auto"/>
              <w:rPr>
                <w:rFonts w:ascii="新宋体" w:hAnsi="新宋体" w:eastAsia="新宋体"/>
                <w:color w:val="FF0000"/>
                <w:szCs w:val="21"/>
              </w:rPr>
            </w:pPr>
          </w:p>
        </w:tc>
        <w:tc>
          <w:tcPr>
            <w:tcW w:w="850" w:type="dxa"/>
            <w:vAlign w:val="center"/>
          </w:tcPr>
          <w:p w14:paraId="7DA7B6CB">
            <w:pPr>
              <w:spacing w:line="360" w:lineRule="auto"/>
              <w:rPr>
                <w:rFonts w:ascii="新宋体" w:hAnsi="新宋体" w:eastAsia="新宋体"/>
                <w:color w:val="FF0000"/>
                <w:szCs w:val="21"/>
              </w:rPr>
            </w:pPr>
          </w:p>
        </w:tc>
        <w:tc>
          <w:tcPr>
            <w:tcW w:w="817" w:type="dxa"/>
            <w:vAlign w:val="center"/>
          </w:tcPr>
          <w:p w14:paraId="6FF31A9C">
            <w:pPr>
              <w:spacing w:line="360" w:lineRule="auto"/>
              <w:rPr>
                <w:rFonts w:ascii="新宋体" w:hAnsi="新宋体" w:eastAsia="新宋体"/>
                <w:color w:val="FF0000"/>
                <w:szCs w:val="21"/>
              </w:rPr>
            </w:pPr>
          </w:p>
        </w:tc>
        <w:tc>
          <w:tcPr>
            <w:tcW w:w="993" w:type="dxa"/>
            <w:vAlign w:val="center"/>
          </w:tcPr>
          <w:p w14:paraId="6970C49F">
            <w:pPr>
              <w:spacing w:line="360" w:lineRule="auto"/>
              <w:rPr>
                <w:rFonts w:ascii="新宋体" w:hAnsi="新宋体" w:eastAsia="新宋体"/>
                <w:color w:val="FF0000"/>
                <w:szCs w:val="21"/>
              </w:rPr>
            </w:pPr>
          </w:p>
        </w:tc>
      </w:tr>
      <w:tr w14:paraId="0F9D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14:paraId="312C166B">
            <w:pPr>
              <w:spacing w:line="360" w:lineRule="auto"/>
              <w:rPr>
                <w:rFonts w:ascii="新宋体" w:hAnsi="新宋体" w:eastAsia="新宋体"/>
                <w:color w:val="FF0000"/>
                <w:szCs w:val="21"/>
              </w:rPr>
            </w:pPr>
          </w:p>
        </w:tc>
        <w:tc>
          <w:tcPr>
            <w:tcW w:w="851" w:type="dxa"/>
            <w:vAlign w:val="center"/>
          </w:tcPr>
          <w:p w14:paraId="66A6CF58">
            <w:pPr>
              <w:spacing w:line="360" w:lineRule="auto"/>
              <w:rPr>
                <w:rFonts w:ascii="新宋体" w:hAnsi="新宋体" w:eastAsia="新宋体"/>
                <w:color w:val="FF0000"/>
                <w:szCs w:val="21"/>
              </w:rPr>
            </w:pPr>
          </w:p>
        </w:tc>
        <w:tc>
          <w:tcPr>
            <w:tcW w:w="1025" w:type="dxa"/>
            <w:vAlign w:val="center"/>
          </w:tcPr>
          <w:p w14:paraId="0B5B3790">
            <w:pPr>
              <w:spacing w:line="360" w:lineRule="auto"/>
              <w:rPr>
                <w:rFonts w:ascii="新宋体" w:hAnsi="新宋体" w:eastAsia="新宋体"/>
                <w:color w:val="FF0000"/>
                <w:szCs w:val="21"/>
              </w:rPr>
            </w:pPr>
          </w:p>
        </w:tc>
        <w:tc>
          <w:tcPr>
            <w:tcW w:w="1336" w:type="dxa"/>
            <w:vAlign w:val="center"/>
          </w:tcPr>
          <w:p w14:paraId="019AE44B">
            <w:pPr>
              <w:spacing w:line="360" w:lineRule="auto"/>
              <w:rPr>
                <w:rFonts w:ascii="新宋体" w:hAnsi="新宋体" w:eastAsia="新宋体"/>
                <w:color w:val="FF0000"/>
                <w:szCs w:val="21"/>
              </w:rPr>
            </w:pPr>
          </w:p>
        </w:tc>
        <w:tc>
          <w:tcPr>
            <w:tcW w:w="900" w:type="dxa"/>
            <w:vAlign w:val="center"/>
          </w:tcPr>
          <w:p w14:paraId="425798D7">
            <w:pPr>
              <w:spacing w:line="360" w:lineRule="auto"/>
              <w:rPr>
                <w:rFonts w:ascii="新宋体" w:hAnsi="新宋体" w:eastAsia="新宋体"/>
                <w:color w:val="FF0000"/>
                <w:szCs w:val="21"/>
              </w:rPr>
            </w:pPr>
          </w:p>
        </w:tc>
        <w:tc>
          <w:tcPr>
            <w:tcW w:w="876" w:type="dxa"/>
            <w:vAlign w:val="center"/>
          </w:tcPr>
          <w:p w14:paraId="3718437F">
            <w:pPr>
              <w:spacing w:line="360" w:lineRule="auto"/>
              <w:rPr>
                <w:rFonts w:ascii="新宋体" w:hAnsi="新宋体" w:eastAsia="新宋体"/>
                <w:color w:val="FF0000"/>
                <w:szCs w:val="21"/>
              </w:rPr>
            </w:pPr>
          </w:p>
        </w:tc>
        <w:tc>
          <w:tcPr>
            <w:tcW w:w="564" w:type="dxa"/>
            <w:vAlign w:val="center"/>
          </w:tcPr>
          <w:p w14:paraId="44D5B208">
            <w:pPr>
              <w:spacing w:line="360" w:lineRule="auto"/>
              <w:rPr>
                <w:rFonts w:ascii="新宋体" w:hAnsi="新宋体" w:eastAsia="新宋体"/>
                <w:color w:val="FF0000"/>
                <w:szCs w:val="21"/>
              </w:rPr>
            </w:pPr>
          </w:p>
        </w:tc>
        <w:tc>
          <w:tcPr>
            <w:tcW w:w="577" w:type="dxa"/>
            <w:vAlign w:val="center"/>
          </w:tcPr>
          <w:p w14:paraId="10C486A4">
            <w:pPr>
              <w:spacing w:line="360" w:lineRule="auto"/>
              <w:rPr>
                <w:rFonts w:ascii="新宋体" w:hAnsi="新宋体" w:eastAsia="新宋体"/>
                <w:color w:val="FF0000"/>
                <w:szCs w:val="21"/>
              </w:rPr>
            </w:pPr>
          </w:p>
        </w:tc>
        <w:tc>
          <w:tcPr>
            <w:tcW w:w="850" w:type="dxa"/>
            <w:vAlign w:val="center"/>
          </w:tcPr>
          <w:p w14:paraId="6EAB14C5">
            <w:pPr>
              <w:spacing w:line="360" w:lineRule="auto"/>
              <w:rPr>
                <w:rFonts w:ascii="新宋体" w:hAnsi="新宋体" w:eastAsia="新宋体"/>
                <w:color w:val="FF0000"/>
                <w:szCs w:val="21"/>
              </w:rPr>
            </w:pPr>
          </w:p>
        </w:tc>
        <w:tc>
          <w:tcPr>
            <w:tcW w:w="817" w:type="dxa"/>
            <w:vAlign w:val="center"/>
          </w:tcPr>
          <w:p w14:paraId="040901FF">
            <w:pPr>
              <w:spacing w:line="360" w:lineRule="auto"/>
              <w:rPr>
                <w:rFonts w:ascii="新宋体" w:hAnsi="新宋体" w:eastAsia="新宋体"/>
                <w:color w:val="FF0000"/>
                <w:szCs w:val="21"/>
              </w:rPr>
            </w:pPr>
          </w:p>
        </w:tc>
        <w:tc>
          <w:tcPr>
            <w:tcW w:w="993" w:type="dxa"/>
            <w:vAlign w:val="center"/>
          </w:tcPr>
          <w:p w14:paraId="63BB79C5">
            <w:pPr>
              <w:spacing w:line="360" w:lineRule="auto"/>
              <w:rPr>
                <w:rFonts w:ascii="新宋体" w:hAnsi="新宋体" w:eastAsia="新宋体"/>
                <w:color w:val="FF0000"/>
                <w:szCs w:val="21"/>
              </w:rPr>
            </w:pPr>
          </w:p>
        </w:tc>
      </w:tr>
      <w:tr w14:paraId="08C8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2" w:type="dxa"/>
            <w:gridSpan w:val="11"/>
            <w:vAlign w:val="center"/>
          </w:tcPr>
          <w:p w14:paraId="18F8DFAE">
            <w:pPr>
              <w:spacing w:line="360" w:lineRule="auto"/>
              <w:rPr>
                <w:rFonts w:ascii="新宋体" w:hAnsi="新宋体" w:eastAsia="新宋体"/>
                <w:color w:val="FF0000"/>
                <w:szCs w:val="21"/>
              </w:rPr>
            </w:pPr>
            <w:r>
              <w:rPr>
                <w:rFonts w:hint="eastAsia" w:ascii="新宋体" w:hAnsi="新宋体" w:eastAsia="新宋体"/>
                <w:color w:val="FF0000"/>
                <w:szCs w:val="21"/>
              </w:rPr>
              <w:t>合计（即：投标总价；币种：人民币；单位：元）：大写：</w:t>
            </w:r>
          </w:p>
        </w:tc>
      </w:tr>
    </w:tbl>
    <w:p w14:paraId="5FE66E3F">
      <w:pPr>
        <w:spacing w:line="360" w:lineRule="auto"/>
        <w:rPr>
          <w:rFonts w:ascii="新宋体" w:hAnsi="新宋体" w:eastAsia="新宋体"/>
          <w:bCs/>
          <w:szCs w:val="21"/>
        </w:rPr>
      </w:pPr>
      <w:r>
        <w:rPr>
          <w:rFonts w:hint="eastAsia" w:ascii="新宋体" w:hAnsi="新宋体" w:eastAsia="新宋体"/>
          <w:bCs/>
          <w:szCs w:val="21"/>
        </w:rPr>
        <w:t xml:space="preserve">投标人：（公章）                       </w:t>
      </w:r>
    </w:p>
    <w:p w14:paraId="4F86C260">
      <w:pPr>
        <w:spacing w:line="360" w:lineRule="auto"/>
        <w:rPr>
          <w:rFonts w:ascii="新宋体" w:hAnsi="新宋体" w:eastAsia="新宋体"/>
          <w:bCs/>
          <w:szCs w:val="21"/>
        </w:rPr>
      </w:pPr>
      <w:r>
        <w:rPr>
          <w:rFonts w:hint="eastAsia" w:ascii="新宋体" w:hAnsi="新宋体" w:eastAsia="新宋体"/>
          <w:bCs/>
          <w:szCs w:val="21"/>
        </w:rPr>
        <w:t>法定代表人或其委托代理人：（盖章或签字）</w:t>
      </w:r>
    </w:p>
    <w:p w14:paraId="6388EBBF">
      <w:pPr>
        <w:spacing w:line="360" w:lineRule="auto"/>
        <w:rPr>
          <w:rFonts w:ascii="新宋体" w:hAnsi="新宋体" w:eastAsia="新宋体" w:cstheme="minorBidi"/>
          <w:szCs w:val="21"/>
        </w:rPr>
      </w:pPr>
      <w:r>
        <w:rPr>
          <w:rFonts w:hint="eastAsia" w:ascii="新宋体" w:hAnsi="新宋体" w:eastAsia="新宋体" w:cstheme="minorBidi"/>
          <w:bCs/>
          <w:szCs w:val="21"/>
        </w:rPr>
        <w:t>日期：   年   月   日</w:t>
      </w:r>
    </w:p>
    <w:p w14:paraId="3067D1E3">
      <w:pPr>
        <w:spacing w:line="360" w:lineRule="auto"/>
        <w:rPr>
          <w:rFonts w:ascii="新宋体" w:hAnsi="新宋体" w:eastAsia="新宋体" w:cstheme="minorBidi"/>
          <w:szCs w:val="21"/>
        </w:rPr>
      </w:pPr>
      <w:r>
        <w:rPr>
          <w:rFonts w:hint="eastAsia" w:ascii="新宋体" w:hAnsi="新宋体" w:eastAsia="新宋体" w:cstheme="minorBidi"/>
          <w:szCs w:val="21"/>
        </w:rPr>
        <w:t>注：1. 请根据“第二章 项目要求” “二、货物清单”填写；本表格式不得修改。</w:t>
      </w:r>
    </w:p>
    <w:p w14:paraId="2287968A">
      <w:pPr>
        <w:spacing w:line="360" w:lineRule="auto"/>
        <w:rPr>
          <w:rFonts w:ascii="新宋体" w:hAnsi="新宋体" w:eastAsia="新宋体" w:cstheme="minorBidi"/>
          <w:szCs w:val="21"/>
        </w:rPr>
      </w:pPr>
      <w:r>
        <w:rPr>
          <w:rFonts w:ascii="新宋体" w:hAnsi="新宋体" w:eastAsia="新宋体" w:cstheme="minorBidi"/>
          <w:szCs w:val="21"/>
        </w:rPr>
        <w:t>2</w:t>
      </w:r>
      <w:r>
        <w:rPr>
          <w:rFonts w:hint="eastAsia" w:ascii="新宋体" w:hAnsi="新宋体" w:eastAsia="新宋体" w:cstheme="minorBidi"/>
          <w:szCs w:val="21"/>
        </w:rPr>
        <w:t>. 所有价格应按“招标文件”中规定的货币单位填写；投标总价应为以上各分项价格之和；投标总价和项目报价表中单个采购预算条目报价均不得超过对应的财政预算限额，否则将导致无效投标。</w:t>
      </w:r>
    </w:p>
    <w:p w14:paraId="5E44B68F">
      <w:pPr>
        <w:spacing w:line="360" w:lineRule="auto"/>
        <w:rPr>
          <w:rFonts w:ascii="新宋体" w:hAnsi="新宋体" w:eastAsia="新宋体" w:cstheme="minorBidi"/>
          <w:szCs w:val="21"/>
        </w:rPr>
      </w:pPr>
      <w:r>
        <w:rPr>
          <w:rFonts w:hint="eastAsia" w:ascii="新宋体" w:hAnsi="新宋体" w:eastAsia="新宋体" w:cstheme="minorBidi"/>
          <w:szCs w:val="21"/>
        </w:rPr>
        <w:t>3.单价、合价和投标总价为包干价，即三者均应包含设备的价款、包装、运输、装卸、安装、调试、技术指导、培训、咨询、服务、保险、税费、检测、验收合格交付使用之前以及技术和售后服务等其他各项有关费用。</w:t>
      </w:r>
    </w:p>
    <w:p w14:paraId="006D9E91">
      <w:pPr>
        <w:spacing w:line="360" w:lineRule="auto"/>
        <w:rPr>
          <w:rFonts w:ascii="新宋体" w:hAnsi="新宋体" w:eastAsia="新宋体" w:cstheme="minorBidi"/>
          <w:szCs w:val="21"/>
        </w:rPr>
      </w:pPr>
      <w:r>
        <w:rPr>
          <w:rFonts w:hint="eastAsia" w:ascii="新宋体" w:hAnsi="新宋体" w:eastAsia="新宋体" w:cstheme="minorBidi"/>
          <w:szCs w:val="21"/>
        </w:rPr>
        <w:t>4.开标一览表的投标总价应当与项目报价表的投标总价一致。</w:t>
      </w:r>
    </w:p>
    <w:p w14:paraId="09A6F96D">
      <w:pPr>
        <w:spacing w:line="360" w:lineRule="auto"/>
        <w:rPr>
          <w:rFonts w:ascii="新宋体" w:hAnsi="新宋体" w:eastAsia="新宋体" w:cstheme="minorBidi"/>
          <w:szCs w:val="21"/>
        </w:rPr>
      </w:pPr>
      <w:r>
        <w:rPr>
          <w:rFonts w:hint="eastAsia" w:ascii="新宋体" w:hAnsi="新宋体" w:eastAsia="新宋体" w:cstheme="minorBidi"/>
          <w:szCs w:val="21"/>
        </w:rPr>
        <w:t>5.“原产地”是指该产品的实际生产加工地，而非品牌总公司所在地。</w:t>
      </w:r>
    </w:p>
    <w:p w14:paraId="02A73DB7">
      <w:pPr>
        <w:spacing w:line="360" w:lineRule="auto"/>
        <w:rPr>
          <w:rFonts w:ascii="新宋体" w:hAnsi="新宋体" w:eastAsia="新宋体" w:cstheme="minorBidi"/>
          <w:szCs w:val="21"/>
        </w:rPr>
      </w:pPr>
      <w:r>
        <w:rPr>
          <w:rFonts w:hint="eastAsia" w:ascii="新宋体" w:hAnsi="新宋体" w:eastAsia="新宋体" w:cstheme="minorBidi"/>
          <w:szCs w:val="21"/>
        </w:rPr>
        <w:t>6. 详细填写所投货物的制造商名称；若如所投产品属于定制类的非量产货物或无具体型号的货物，可以不填写型号等信息，但应当标注投标产品为定制产品。</w:t>
      </w:r>
    </w:p>
    <w:p w14:paraId="0E555C99">
      <w:pPr>
        <w:numPr>
          <w:ilvl w:val="0"/>
          <w:numId w:val="15"/>
        </w:numPr>
        <w:spacing w:line="360" w:lineRule="auto"/>
        <w:jc w:val="left"/>
        <w:rPr>
          <w:rFonts w:ascii="新宋体" w:hAnsi="新宋体" w:eastAsia="新宋体"/>
        </w:rPr>
      </w:pPr>
      <w:r>
        <w:rPr>
          <w:rFonts w:hint="eastAsia" w:ascii="新宋体" w:hAnsi="新宋体" w:eastAsia="新宋体"/>
          <w:b/>
          <w:kern w:val="0"/>
          <w:szCs w:val="21"/>
        </w:rPr>
        <w:t>核心产品的品牌情况</w:t>
      </w:r>
    </w:p>
    <w:p w14:paraId="313942D5">
      <w:pPr>
        <w:spacing w:line="360" w:lineRule="auto"/>
        <w:rPr>
          <w:rFonts w:ascii="新宋体" w:hAnsi="新宋体" w:eastAsia="新宋体"/>
          <w:color w:val="FF0000"/>
        </w:rPr>
      </w:pPr>
      <w:r>
        <w:rPr>
          <w:rFonts w:hint="eastAsia" w:ascii="新宋体" w:hAnsi="新宋体" w:eastAsia="新宋体"/>
          <w:color w:val="FF0000"/>
        </w:rPr>
        <w:t>我公司所投核心产品的品牌为：。</w:t>
      </w:r>
    </w:p>
    <w:p w14:paraId="5ED4B8EB">
      <w:pPr>
        <w:spacing w:line="360" w:lineRule="auto"/>
        <w:rPr>
          <w:rFonts w:ascii="新宋体" w:hAnsi="新宋体" w:eastAsia="新宋体"/>
        </w:rPr>
      </w:pPr>
      <w:r>
        <w:rPr>
          <w:rFonts w:hint="eastAsia" w:ascii="新宋体" w:hAnsi="新宋体" w:eastAsia="新宋体"/>
        </w:rPr>
        <w:t>备注：招标文件未列明核心产品的，无需填写该项。</w:t>
      </w:r>
    </w:p>
    <w:p w14:paraId="2CD0F857">
      <w:pPr>
        <w:numPr>
          <w:ilvl w:val="0"/>
          <w:numId w:val="15"/>
        </w:numPr>
        <w:spacing w:line="360" w:lineRule="auto"/>
        <w:jc w:val="left"/>
        <w:rPr>
          <w:rFonts w:ascii="新宋体" w:hAnsi="新宋体" w:eastAsia="新宋体"/>
          <w:b/>
          <w:kern w:val="0"/>
          <w:szCs w:val="21"/>
        </w:rPr>
      </w:pPr>
      <w:r>
        <w:rPr>
          <w:rFonts w:hint="eastAsia" w:ascii="新宋体" w:hAnsi="新宋体" w:eastAsia="新宋体"/>
          <w:b/>
          <w:kern w:val="0"/>
          <w:szCs w:val="21"/>
        </w:rPr>
        <w:t>可选配件报价清单（不包括在总报价内）</w:t>
      </w:r>
    </w:p>
    <w:p w14:paraId="7C6CD8FF">
      <w:pPr>
        <w:spacing w:line="360" w:lineRule="auto"/>
      </w:pPr>
      <w:r>
        <w:rPr>
          <w:rFonts w:hint="eastAsia"/>
        </w:rPr>
        <w:t>注：格式参照《（一）项目报价表》表格，但须提供相应的品牌（没有品牌的，可提供制造商名称）、规格型号、原产地、单价等详细信息</w:t>
      </w:r>
    </w:p>
    <w:p w14:paraId="48704B79">
      <w:pPr>
        <w:numPr>
          <w:ilvl w:val="0"/>
          <w:numId w:val="15"/>
        </w:numPr>
        <w:spacing w:line="360" w:lineRule="auto"/>
        <w:jc w:val="left"/>
        <w:rPr>
          <w:rFonts w:ascii="新宋体" w:hAnsi="新宋体" w:eastAsia="新宋体"/>
          <w:b/>
          <w:kern w:val="0"/>
          <w:szCs w:val="21"/>
        </w:rPr>
      </w:pPr>
      <w:r>
        <w:rPr>
          <w:rFonts w:hint="eastAsia" w:ascii="新宋体" w:hAnsi="新宋体" w:eastAsia="新宋体"/>
          <w:b/>
          <w:kern w:val="0"/>
          <w:szCs w:val="21"/>
        </w:rPr>
        <w:t>供应商认为需要涉及的其他内容报价清单</w:t>
      </w:r>
    </w:p>
    <w:p w14:paraId="7A6590DE">
      <w:pPr>
        <w:numPr>
          <w:ilvl w:val="0"/>
          <w:numId w:val="15"/>
        </w:numPr>
        <w:spacing w:line="360" w:lineRule="auto"/>
        <w:jc w:val="left"/>
        <w:rPr>
          <w:rFonts w:ascii="新宋体" w:hAnsi="新宋体" w:eastAsia="新宋体"/>
          <w:b/>
          <w:kern w:val="0"/>
          <w:szCs w:val="21"/>
        </w:rPr>
      </w:pPr>
      <w:r>
        <w:rPr>
          <w:rFonts w:hint="eastAsia" w:ascii="新宋体" w:hAnsi="新宋体" w:eastAsia="新宋体"/>
          <w:b/>
          <w:kern w:val="0"/>
          <w:szCs w:val="21"/>
        </w:rPr>
        <w:t>开标一览表</w:t>
      </w:r>
    </w:p>
    <w:p w14:paraId="024DF599">
      <w:pPr>
        <w:adjustRightInd w:val="0"/>
        <w:snapToGrid w:val="0"/>
        <w:spacing w:line="360" w:lineRule="auto"/>
        <w:rPr>
          <w:rFonts w:ascii="新宋体" w:hAnsi="新宋体" w:eastAsia="新宋体" w:cs="宋体"/>
          <w:szCs w:val="21"/>
        </w:rPr>
      </w:pPr>
      <w:r>
        <w:rPr>
          <w:rFonts w:hint="eastAsia" w:ascii="新宋体" w:hAnsi="新宋体" w:eastAsia="新宋体" w:cs="宋体"/>
          <w:szCs w:val="21"/>
        </w:rPr>
        <w:t>深圳市瑞凝信招标</w:t>
      </w:r>
      <w:r>
        <w:rPr>
          <w:rFonts w:ascii="新宋体" w:hAnsi="新宋体" w:eastAsia="新宋体" w:cs="宋体"/>
          <w:szCs w:val="21"/>
        </w:rPr>
        <w:t>咨询有限</w:t>
      </w:r>
      <w:r>
        <w:rPr>
          <w:rFonts w:hint="eastAsia" w:ascii="新宋体" w:hAnsi="新宋体" w:eastAsia="新宋体" w:cs="宋体"/>
          <w:szCs w:val="21"/>
        </w:rPr>
        <w:t>公司：</w:t>
      </w:r>
    </w:p>
    <w:p w14:paraId="7725B001">
      <w:pPr>
        <w:adjustRightInd w:val="0"/>
        <w:snapToGrid w:val="0"/>
        <w:spacing w:line="360" w:lineRule="auto"/>
        <w:ind w:firstLine="420" w:firstLineChars="200"/>
        <w:rPr>
          <w:rFonts w:ascii="新宋体" w:hAnsi="新宋体" w:eastAsia="新宋体" w:cs="宋体"/>
          <w:szCs w:val="21"/>
        </w:rPr>
      </w:pPr>
      <w:r>
        <w:rPr>
          <w:rFonts w:hint="eastAsia" w:ascii="新宋体" w:hAnsi="新宋体" w:eastAsia="新宋体" w:cs="宋体"/>
          <w:szCs w:val="21"/>
        </w:rPr>
        <w:t>在研究招标文件中所有文件和合同条件、技术资料后，我们对</w:t>
      </w:r>
      <w:r>
        <w:rPr>
          <w:rFonts w:ascii="新宋体" w:hAnsi="新宋体" w:eastAsia="新宋体" w:cs="宋体"/>
          <w:b/>
          <w:bCs/>
          <w:szCs w:val="21"/>
        </w:rPr>
        <w:t>____</w:t>
      </w:r>
      <w:r>
        <w:rPr>
          <w:rFonts w:hint="eastAsia" w:ascii="新宋体" w:hAnsi="新宋体" w:eastAsia="新宋体" w:cs="宋体"/>
          <w:szCs w:val="21"/>
        </w:rPr>
        <w:t>项目（招标编号</w:t>
      </w:r>
      <w:r>
        <w:rPr>
          <w:rFonts w:hint="eastAsia" w:ascii="新宋体" w:hAnsi="新宋体" w:eastAsia="新宋体" w:cs="宋体"/>
          <w:b/>
          <w:bCs/>
          <w:szCs w:val="21"/>
        </w:rPr>
        <w:t>：</w:t>
      </w:r>
      <w:r>
        <w:rPr>
          <w:rFonts w:ascii="新宋体" w:hAnsi="新宋体" w:eastAsia="新宋体" w:cs="宋体"/>
          <w:szCs w:val="21"/>
        </w:rPr>
        <w:t>_____</w:t>
      </w:r>
      <w:r>
        <w:rPr>
          <w:rFonts w:hint="eastAsia" w:ascii="新宋体" w:hAnsi="新宋体" w:eastAsia="新宋体" w:cs="宋体"/>
          <w:szCs w:val="21"/>
        </w:rPr>
        <w:t>）投标报价如下：</w:t>
      </w:r>
    </w:p>
    <w:tbl>
      <w:tblPr>
        <w:tblStyle w:val="43"/>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3"/>
        <w:gridCol w:w="1229"/>
        <w:gridCol w:w="2271"/>
        <w:gridCol w:w="2123"/>
      </w:tblGrid>
      <w:tr w14:paraId="7733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323" w:type="dxa"/>
            <w:vAlign w:val="center"/>
          </w:tcPr>
          <w:p w14:paraId="0507451B">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highlight w:val="yellow"/>
              </w:rPr>
            </w:pPr>
            <w:r>
              <w:rPr>
                <w:rFonts w:hint="eastAsia" w:ascii="新宋体" w:hAnsi="新宋体" w:eastAsia="新宋体" w:cs="宋体"/>
                <w:szCs w:val="21"/>
              </w:rPr>
              <w:t>项目名称</w:t>
            </w:r>
          </w:p>
        </w:tc>
        <w:tc>
          <w:tcPr>
            <w:tcW w:w="1229" w:type="dxa"/>
            <w:vAlign w:val="center"/>
          </w:tcPr>
          <w:p w14:paraId="65DCAAED">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rPr>
            </w:pPr>
            <w:r>
              <w:rPr>
                <w:rFonts w:hint="eastAsia" w:ascii="新宋体" w:hAnsi="新宋体" w:eastAsia="新宋体" w:cs="宋体"/>
                <w:szCs w:val="21"/>
              </w:rPr>
              <w:t>数量</w:t>
            </w:r>
          </w:p>
        </w:tc>
        <w:tc>
          <w:tcPr>
            <w:tcW w:w="2271" w:type="dxa"/>
            <w:vAlign w:val="center"/>
          </w:tcPr>
          <w:p w14:paraId="3E9F3DA0">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rPr>
            </w:pPr>
            <w:r>
              <w:rPr>
                <w:rFonts w:hint="eastAsia" w:ascii="新宋体" w:hAnsi="新宋体" w:eastAsia="新宋体" w:cs="宋体"/>
                <w:szCs w:val="21"/>
              </w:rPr>
              <w:t>交货期</w:t>
            </w:r>
          </w:p>
        </w:tc>
        <w:tc>
          <w:tcPr>
            <w:tcW w:w="2123" w:type="dxa"/>
            <w:vAlign w:val="center"/>
          </w:tcPr>
          <w:p w14:paraId="6834421C">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rPr>
            </w:pPr>
            <w:r>
              <w:rPr>
                <w:rFonts w:hint="eastAsia" w:ascii="新宋体" w:hAnsi="新宋体" w:eastAsia="新宋体" w:cs="宋体"/>
                <w:szCs w:val="21"/>
              </w:rPr>
              <w:t>备注</w:t>
            </w:r>
          </w:p>
        </w:tc>
      </w:tr>
      <w:tr w14:paraId="2F2B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3323" w:type="dxa"/>
          </w:tcPr>
          <w:p w14:paraId="46164BAC">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highlight w:val="yellow"/>
              </w:rPr>
            </w:pPr>
          </w:p>
        </w:tc>
        <w:tc>
          <w:tcPr>
            <w:tcW w:w="1229" w:type="dxa"/>
            <w:vAlign w:val="center"/>
          </w:tcPr>
          <w:p w14:paraId="16B13382">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hAnsi="新宋体" w:eastAsia="新宋体" w:cs="宋体"/>
                <w:szCs w:val="21"/>
              </w:rPr>
            </w:pPr>
            <w:r>
              <w:rPr>
                <w:rFonts w:hint="eastAsia" w:ascii="新宋体" w:hAnsi="新宋体" w:eastAsia="新宋体" w:cs="宋体"/>
                <w:szCs w:val="21"/>
              </w:rPr>
              <w:t>1项</w:t>
            </w:r>
          </w:p>
        </w:tc>
        <w:tc>
          <w:tcPr>
            <w:tcW w:w="2271" w:type="dxa"/>
            <w:vAlign w:val="center"/>
          </w:tcPr>
          <w:p w14:paraId="50015944">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hAnsi="新宋体" w:eastAsia="新宋体" w:cs="宋体"/>
                <w:szCs w:val="21"/>
              </w:rPr>
            </w:pPr>
          </w:p>
        </w:tc>
        <w:tc>
          <w:tcPr>
            <w:tcW w:w="2123" w:type="dxa"/>
          </w:tcPr>
          <w:p w14:paraId="2B8A901B">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hAnsi="新宋体" w:eastAsia="新宋体" w:cs="宋体"/>
                <w:szCs w:val="21"/>
              </w:rPr>
            </w:pPr>
          </w:p>
        </w:tc>
      </w:tr>
      <w:tr w14:paraId="1590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946" w:type="dxa"/>
            <w:gridSpan w:val="4"/>
            <w:vAlign w:val="center"/>
          </w:tcPr>
          <w:p w14:paraId="7232C7FB">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hAnsi="新宋体" w:eastAsia="新宋体" w:cs="宋体"/>
                <w:szCs w:val="21"/>
              </w:rPr>
            </w:pPr>
            <w:r>
              <w:rPr>
                <w:rFonts w:hint="eastAsia" w:ascii="新宋体" w:hAnsi="新宋体" w:eastAsia="新宋体" w:cs="宋体"/>
                <w:b/>
                <w:szCs w:val="21"/>
                <w:lang w:val="zh-CN"/>
              </w:rPr>
              <w:t>投标总金额（元）</w:t>
            </w:r>
            <w:r>
              <w:rPr>
                <w:rFonts w:hint="eastAsia" w:ascii="新宋体" w:hAnsi="新宋体" w:eastAsia="新宋体" w:cs="宋体"/>
                <w:szCs w:val="21"/>
              </w:rPr>
              <w:t>小 写：大 写：</w:t>
            </w:r>
          </w:p>
        </w:tc>
      </w:tr>
    </w:tbl>
    <w:p w14:paraId="52D24B6F">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hAnsi="新宋体" w:eastAsia="新宋体" w:cs="宋体"/>
          <w:szCs w:val="21"/>
          <w:lang w:val="zh-CN"/>
        </w:rPr>
      </w:pPr>
      <w:r>
        <w:rPr>
          <w:rFonts w:hint="eastAsia" w:ascii="新宋体" w:hAnsi="新宋体" w:eastAsia="新宋体"/>
          <w:szCs w:val="21"/>
        </w:rPr>
        <w:t>注：此表按第二册投标</w:t>
      </w:r>
      <w:r>
        <w:rPr>
          <w:rFonts w:ascii="新宋体" w:hAnsi="新宋体" w:eastAsia="新宋体"/>
          <w:szCs w:val="21"/>
        </w:rPr>
        <w:t>文件制作要求</w:t>
      </w:r>
      <w:r>
        <w:rPr>
          <w:rFonts w:hint="eastAsia" w:ascii="新宋体" w:hAnsi="新宋体" w:eastAsia="新宋体"/>
          <w:szCs w:val="21"/>
        </w:rPr>
        <w:t>密封。</w:t>
      </w:r>
    </w:p>
    <w:p w14:paraId="37DF11FF">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hAnsi="新宋体" w:eastAsia="新宋体" w:cs="宋体"/>
          <w:szCs w:val="21"/>
          <w:lang w:val="zh-CN"/>
        </w:rPr>
      </w:pPr>
      <w:r>
        <w:rPr>
          <w:rFonts w:ascii="新宋体" w:hAnsi="新宋体" w:eastAsia="新宋体" w:cs="宋体"/>
          <w:szCs w:val="21"/>
          <w:lang w:val="zh-CN"/>
        </w:rPr>
        <w:t>1</w:t>
      </w:r>
      <w:r>
        <w:rPr>
          <w:rFonts w:hint="eastAsia" w:ascii="新宋体" w:hAnsi="新宋体" w:eastAsia="新宋体"/>
          <w:szCs w:val="21"/>
        </w:rPr>
        <w:t>．</w:t>
      </w:r>
      <w:r>
        <w:rPr>
          <w:rFonts w:hint="eastAsia" w:ascii="新宋体" w:hAnsi="新宋体" w:eastAsia="新宋体" w:cs="宋体"/>
          <w:szCs w:val="21"/>
          <w:lang w:val="zh-CN"/>
        </w:rPr>
        <w:t>“</w:t>
      </w:r>
      <w:r>
        <w:rPr>
          <w:rFonts w:hint="eastAsia" w:ascii="新宋体" w:hAnsi="新宋体" w:eastAsia="新宋体" w:cs="宋体"/>
          <w:szCs w:val="21"/>
        </w:rPr>
        <w:t>交货期</w:t>
      </w:r>
      <w:r>
        <w:rPr>
          <w:rFonts w:hint="eastAsia" w:ascii="新宋体" w:hAnsi="新宋体" w:eastAsia="新宋体" w:cs="宋体"/>
          <w:szCs w:val="21"/>
          <w:lang w:val="zh-CN"/>
        </w:rPr>
        <w:t>”指合同生效之日计起，多少天内完成合同全部工作；</w:t>
      </w:r>
    </w:p>
    <w:p w14:paraId="2FC61F3F">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hAnsi="新宋体" w:eastAsia="新宋体" w:cs="宋体"/>
          <w:szCs w:val="21"/>
          <w:lang w:val="zh-CN"/>
        </w:rPr>
      </w:pPr>
      <w:r>
        <w:rPr>
          <w:rFonts w:ascii="新宋体" w:hAnsi="新宋体" w:eastAsia="新宋体" w:cs="宋体"/>
          <w:szCs w:val="21"/>
          <w:lang w:val="zh-CN"/>
        </w:rPr>
        <w:t>2</w:t>
      </w:r>
      <w:r>
        <w:rPr>
          <w:rFonts w:hint="eastAsia" w:ascii="新宋体" w:hAnsi="新宋体" w:eastAsia="新宋体"/>
          <w:szCs w:val="21"/>
        </w:rPr>
        <w:t>．</w:t>
      </w:r>
      <w:r>
        <w:rPr>
          <w:rFonts w:hint="eastAsia" w:ascii="新宋体" w:hAnsi="新宋体" w:eastAsia="新宋体" w:cs="宋体"/>
          <w:szCs w:val="21"/>
          <w:lang w:val="zh-CN"/>
        </w:rPr>
        <w:t>投标人如果需要对报价或其它内容加以说明，可在备注栏填写；</w:t>
      </w:r>
      <w:r>
        <w:rPr>
          <w:rFonts w:hint="eastAsia" w:ascii="新宋体" w:hAnsi="新宋体" w:eastAsia="新宋体" w:cs="宋体"/>
          <w:kern w:val="0"/>
          <w:szCs w:val="21"/>
        </w:rPr>
        <w:t>投标报价的小数点后保留两位有效数。除招标文件另有规定外，投标文件内不得含有任何对本报价进行价格折扣的说明或资料，否则为无效投标。</w:t>
      </w:r>
    </w:p>
    <w:p w14:paraId="3CFD5C19">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hAnsi="新宋体" w:eastAsia="新宋体" w:cs="宋体"/>
          <w:b/>
          <w:bCs/>
          <w:szCs w:val="21"/>
        </w:rPr>
      </w:pPr>
      <w:r>
        <w:rPr>
          <w:rFonts w:hint="eastAsia" w:ascii="新宋体" w:hAnsi="新宋体" w:eastAsia="新宋体" w:cs="宋体"/>
          <w:szCs w:val="21"/>
          <w:lang w:val="zh-CN"/>
        </w:rPr>
        <w:t>3</w:t>
      </w:r>
      <w:r>
        <w:rPr>
          <w:rFonts w:hint="eastAsia" w:ascii="新宋体" w:hAnsi="新宋体" w:eastAsia="新宋体"/>
          <w:szCs w:val="21"/>
        </w:rPr>
        <w:t>．</w:t>
      </w:r>
      <w:r>
        <w:rPr>
          <w:rFonts w:hint="eastAsia" w:ascii="新宋体" w:hAnsi="新宋体" w:eastAsia="新宋体" w:cs="宋体"/>
          <w:szCs w:val="21"/>
          <w:lang w:val="zh-CN"/>
        </w:rPr>
        <w:t>不得填报有选择性的报价方案。如有优惠折扣声明，应在“备注”栏中列出，最终以优惠后的“投标总金额”填报，并以此为准。</w:t>
      </w:r>
    </w:p>
    <w:p w14:paraId="403BFCFC">
      <w:pPr>
        <w:spacing w:line="360" w:lineRule="auto"/>
        <w:rPr>
          <w:rFonts w:ascii="新宋体" w:hAnsi="新宋体" w:eastAsia="新宋体"/>
          <w:szCs w:val="21"/>
        </w:rPr>
      </w:pPr>
      <w:r>
        <w:rPr>
          <w:rFonts w:hint="eastAsia" w:ascii="新宋体" w:hAnsi="新宋体" w:eastAsia="新宋体"/>
          <w:szCs w:val="21"/>
        </w:rPr>
        <w:t>投标人名称</w:t>
      </w:r>
      <w:r>
        <w:rPr>
          <w:rFonts w:ascii="新宋体" w:hAnsi="新宋体" w:eastAsia="新宋体"/>
          <w:szCs w:val="21"/>
        </w:rPr>
        <w:t>(</w:t>
      </w:r>
      <w:r>
        <w:rPr>
          <w:rFonts w:hint="eastAsia" w:ascii="新宋体" w:hAnsi="新宋体" w:eastAsia="新宋体"/>
          <w:szCs w:val="21"/>
        </w:rPr>
        <w:t>公章</w:t>
      </w:r>
      <w:r>
        <w:rPr>
          <w:rFonts w:ascii="新宋体" w:hAnsi="新宋体" w:eastAsia="新宋体"/>
          <w:szCs w:val="21"/>
        </w:rPr>
        <w:t>)</w:t>
      </w:r>
      <w:r>
        <w:rPr>
          <w:rFonts w:hint="eastAsia" w:ascii="新宋体" w:hAnsi="新宋体" w:eastAsia="新宋体"/>
          <w:szCs w:val="21"/>
        </w:rPr>
        <w:t>：</w:t>
      </w:r>
      <w:r>
        <w:rPr>
          <w:rFonts w:ascii="新宋体" w:hAnsi="新宋体" w:eastAsia="新宋体"/>
          <w:szCs w:val="21"/>
        </w:rPr>
        <w:t>____________________</w:t>
      </w:r>
    </w:p>
    <w:p w14:paraId="0BDCF384">
      <w:pPr>
        <w:spacing w:line="360" w:lineRule="auto"/>
        <w:rPr>
          <w:rFonts w:ascii="新宋体" w:hAnsi="新宋体" w:eastAsia="新宋体"/>
          <w:szCs w:val="21"/>
        </w:rPr>
      </w:pPr>
      <w:r>
        <w:rPr>
          <w:rFonts w:hint="eastAsia" w:ascii="新宋体" w:hAnsi="新宋体" w:eastAsia="新宋体"/>
          <w:szCs w:val="21"/>
        </w:rPr>
        <w:t>法定代表人或其授权代表签字：</w:t>
      </w:r>
      <w:r>
        <w:rPr>
          <w:rFonts w:ascii="新宋体" w:hAnsi="新宋体" w:eastAsia="新宋体"/>
          <w:szCs w:val="21"/>
        </w:rPr>
        <w:t>____________________</w:t>
      </w:r>
    </w:p>
    <w:p w14:paraId="1EA7E32B">
      <w:pPr>
        <w:spacing w:line="360" w:lineRule="auto"/>
        <w:rPr>
          <w:rFonts w:ascii="新宋体" w:hAnsi="新宋体" w:eastAsia="新宋体"/>
          <w:szCs w:val="21"/>
        </w:rPr>
      </w:pPr>
      <w:r>
        <w:rPr>
          <w:rFonts w:hint="eastAsia" w:ascii="新宋体" w:hAnsi="新宋体" w:eastAsia="新宋体"/>
          <w:szCs w:val="21"/>
        </w:rPr>
        <w:t>日期：</w:t>
      </w:r>
      <w:r>
        <w:rPr>
          <w:rFonts w:ascii="新宋体" w:hAnsi="新宋体" w:eastAsia="新宋体"/>
          <w:szCs w:val="21"/>
        </w:rPr>
        <w:t>______</w:t>
      </w:r>
      <w:r>
        <w:rPr>
          <w:rFonts w:hint="eastAsia" w:ascii="新宋体" w:hAnsi="新宋体" w:eastAsia="新宋体"/>
          <w:szCs w:val="21"/>
        </w:rPr>
        <w:t>年</w:t>
      </w:r>
      <w:r>
        <w:rPr>
          <w:rFonts w:ascii="新宋体" w:hAnsi="新宋体" w:eastAsia="新宋体"/>
          <w:szCs w:val="21"/>
        </w:rPr>
        <w:t>____</w:t>
      </w:r>
      <w:r>
        <w:rPr>
          <w:rFonts w:hint="eastAsia" w:ascii="新宋体" w:hAnsi="新宋体" w:eastAsia="新宋体"/>
          <w:szCs w:val="21"/>
        </w:rPr>
        <w:t>月</w:t>
      </w:r>
      <w:r>
        <w:rPr>
          <w:rFonts w:ascii="新宋体" w:hAnsi="新宋体" w:eastAsia="新宋体"/>
          <w:szCs w:val="21"/>
        </w:rPr>
        <w:t>____</w:t>
      </w:r>
      <w:r>
        <w:rPr>
          <w:rFonts w:hint="eastAsia" w:ascii="新宋体" w:hAnsi="新宋体" w:eastAsia="新宋体"/>
          <w:szCs w:val="21"/>
        </w:rPr>
        <w:t>日</w:t>
      </w:r>
    </w:p>
    <w:p w14:paraId="0C58DD31"/>
    <w:p w14:paraId="36627383"/>
    <w:p w14:paraId="5082FE49"/>
    <w:p w14:paraId="42853D8B"/>
    <w:p w14:paraId="08D9AA1A"/>
    <w:p w14:paraId="077CE147"/>
    <w:p w14:paraId="33A9575A"/>
    <w:p w14:paraId="1D181FA2"/>
    <w:p w14:paraId="65984A5C"/>
    <w:p w14:paraId="748E4CE3"/>
    <w:p w14:paraId="486E9817"/>
    <w:p w14:paraId="23F1BAA5"/>
    <w:p w14:paraId="136C9B38"/>
    <w:p w14:paraId="69B99A10"/>
    <w:p w14:paraId="08AEFD33"/>
    <w:p w14:paraId="3E268D54"/>
    <w:p w14:paraId="6DE7B826"/>
    <w:p w14:paraId="038C3910"/>
    <w:p w14:paraId="4AB85188"/>
    <w:p w14:paraId="28DE2AF2"/>
    <w:p w14:paraId="21BF2E04"/>
    <w:p w14:paraId="2FCC89A7"/>
    <w:p w14:paraId="42D81D16"/>
    <w:p w14:paraId="54E57BF9"/>
    <w:p w14:paraId="4394A8FA"/>
    <w:p w14:paraId="1EC55C89"/>
    <w:p w14:paraId="079430FC"/>
    <w:p w14:paraId="04D43BD9"/>
    <w:p w14:paraId="43F486C3"/>
    <w:p w14:paraId="5D8FBEEB">
      <w:pPr>
        <w:pStyle w:val="4"/>
        <w:jc w:val="center"/>
        <w:rPr>
          <w:rFonts w:ascii="新宋体" w:hAnsi="新宋体" w:eastAsia="新宋体"/>
          <w:kern w:val="44"/>
          <w:sz w:val="30"/>
          <w:szCs w:val="30"/>
        </w:rPr>
      </w:pPr>
      <w:r>
        <w:rPr>
          <w:rFonts w:hint="eastAsia" w:ascii="新宋体" w:hAnsi="新宋体" w:eastAsia="新宋体"/>
          <w:kern w:val="44"/>
          <w:sz w:val="30"/>
          <w:szCs w:val="30"/>
        </w:rPr>
        <w:t>五、投标人情况介绍</w:t>
      </w:r>
    </w:p>
    <w:p w14:paraId="1633BF0C">
      <w:pPr>
        <w:spacing w:line="360" w:lineRule="auto"/>
        <w:rPr>
          <w:rFonts w:ascii="新宋体" w:hAnsi="新宋体" w:eastAsia="新宋体" w:cstheme="minorBidi"/>
          <w:szCs w:val="21"/>
        </w:rPr>
      </w:pPr>
      <w:r>
        <w:rPr>
          <w:rFonts w:hint="eastAsia" w:asciiTheme="minorHAnsi" w:hAnsiTheme="minorHAnsi" w:eastAsiaTheme="minorEastAsia" w:cstheme="minorBidi"/>
          <w:sz w:val="24"/>
        </w:rPr>
        <w:t>（</w:t>
      </w:r>
      <w:r>
        <w:rPr>
          <w:rFonts w:hint="eastAsia" w:ascii="新宋体" w:hAnsi="新宋体" w:eastAsia="新宋体" w:cstheme="minorBidi"/>
          <w:szCs w:val="21"/>
        </w:rPr>
        <w:t>一）投标人资格证明文件</w:t>
      </w:r>
    </w:p>
    <w:p w14:paraId="6F0EB224">
      <w:pPr>
        <w:spacing w:line="360" w:lineRule="auto"/>
        <w:rPr>
          <w:rFonts w:ascii="新宋体" w:hAnsi="新宋体" w:eastAsia="新宋体" w:cstheme="minorBidi"/>
          <w:b/>
          <w:bCs/>
          <w:szCs w:val="21"/>
        </w:rPr>
      </w:pPr>
      <w:r>
        <w:rPr>
          <w:rFonts w:hint="eastAsia" w:ascii="新宋体" w:hAnsi="新宋体" w:eastAsia="新宋体" w:cstheme="minorBidi"/>
          <w:b/>
          <w:bCs/>
          <w:szCs w:val="21"/>
        </w:rPr>
        <w:t>1.（特别提示：投标人须按本采购文件第一章 “采购邀请函”提供相关的资格证明，未提供或提供不完整、不符合要求的，将作谈判应答无效处理。）</w:t>
      </w:r>
    </w:p>
    <w:p w14:paraId="16FF57DF">
      <w:pPr>
        <w:spacing w:line="360" w:lineRule="auto"/>
        <w:rPr>
          <w:rFonts w:ascii="新宋体" w:hAnsi="新宋体" w:eastAsia="新宋体" w:cstheme="minorBidi"/>
          <w:b/>
          <w:bCs/>
          <w:szCs w:val="21"/>
        </w:rPr>
      </w:pPr>
      <w:r>
        <w:rPr>
          <w:rFonts w:hint="eastAsia" w:ascii="新宋体" w:hAnsi="新宋体" w:eastAsia="新宋体" w:cstheme="minorBidi"/>
          <w:b/>
          <w:bCs/>
          <w:szCs w:val="21"/>
        </w:rPr>
        <w:t>2.</w:t>
      </w:r>
      <w:r>
        <w:rPr>
          <w:rFonts w:hint="eastAsia" w:ascii="方正小标宋简体" w:hAnsi="方正小标宋简体" w:eastAsia="方正小标宋简体" w:cs="方正小标宋简体"/>
          <w:snapToGrid w:val="0"/>
          <w:color w:val="000000"/>
          <w:spacing w:val="9"/>
          <w:kern w:val="0"/>
          <w:sz w:val="43"/>
          <w:szCs w:val="43"/>
        </w:rPr>
        <w:t xml:space="preserve"> </w:t>
      </w:r>
      <w:r>
        <w:rPr>
          <w:rFonts w:hint="eastAsia" w:ascii="新宋体" w:hAnsi="新宋体" w:eastAsia="新宋体" w:cstheme="minorBidi"/>
          <w:b/>
          <w:bCs/>
          <w:szCs w:val="21"/>
        </w:rPr>
        <w:t>供应商基本情况表</w:t>
      </w:r>
    </w:p>
    <w:p w14:paraId="0D7619CB">
      <w:pPr>
        <w:spacing w:line="360" w:lineRule="auto"/>
        <w:rPr>
          <w:rFonts w:ascii="新宋体" w:hAnsi="新宋体" w:eastAsia="新宋体" w:cstheme="minorBidi"/>
          <w:b/>
          <w:bCs/>
          <w:szCs w:val="21"/>
        </w:rPr>
      </w:pPr>
      <w:r>
        <w:rPr>
          <w:rFonts w:hint="eastAsia" w:ascii="新宋体" w:hAnsi="新宋体" w:eastAsia="新宋体" w:cstheme="minorBidi"/>
          <w:b/>
          <w:bCs/>
          <w:szCs w:val="21"/>
        </w:rPr>
        <w:t>填表单位：（加盖单位公章）          填表日期：   年    日</w:t>
      </w:r>
    </w:p>
    <w:tbl>
      <w:tblPr>
        <w:tblStyle w:val="43"/>
        <w:tblpPr w:leftFromText="180" w:rightFromText="180" w:vertAnchor="text" w:horzAnchor="page" w:tblpX="1341" w:tblpY="168"/>
        <w:tblOverlap w:val="never"/>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66"/>
        <w:gridCol w:w="702"/>
        <w:gridCol w:w="1664"/>
        <w:gridCol w:w="982"/>
        <w:gridCol w:w="819"/>
        <w:gridCol w:w="1246"/>
        <w:gridCol w:w="1554"/>
        <w:gridCol w:w="1550"/>
      </w:tblGrid>
      <w:tr w14:paraId="41BB7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3" w:hRule="atLeast"/>
        </w:trPr>
        <w:tc>
          <w:tcPr>
            <w:tcW w:w="791" w:type="pct"/>
            <w:gridSpan w:val="2"/>
            <w:vAlign w:val="center"/>
          </w:tcPr>
          <w:p w14:paraId="7DC99C5D">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采购人</w:t>
            </w:r>
          </w:p>
        </w:tc>
        <w:tc>
          <w:tcPr>
            <w:tcW w:w="1425" w:type="pct"/>
            <w:gridSpan w:val="2"/>
            <w:vAlign w:val="center"/>
          </w:tcPr>
          <w:p w14:paraId="162C0637">
            <w:pPr>
              <w:spacing w:line="360" w:lineRule="auto"/>
              <w:jc w:val="center"/>
              <w:rPr>
                <w:rFonts w:ascii="新宋体" w:hAnsi="新宋体" w:eastAsia="新宋体" w:cstheme="minorBidi"/>
                <w:b/>
                <w:bCs/>
                <w:szCs w:val="21"/>
              </w:rPr>
            </w:pPr>
          </w:p>
        </w:tc>
        <w:tc>
          <w:tcPr>
            <w:tcW w:w="1112" w:type="pct"/>
            <w:gridSpan w:val="2"/>
            <w:vAlign w:val="center"/>
          </w:tcPr>
          <w:p w14:paraId="27FAED06">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项目名称</w:t>
            </w:r>
          </w:p>
        </w:tc>
        <w:tc>
          <w:tcPr>
            <w:tcW w:w="1670" w:type="pct"/>
            <w:gridSpan w:val="2"/>
            <w:vAlign w:val="center"/>
          </w:tcPr>
          <w:p w14:paraId="043072F4">
            <w:pPr>
              <w:spacing w:line="360" w:lineRule="auto"/>
              <w:jc w:val="center"/>
              <w:rPr>
                <w:rFonts w:ascii="新宋体" w:hAnsi="新宋体" w:eastAsia="新宋体" w:cstheme="minorBidi"/>
                <w:b/>
                <w:bCs/>
                <w:szCs w:val="21"/>
              </w:rPr>
            </w:pPr>
          </w:p>
        </w:tc>
      </w:tr>
      <w:tr w14:paraId="2464D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06" w:hRule="atLeast"/>
        </w:trPr>
        <w:tc>
          <w:tcPr>
            <w:tcW w:w="791" w:type="pct"/>
            <w:gridSpan w:val="2"/>
            <w:vAlign w:val="center"/>
          </w:tcPr>
          <w:p w14:paraId="22187917">
            <w:pPr>
              <w:spacing w:line="360" w:lineRule="auto"/>
              <w:rPr>
                <w:rFonts w:ascii="新宋体" w:hAnsi="新宋体" w:eastAsia="新宋体" w:cstheme="minorBidi"/>
                <w:b/>
                <w:bCs/>
                <w:szCs w:val="21"/>
              </w:rPr>
            </w:pPr>
            <w:r>
              <w:rPr>
                <w:rFonts w:hint="eastAsia" w:ascii="新宋体" w:hAnsi="新宋体" w:eastAsia="新宋体" w:cstheme="minorBidi"/>
                <w:b/>
                <w:bCs/>
                <w:szCs w:val="21"/>
              </w:rPr>
              <w:t>投标（响  应）供应商</w:t>
            </w:r>
          </w:p>
        </w:tc>
        <w:tc>
          <w:tcPr>
            <w:tcW w:w="1425" w:type="pct"/>
            <w:gridSpan w:val="2"/>
            <w:vAlign w:val="center"/>
          </w:tcPr>
          <w:p w14:paraId="234EBA0C">
            <w:pPr>
              <w:spacing w:line="360" w:lineRule="auto"/>
              <w:rPr>
                <w:rFonts w:ascii="新宋体" w:hAnsi="新宋体" w:eastAsia="新宋体" w:cstheme="minorBidi"/>
                <w:b/>
                <w:bCs/>
                <w:szCs w:val="21"/>
              </w:rPr>
            </w:pPr>
          </w:p>
        </w:tc>
        <w:tc>
          <w:tcPr>
            <w:tcW w:w="1112" w:type="pct"/>
            <w:gridSpan w:val="2"/>
            <w:vAlign w:val="center"/>
          </w:tcPr>
          <w:p w14:paraId="20236B60">
            <w:pPr>
              <w:spacing w:line="360" w:lineRule="auto"/>
              <w:rPr>
                <w:rFonts w:ascii="新宋体" w:hAnsi="新宋体" w:eastAsia="新宋体" w:cstheme="minorBidi"/>
                <w:b/>
                <w:bCs/>
                <w:szCs w:val="21"/>
              </w:rPr>
            </w:pPr>
            <w:r>
              <w:rPr>
                <w:rFonts w:hint="eastAsia" w:ascii="新宋体" w:hAnsi="新宋体" w:eastAsia="新宋体" w:cstheme="minorBidi"/>
                <w:b/>
                <w:bCs/>
                <w:szCs w:val="21"/>
              </w:rPr>
              <w:t>供应商统一社会 信用代码</w:t>
            </w:r>
          </w:p>
        </w:tc>
        <w:tc>
          <w:tcPr>
            <w:tcW w:w="1670" w:type="pct"/>
            <w:gridSpan w:val="2"/>
            <w:vAlign w:val="center"/>
          </w:tcPr>
          <w:p w14:paraId="21CE003C">
            <w:pPr>
              <w:spacing w:line="360" w:lineRule="auto"/>
              <w:rPr>
                <w:rFonts w:ascii="新宋体" w:hAnsi="新宋体" w:eastAsia="新宋体" w:cstheme="minorBidi"/>
                <w:b/>
                <w:bCs/>
                <w:szCs w:val="21"/>
              </w:rPr>
            </w:pPr>
          </w:p>
        </w:tc>
      </w:tr>
      <w:tr w14:paraId="5EC4A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9" w:hRule="atLeast"/>
        </w:trPr>
        <w:tc>
          <w:tcPr>
            <w:tcW w:w="5000" w:type="pct"/>
            <w:gridSpan w:val="8"/>
          </w:tcPr>
          <w:p w14:paraId="1A1F4A24">
            <w:pPr>
              <w:spacing w:line="360" w:lineRule="auto"/>
              <w:rPr>
                <w:rFonts w:ascii="新宋体" w:hAnsi="新宋体" w:eastAsia="新宋体" w:cstheme="minorBidi"/>
                <w:b/>
                <w:bCs/>
                <w:szCs w:val="21"/>
              </w:rPr>
            </w:pPr>
            <w:r>
              <w:rPr>
                <w:rFonts w:hint="eastAsia" w:ascii="新宋体" w:hAnsi="新宋体" w:eastAsia="新宋体" w:cstheme="minorBidi"/>
                <w:b/>
                <w:bCs/>
                <w:szCs w:val="21"/>
              </w:rPr>
              <w:t>投标（响应）供应商相关人员情况</w:t>
            </w:r>
          </w:p>
        </w:tc>
      </w:tr>
      <w:tr w14:paraId="4F3E5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05" w:hRule="atLeast"/>
        </w:trPr>
        <w:tc>
          <w:tcPr>
            <w:tcW w:w="413" w:type="pct"/>
            <w:vAlign w:val="center"/>
          </w:tcPr>
          <w:p w14:paraId="76AC86C1">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序号</w:t>
            </w:r>
          </w:p>
        </w:tc>
        <w:tc>
          <w:tcPr>
            <w:tcW w:w="1274" w:type="pct"/>
            <w:gridSpan w:val="2"/>
            <w:vAlign w:val="center"/>
          </w:tcPr>
          <w:p w14:paraId="2E26022A">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职务</w:t>
            </w:r>
          </w:p>
        </w:tc>
        <w:tc>
          <w:tcPr>
            <w:tcW w:w="529" w:type="pct"/>
            <w:vAlign w:val="center"/>
          </w:tcPr>
          <w:p w14:paraId="3F8387D3">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姓名</w:t>
            </w:r>
          </w:p>
        </w:tc>
        <w:tc>
          <w:tcPr>
            <w:tcW w:w="1112" w:type="pct"/>
            <w:gridSpan w:val="2"/>
            <w:vAlign w:val="center"/>
          </w:tcPr>
          <w:p w14:paraId="50FA7653">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身份证号码</w:t>
            </w:r>
          </w:p>
        </w:tc>
        <w:tc>
          <w:tcPr>
            <w:tcW w:w="837" w:type="pct"/>
            <w:vAlign w:val="center"/>
          </w:tcPr>
          <w:p w14:paraId="79260E82">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劳动合同 关系单位</w:t>
            </w:r>
          </w:p>
        </w:tc>
        <w:tc>
          <w:tcPr>
            <w:tcW w:w="832" w:type="pct"/>
            <w:vAlign w:val="center"/>
          </w:tcPr>
          <w:p w14:paraId="150B3D19">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缴纳社会 保险单位</w:t>
            </w:r>
          </w:p>
        </w:tc>
      </w:tr>
      <w:tr w14:paraId="644B3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4" w:hRule="atLeast"/>
        </w:trPr>
        <w:tc>
          <w:tcPr>
            <w:tcW w:w="413" w:type="pct"/>
            <w:vAlign w:val="center"/>
          </w:tcPr>
          <w:p w14:paraId="257D8EFF">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1</w:t>
            </w:r>
          </w:p>
        </w:tc>
        <w:tc>
          <w:tcPr>
            <w:tcW w:w="1274" w:type="pct"/>
            <w:gridSpan w:val="2"/>
            <w:vAlign w:val="center"/>
          </w:tcPr>
          <w:p w14:paraId="5E040769">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法定代表人/单位负责人/主要经营负责人</w:t>
            </w:r>
          </w:p>
        </w:tc>
        <w:tc>
          <w:tcPr>
            <w:tcW w:w="529" w:type="pct"/>
            <w:vAlign w:val="center"/>
          </w:tcPr>
          <w:p w14:paraId="356761A9">
            <w:pPr>
              <w:spacing w:line="360" w:lineRule="auto"/>
              <w:jc w:val="center"/>
              <w:rPr>
                <w:rFonts w:ascii="新宋体" w:hAnsi="新宋体" w:eastAsia="新宋体" w:cstheme="minorBidi"/>
                <w:b/>
                <w:bCs/>
                <w:szCs w:val="21"/>
              </w:rPr>
            </w:pPr>
          </w:p>
        </w:tc>
        <w:tc>
          <w:tcPr>
            <w:tcW w:w="1112" w:type="pct"/>
            <w:gridSpan w:val="2"/>
            <w:vAlign w:val="center"/>
          </w:tcPr>
          <w:p w14:paraId="1D7B5434">
            <w:pPr>
              <w:spacing w:line="360" w:lineRule="auto"/>
              <w:jc w:val="center"/>
              <w:rPr>
                <w:rFonts w:ascii="新宋体" w:hAnsi="新宋体" w:eastAsia="新宋体" w:cstheme="minorBidi"/>
                <w:b/>
                <w:bCs/>
                <w:szCs w:val="21"/>
              </w:rPr>
            </w:pPr>
          </w:p>
        </w:tc>
        <w:tc>
          <w:tcPr>
            <w:tcW w:w="837" w:type="pct"/>
            <w:vAlign w:val="center"/>
          </w:tcPr>
          <w:p w14:paraId="29EA1D96">
            <w:pPr>
              <w:spacing w:line="360" w:lineRule="auto"/>
              <w:jc w:val="center"/>
              <w:rPr>
                <w:rFonts w:ascii="新宋体" w:hAnsi="新宋体" w:eastAsia="新宋体" w:cstheme="minorBidi"/>
                <w:b/>
                <w:bCs/>
                <w:szCs w:val="21"/>
              </w:rPr>
            </w:pPr>
          </w:p>
        </w:tc>
        <w:tc>
          <w:tcPr>
            <w:tcW w:w="832" w:type="pct"/>
            <w:vAlign w:val="center"/>
          </w:tcPr>
          <w:p w14:paraId="47DD8629">
            <w:pPr>
              <w:spacing w:line="360" w:lineRule="auto"/>
              <w:jc w:val="center"/>
              <w:rPr>
                <w:rFonts w:ascii="新宋体" w:hAnsi="新宋体" w:eastAsia="新宋体" w:cstheme="minorBidi"/>
                <w:b/>
                <w:bCs/>
                <w:szCs w:val="21"/>
              </w:rPr>
            </w:pPr>
          </w:p>
        </w:tc>
      </w:tr>
      <w:tr w14:paraId="2E424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9" w:hRule="atLeast"/>
        </w:trPr>
        <w:tc>
          <w:tcPr>
            <w:tcW w:w="413" w:type="pct"/>
            <w:vAlign w:val="center"/>
          </w:tcPr>
          <w:p w14:paraId="353D16CE">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2</w:t>
            </w:r>
          </w:p>
        </w:tc>
        <w:tc>
          <w:tcPr>
            <w:tcW w:w="1274" w:type="pct"/>
            <w:gridSpan w:val="2"/>
            <w:vAlign w:val="center"/>
          </w:tcPr>
          <w:p w14:paraId="7AB1CF9D">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项目投标授权代表人</w:t>
            </w:r>
          </w:p>
        </w:tc>
        <w:tc>
          <w:tcPr>
            <w:tcW w:w="529" w:type="pct"/>
            <w:vAlign w:val="center"/>
          </w:tcPr>
          <w:p w14:paraId="13AAA43E">
            <w:pPr>
              <w:spacing w:line="360" w:lineRule="auto"/>
              <w:jc w:val="center"/>
              <w:rPr>
                <w:rFonts w:ascii="新宋体" w:hAnsi="新宋体" w:eastAsia="新宋体" w:cstheme="minorBidi"/>
                <w:b/>
                <w:bCs/>
                <w:szCs w:val="21"/>
              </w:rPr>
            </w:pPr>
          </w:p>
        </w:tc>
        <w:tc>
          <w:tcPr>
            <w:tcW w:w="1112" w:type="pct"/>
            <w:gridSpan w:val="2"/>
            <w:vAlign w:val="center"/>
          </w:tcPr>
          <w:p w14:paraId="418C05DF">
            <w:pPr>
              <w:spacing w:line="360" w:lineRule="auto"/>
              <w:jc w:val="center"/>
              <w:rPr>
                <w:rFonts w:ascii="新宋体" w:hAnsi="新宋体" w:eastAsia="新宋体" w:cstheme="minorBidi"/>
                <w:b/>
                <w:bCs/>
                <w:szCs w:val="21"/>
              </w:rPr>
            </w:pPr>
          </w:p>
        </w:tc>
        <w:tc>
          <w:tcPr>
            <w:tcW w:w="837" w:type="pct"/>
            <w:vAlign w:val="center"/>
          </w:tcPr>
          <w:p w14:paraId="7733D2C6">
            <w:pPr>
              <w:spacing w:line="360" w:lineRule="auto"/>
              <w:jc w:val="center"/>
              <w:rPr>
                <w:rFonts w:ascii="新宋体" w:hAnsi="新宋体" w:eastAsia="新宋体" w:cstheme="minorBidi"/>
                <w:b/>
                <w:bCs/>
                <w:szCs w:val="21"/>
              </w:rPr>
            </w:pPr>
          </w:p>
        </w:tc>
        <w:tc>
          <w:tcPr>
            <w:tcW w:w="832" w:type="pct"/>
            <w:vAlign w:val="center"/>
          </w:tcPr>
          <w:p w14:paraId="5517FF7E">
            <w:pPr>
              <w:spacing w:line="360" w:lineRule="auto"/>
              <w:jc w:val="center"/>
              <w:rPr>
                <w:rFonts w:ascii="新宋体" w:hAnsi="新宋体" w:eastAsia="新宋体" w:cstheme="minorBidi"/>
                <w:b/>
                <w:bCs/>
                <w:szCs w:val="21"/>
              </w:rPr>
            </w:pPr>
          </w:p>
        </w:tc>
      </w:tr>
      <w:tr w14:paraId="059EE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9" w:hRule="atLeast"/>
        </w:trPr>
        <w:tc>
          <w:tcPr>
            <w:tcW w:w="413" w:type="pct"/>
            <w:vAlign w:val="center"/>
          </w:tcPr>
          <w:p w14:paraId="2FDC0250">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3</w:t>
            </w:r>
          </w:p>
        </w:tc>
        <w:tc>
          <w:tcPr>
            <w:tcW w:w="1274" w:type="pct"/>
            <w:gridSpan w:val="2"/>
            <w:vAlign w:val="center"/>
          </w:tcPr>
          <w:p w14:paraId="0410585C">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项目负责人</w:t>
            </w:r>
          </w:p>
        </w:tc>
        <w:tc>
          <w:tcPr>
            <w:tcW w:w="529" w:type="pct"/>
            <w:vAlign w:val="center"/>
          </w:tcPr>
          <w:p w14:paraId="49A3D376">
            <w:pPr>
              <w:spacing w:line="360" w:lineRule="auto"/>
              <w:jc w:val="center"/>
              <w:rPr>
                <w:rFonts w:ascii="新宋体" w:hAnsi="新宋体" w:eastAsia="新宋体" w:cstheme="minorBidi"/>
                <w:b/>
                <w:bCs/>
                <w:szCs w:val="21"/>
              </w:rPr>
            </w:pPr>
          </w:p>
        </w:tc>
        <w:tc>
          <w:tcPr>
            <w:tcW w:w="1112" w:type="pct"/>
            <w:gridSpan w:val="2"/>
            <w:vAlign w:val="center"/>
          </w:tcPr>
          <w:p w14:paraId="1761C8EE">
            <w:pPr>
              <w:spacing w:line="360" w:lineRule="auto"/>
              <w:jc w:val="center"/>
              <w:rPr>
                <w:rFonts w:ascii="新宋体" w:hAnsi="新宋体" w:eastAsia="新宋体" w:cstheme="minorBidi"/>
                <w:b/>
                <w:bCs/>
                <w:szCs w:val="21"/>
              </w:rPr>
            </w:pPr>
          </w:p>
        </w:tc>
        <w:tc>
          <w:tcPr>
            <w:tcW w:w="837" w:type="pct"/>
            <w:vAlign w:val="center"/>
          </w:tcPr>
          <w:p w14:paraId="0E953D64">
            <w:pPr>
              <w:spacing w:line="360" w:lineRule="auto"/>
              <w:jc w:val="center"/>
              <w:rPr>
                <w:rFonts w:ascii="新宋体" w:hAnsi="新宋体" w:eastAsia="新宋体" w:cstheme="minorBidi"/>
                <w:b/>
                <w:bCs/>
                <w:szCs w:val="21"/>
              </w:rPr>
            </w:pPr>
          </w:p>
        </w:tc>
        <w:tc>
          <w:tcPr>
            <w:tcW w:w="832" w:type="pct"/>
            <w:vAlign w:val="center"/>
          </w:tcPr>
          <w:p w14:paraId="14BD9BDF">
            <w:pPr>
              <w:spacing w:line="360" w:lineRule="auto"/>
              <w:jc w:val="center"/>
              <w:rPr>
                <w:rFonts w:ascii="新宋体" w:hAnsi="新宋体" w:eastAsia="新宋体" w:cstheme="minorBidi"/>
                <w:b/>
                <w:bCs/>
                <w:szCs w:val="21"/>
              </w:rPr>
            </w:pPr>
          </w:p>
        </w:tc>
      </w:tr>
      <w:tr w14:paraId="79B36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9" w:hRule="atLeast"/>
        </w:trPr>
        <w:tc>
          <w:tcPr>
            <w:tcW w:w="413" w:type="pct"/>
            <w:vAlign w:val="center"/>
          </w:tcPr>
          <w:p w14:paraId="3B7F66E1">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4</w:t>
            </w:r>
          </w:p>
        </w:tc>
        <w:tc>
          <w:tcPr>
            <w:tcW w:w="1274" w:type="pct"/>
            <w:gridSpan w:val="2"/>
            <w:vAlign w:val="center"/>
          </w:tcPr>
          <w:p w14:paraId="5407A725">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主要技术人员</w:t>
            </w:r>
          </w:p>
        </w:tc>
        <w:tc>
          <w:tcPr>
            <w:tcW w:w="529" w:type="pct"/>
            <w:vAlign w:val="center"/>
          </w:tcPr>
          <w:p w14:paraId="4C37B4D3">
            <w:pPr>
              <w:spacing w:line="360" w:lineRule="auto"/>
              <w:jc w:val="center"/>
              <w:rPr>
                <w:rFonts w:ascii="新宋体" w:hAnsi="新宋体" w:eastAsia="新宋体" w:cstheme="minorBidi"/>
                <w:b/>
                <w:bCs/>
                <w:szCs w:val="21"/>
              </w:rPr>
            </w:pPr>
          </w:p>
        </w:tc>
        <w:tc>
          <w:tcPr>
            <w:tcW w:w="1112" w:type="pct"/>
            <w:gridSpan w:val="2"/>
            <w:vAlign w:val="center"/>
          </w:tcPr>
          <w:p w14:paraId="32AEC0C7">
            <w:pPr>
              <w:spacing w:line="360" w:lineRule="auto"/>
              <w:jc w:val="center"/>
              <w:rPr>
                <w:rFonts w:ascii="新宋体" w:hAnsi="新宋体" w:eastAsia="新宋体" w:cstheme="minorBidi"/>
                <w:b/>
                <w:bCs/>
                <w:szCs w:val="21"/>
              </w:rPr>
            </w:pPr>
          </w:p>
        </w:tc>
        <w:tc>
          <w:tcPr>
            <w:tcW w:w="837" w:type="pct"/>
            <w:vAlign w:val="center"/>
          </w:tcPr>
          <w:p w14:paraId="2F2E5414">
            <w:pPr>
              <w:spacing w:line="360" w:lineRule="auto"/>
              <w:jc w:val="center"/>
              <w:rPr>
                <w:rFonts w:ascii="新宋体" w:hAnsi="新宋体" w:eastAsia="新宋体" w:cstheme="minorBidi"/>
                <w:b/>
                <w:bCs/>
                <w:szCs w:val="21"/>
              </w:rPr>
            </w:pPr>
          </w:p>
        </w:tc>
        <w:tc>
          <w:tcPr>
            <w:tcW w:w="832" w:type="pct"/>
            <w:vAlign w:val="center"/>
          </w:tcPr>
          <w:p w14:paraId="4411191A">
            <w:pPr>
              <w:spacing w:line="360" w:lineRule="auto"/>
              <w:jc w:val="center"/>
              <w:rPr>
                <w:rFonts w:ascii="新宋体" w:hAnsi="新宋体" w:eastAsia="新宋体" w:cstheme="minorBidi"/>
                <w:b/>
                <w:bCs/>
                <w:szCs w:val="21"/>
              </w:rPr>
            </w:pPr>
          </w:p>
        </w:tc>
      </w:tr>
      <w:tr w14:paraId="5A7B9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9" w:hRule="atLeast"/>
        </w:trPr>
        <w:tc>
          <w:tcPr>
            <w:tcW w:w="413" w:type="pct"/>
            <w:vAlign w:val="center"/>
          </w:tcPr>
          <w:p w14:paraId="17E8B463">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5</w:t>
            </w:r>
          </w:p>
        </w:tc>
        <w:tc>
          <w:tcPr>
            <w:tcW w:w="1274" w:type="pct"/>
            <w:gridSpan w:val="2"/>
            <w:vAlign w:val="center"/>
          </w:tcPr>
          <w:p w14:paraId="08CD5583">
            <w:pPr>
              <w:spacing w:line="360" w:lineRule="auto"/>
              <w:jc w:val="center"/>
              <w:rPr>
                <w:rFonts w:ascii="新宋体" w:hAnsi="新宋体" w:eastAsia="新宋体" w:cstheme="minorBidi"/>
                <w:b/>
                <w:bCs/>
                <w:szCs w:val="21"/>
              </w:rPr>
            </w:pPr>
            <w:r>
              <w:rPr>
                <w:rFonts w:hint="eastAsia" w:ascii="新宋体" w:hAnsi="新宋体" w:eastAsia="新宋体" w:cstheme="minorBidi"/>
                <w:b/>
                <w:bCs/>
                <w:szCs w:val="21"/>
              </w:rPr>
              <w:t>投标文件编制人员</w:t>
            </w:r>
          </w:p>
        </w:tc>
        <w:tc>
          <w:tcPr>
            <w:tcW w:w="529" w:type="pct"/>
            <w:vAlign w:val="center"/>
          </w:tcPr>
          <w:p w14:paraId="428AE320">
            <w:pPr>
              <w:spacing w:line="360" w:lineRule="auto"/>
              <w:jc w:val="center"/>
              <w:rPr>
                <w:rFonts w:ascii="新宋体" w:hAnsi="新宋体" w:eastAsia="新宋体" w:cstheme="minorBidi"/>
                <w:b/>
                <w:bCs/>
                <w:szCs w:val="21"/>
              </w:rPr>
            </w:pPr>
          </w:p>
        </w:tc>
        <w:tc>
          <w:tcPr>
            <w:tcW w:w="1112" w:type="pct"/>
            <w:gridSpan w:val="2"/>
            <w:vAlign w:val="center"/>
          </w:tcPr>
          <w:p w14:paraId="319B93C0">
            <w:pPr>
              <w:spacing w:line="360" w:lineRule="auto"/>
              <w:jc w:val="center"/>
              <w:rPr>
                <w:rFonts w:ascii="新宋体" w:hAnsi="新宋体" w:eastAsia="新宋体" w:cstheme="minorBidi"/>
                <w:b/>
                <w:bCs/>
                <w:szCs w:val="21"/>
              </w:rPr>
            </w:pPr>
          </w:p>
        </w:tc>
        <w:tc>
          <w:tcPr>
            <w:tcW w:w="837" w:type="pct"/>
            <w:vAlign w:val="center"/>
          </w:tcPr>
          <w:p w14:paraId="5226F730">
            <w:pPr>
              <w:spacing w:line="360" w:lineRule="auto"/>
              <w:jc w:val="center"/>
              <w:rPr>
                <w:rFonts w:ascii="新宋体" w:hAnsi="新宋体" w:eastAsia="新宋体" w:cstheme="minorBidi"/>
                <w:b/>
                <w:bCs/>
                <w:szCs w:val="21"/>
              </w:rPr>
            </w:pPr>
          </w:p>
        </w:tc>
        <w:tc>
          <w:tcPr>
            <w:tcW w:w="832" w:type="pct"/>
            <w:vAlign w:val="center"/>
          </w:tcPr>
          <w:p w14:paraId="619780D5">
            <w:pPr>
              <w:spacing w:line="360" w:lineRule="auto"/>
              <w:jc w:val="center"/>
              <w:rPr>
                <w:rFonts w:ascii="新宋体" w:hAnsi="新宋体" w:eastAsia="新宋体" w:cstheme="minorBidi"/>
                <w:b/>
                <w:bCs/>
                <w:szCs w:val="21"/>
              </w:rPr>
            </w:pPr>
          </w:p>
        </w:tc>
      </w:tr>
      <w:tr w14:paraId="2F4BB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9" w:hRule="atLeast"/>
        </w:trPr>
        <w:tc>
          <w:tcPr>
            <w:tcW w:w="5000" w:type="pct"/>
            <w:gridSpan w:val="8"/>
          </w:tcPr>
          <w:p w14:paraId="6D41F222">
            <w:pPr>
              <w:spacing w:line="360" w:lineRule="auto"/>
              <w:rPr>
                <w:rFonts w:ascii="新宋体" w:hAnsi="新宋体" w:eastAsia="新宋体" w:cstheme="minorBidi"/>
                <w:b/>
                <w:bCs/>
                <w:szCs w:val="21"/>
              </w:rPr>
            </w:pPr>
            <w:r>
              <w:rPr>
                <w:rFonts w:hint="eastAsia" w:ascii="新宋体" w:hAnsi="新宋体" w:eastAsia="新宋体" w:cstheme="minorBidi"/>
                <w:b/>
                <w:bCs/>
                <w:szCs w:val="21"/>
              </w:rPr>
              <w:t>说明：同一职务有多人担任（如主要技术人员），应分行填写。</w:t>
            </w:r>
          </w:p>
        </w:tc>
      </w:tr>
      <w:tr w14:paraId="6B3FC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9" w:hRule="atLeast"/>
        </w:trPr>
        <w:tc>
          <w:tcPr>
            <w:tcW w:w="5000" w:type="pct"/>
            <w:gridSpan w:val="8"/>
          </w:tcPr>
          <w:p w14:paraId="501B8663">
            <w:pPr>
              <w:spacing w:line="360" w:lineRule="auto"/>
              <w:rPr>
                <w:rFonts w:ascii="新宋体" w:hAnsi="新宋体" w:eastAsia="新宋体" w:cstheme="minorBidi"/>
                <w:b/>
                <w:bCs/>
                <w:szCs w:val="21"/>
              </w:rPr>
            </w:pPr>
            <w:r>
              <w:rPr>
                <w:rFonts w:hint="eastAsia" w:ascii="新宋体" w:hAnsi="新宋体" w:eastAsia="新宋体" w:cstheme="minorBidi"/>
                <w:b/>
                <w:bCs/>
                <w:szCs w:val="21"/>
              </w:rPr>
              <w:t>投标（响应）供应商关联关系情况</w:t>
            </w:r>
          </w:p>
        </w:tc>
      </w:tr>
      <w:tr w14:paraId="7DA4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9" w:hRule="atLeast"/>
        </w:trPr>
        <w:tc>
          <w:tcPr>
            <w:tcW w:w="413" w:type="pct"/>
          </w:tcPr>
          <w:p w14:paraId="3EE78D81">
            <w:pPr>
              <w:spacing w:line="360" w:lineRule="auto"/>
              <w:rPr>
                <w:rFonts w:ascii="新宋体" w:hAnsi="新宋体" w:eastAsia="新宋体" w:cstheme="minorBidi"/>
                <w:b/>
                <w:bCs/>
                <w:szCs w:val="21"/>
              </w:rPr>
            </w:pPr>
            <w:r>
              <w:rPr>
                <w:rFonts w:hint="eastAsia" w:ascii="新宋体" w:hAnsi="新宋体" w:eastAsia="新宋体" w:cstheme="minorBidi"/>
                <w:b/>
                <w:bCs/>
                <w:szCs w:val="21"/>
              </w:rPr>
              <w:t>序号</w:t>
            </w:r>
          </w:p>
        </w:tc>
        <w:tc>
          <w:tcPr>
            <w:tcW w:w="1274" w:type="pct"/>
            <w:gridSpan w:val="2"/>
          </w:tcPr>
          <w:p w14:paraId="5B77B63B">
            <w:pPr>
              <w:spacing w:line="360" w:lineRule="auto"/>
              <w:rPr>
                <w:rFonts w:ascii="新宋体" w:hAnsi="新宋体" w:eastAsia="新宋体" w:cstheme="minorBidi"/>
                <w:b/>
                <w:bCs/>
                <w:szCs w:val="21"/>
              </w:rPr>
            </w:pPr>
            <w:r>
              <w:rPr>
                <w:rFonts w:hint="eastAsia" w:ascii="新宋体" w:hAnsi="新宋体" w:eastAsia="新宋体" w:cstheme="minorBidi"/>
                <w:b/>
                <w:bCs/>
                <w:szCs w:val="21"/>
              </w:rPr>
              <w:t>关联关系类型</w:t>
            </w:r>
          </w:p>
        </w:tc>
        <w:tc>
          <w:tcPr>
            <w:tcW w:w="970" w:type="pct"/>
            <w:gridSpan w:val="2"/>
          </w:tcPr>
          <w:p w14:paraId="446FF5B8">
            <w:pPr>
              <w:spacing w:line="360" w:lineRule="auto"/>
              <w:rPr>
                <w:rFonts w:ascii="新宋体" w:hAnsi="新宋体" w:eastAsia="新宋体" w:cstheme="minorBidi"/>
                <w:b/>
                <w:bCs/>
                <w:szCs w:val="21"/>
              </w:rPr>
            </w:pPr>
            <w:r>
              <w:rPr>
                <w:rFonts w:hint="eastAsia" w:ascii="新宋体" w:hAnsi="新宋体" w:eastAsia="新宋体" w:cstheme="minorBidi"/>
                <w:b/>
                <w:bCs/>
                <w:szCs w:val="21"/>
              </w:rPr>
              <w:t>关联主体名称</w:t>
            </w:r>
          </w:p>
        </w:tc>
        <w:tc>
          <w:tcPr>
            <w:tcW w:w="2340" w:type="pct"/>
            <w:gridSpan w:val="3"/>
          </w:tcPr>
          <w:p w14:paraId="607DAFF4">
            <w:pPr>
              <w:spacing w:line="360" w:lineRule="auto"/>
              <w:rPr>
                <w:rFonts w:ascii="新宋体" w:hAnsi="新宋体" w:eastAsia="新宋体" w:cstheme="minorBidi"/>
                <w:b/>
                <w:bCs/>
                <w:szCs w:val="21"/>
              </w:rPr>
            </w:pPr>
            <w:r>
              <w:rPr>
                <w:rFonts w:hint="eastAsia" w:ascii="新宋体" w:hAnsi="新宋体" w:eastAsia="新宋体" w:cstheme="minorBidi"/>
                <w:b/>
                <w:bCs/>
                <w:szCs w:val="21"/>
              </w:rPr>
              <w:t>备注</w:t>
            </w:r>
          </w:p>
        </w:tc>
      </w:tr>
      <w:tr w14:paraId="196EC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82" w:hRule="atLeast"/>
        </w:trPr>
        <w:tc>
          <w:tcPr>
            <w:tcW w:w="413" w:type="pct"/>
          </w:tcPr>
          <w:p w14:paraId="140CB45E">
            <w:pPr>
              <w:spacing w:line="360" w:lineRule="auto"/>
              <w:rPr>
                <w:rFonts w:ascii="新宋体" w:hAnsi="新宋体" w:eastAsia="新宋体" w:cstheme="minorBidi"/>
                <w:b/>
                <w:bCs/>
                <w:szCs w:val="21"/>
              </w:rPr>
            </w:pPr>
          </w:p>
          <w:p w14:paraId="1765DB6D">
            <w:pPr>
              <w:spacing w:line="360" w:lineRule="auto"/>
              <w:rPr>
                <w:rFonts w:ascii="新宋体" w:hAnsi="新宋体" w:eastAsia="新宋体" w:cstheme="minorBidi"/>
                <w:b/>
                <w:bCs/>
                <w:szCs w:val="21"/>
              </w:rPr>
            </w:pPr>
          </w:p>
          <w:p w14:paraId="550563D9">
            <w:pPr>
              <w:spacing w:line="360" w:lineRule="auto"/>
              <w:rPr>
                <w:rFonts w:ascii="新宋体" w:hAnsi="新宋体" w:eastAsia="新宋体" w:cstheme="minorBidi"/>
                <w:b/>
                <w:bCs/>
                <w:szCs w:val="21"/>
              </w:rPr>
            </w:pPr>
            <w:r>
              <w:rPr>
                <w:rFonts w:hint="eastAsia" w:ascii="新宋体" w:hAnsi="新宋体" w:eastAsia="新宋体" w:cstheme="minorBidi"/>
                <w:b/>
                <w:bCs/>
                <w:szCs w:val="21"/>
              </w:rPr>
              <w:t>1</w:t>
            </w:r>
          </w:p>
        </w:tc>
        <w:tc>
          <w:tcPr>
            <w:tcW w:w="1274" w:type="pct"/>
            <w:gridSpan w:val="2"/>
          </w:tcPr>
          <w:p w14:paraId="2B4329C2">
            <w:pPr>
              <w:spacing w:line="360" w:lineRule="auto"/>
              <w:rPr>
                <w:rFonts w:ascii="新宋体" w:hAnsi="新宋体" w:eastAsia="新宋体" w:cstheme="minorBidi"/>
                <w:b/>
                <w:bCs/>
                <w:szCs w:val="21"/>
              </w:rPr>
            </w:pPr>
          </w:p>
          <w:p w14:paraId="7709D11A">
            <w:pPr>
              <w:spacing w:line="360" w:lineRule="auto"/>
              <w:rPr>
                <w:rFonts w:ascii="新宋体" w:hAnsi="新宋体" w:eastAsia="新宋体" w:cstheme="minorBidi"/>
                <w:b/>
                <w:bCs/>
                <w:szCs w:val="21"/>
              </w:rPr>
            </w:pPr>
          </w:p>
          <w:p w14:paraId="62393D27">
            <w:pPr>
              <w:spacing w:line="360" w:lineRule="auto"/>
              <w:rPr>
                <w:rFonts w:ascii="新宋体" w:hAnsi="新宋体" w:eastAsia="新宋体" w:cstheme="minorBidi"/>
                <w:b/>
                <w:bCs/>
                <w:szCs w:val="21"/>
              </w:rPr>
            </w:pPr>
            <w:r>
              <w:rPr>
                <w:rFonts w:hint="eastAsia" w:ascii="新宋体" w:hAnsi="新宋体" w:eastAsia="新宋体" w:cstheme="minorBidi"/>
                <w:b/>
                <w:bCs/>
                <w:szCs w:val="21"/>
              </w:rPr>
              <w:t>控股股东</w:t>
            </w:r>
          </w:p>
        </w:tc>
        <w:tc>
          <w:tcPr>
            <w:tcW w:w="970" w:type="pct"/>
            <w:gridSpan w:val="2"/>
          </w:tcPr>
          <w:p w14:paraId="284E4EF0">
            <w:pPr>
              <w:spacing w:line="360" w:lineRule="auto"/>
              <w:rPr>
                <w:rFonts w:ascii="新宋体" w:hAnsi="新宋体" w:eastAsia="新宋体" w:cstheme="minorBidi"/>
                <w:b/>
                <w:bCs/>
                <w:szCs w:val="21"/>
              </w:rPr>
            </w:pPr>
          </w:p>
        </w:tc>
        <w:tc>
          <w:tcPr>
            <w:tcW w:w="2340" w:type="pct"/>
            <w:gridSpan w:val="3"/>
            <w:vAlign w:val="center"/>
          </w:tcPr>
          <w:p w14:paraId="2AA009ED">
            <w:pPr>
              <w:spacing w:line="360" w:lineRule="auto"/>
              <w:rPr>
                <w:rFonts w:ascii="新宋体" w:hAnsi="新宋体" w:eastAsia="新宋体" w:cstheme="minorBidi"/>
                <w:b/>
                <w:bCs/>
                <w:szCs w:val="21"/>
              </w:rPr>
            </w:pPr>
            <w:r>
              <w:rPr>
                <w:rFonts w:hint="eastAsia" w:ascii="新宋体" w:hAnsi="新宋体" w:eastAsia="新宋体" w:cstheme="minorBidi"/>
                <w:b/>
                <w:bCs/>
                <w:szCs w:val="21"/>
              </w:rPr>
              <w:t>指出资额（或持有股份）占投标（响应）供应商资 本总额（或股本总额）50%以上的股东，以及出资额 （或持有股份）的比例虽然不足50%，但依其出资 额（或持有股份）所享有的表决权已足以对投标（响 应）供应商股东会（或股东大会）的决议产生重要 影响的股东。</w:t>
            </w:r>
          </w:p>
        </w:tc>
      </w:tr>
      <w:tr w14:paraId="65B39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05" w:hRule="atLeast"/>
        </w:trPr>
        <w:tc>
          <w:tcPr>
            <w:tcW w:w="413" w:type="pct"/>
          </w:tcPr>
          <w:p w14:paraId="3CECCA7B">
            <w:pPr>
              <w:spacing w:line="360" w:lineRule="auto"/>
              <w:rPr>
                <w:rFonts w:ascii="新宋体" w:hAnsi="新宋体" w:eastAsia="新宋体" w:cstheme="minorBidi"/>
                <w:b/>
                <w:bCs/>
                <w:szCs w:val="21"/>
              </w:rPr>
            </w:pPr>
            <w:r>
              <w:rPr>
                <w:rFonts w:hint="eastAsia" w:ascii="新宋体" w:hAnsi="新宋体" w:eastAsia="新宋体" w:cstheme="minorBidi"/>
                <w:b/>
                <w:bCs/>
                <w:szCs w:val="21"/>
              </w:rPr>
              <w:t>2</w:t>
            </w:r>
          </w:p>
        </w:tc>
        <w:tc>
          <w:tcPr>
            <w:tcW w:w="1274" w:type="pct"/>
            <w:gridSpan w:val="2"/>
          </w:tcPr>
          <w:p w14:paraId="353E6BBE">
            <w:pPr>
              <w:spacing w:line="360" w:lineRule="auto"/>
              <w:rPr>
                <w:rFonts w:ascii="新宋体" w:hAnsi="新宋体" w:eastAsia="新宋体" w:cstheme="minorBidi"/>
                <w:b/>
                <w:bCs/>
                <w:szCs w:val="21"/>
              </w:rPr>
            </w:pPr>
            <w:r>
              <w:rPr>
                <w:rFonts w:hint="eastAsia" w:ascii="新宋体" w:hAnsi="新宋体" w:eastAsia="新宋体" w:cstheme="minorBidi"/>
                <w:b/>
                <w:bCs/>
                <w:szCs w:val="21"/>
              </w:rPr>
              <w:t>管理关系</w:t>
            </w:r>
          </w:p>
        </w:tc>
        <w:tc>
          <w:tcPr>
            <w:tcW w:w="970" w:type="pct"/>
            <w:gridSpan w:val="2"/>
          </w:tcPr>
          <w:p w14:paraId="50AA71BE">
            <w:pPr>
              <w:spacing w:line="360" w:lineRule="auto"/>
              <w:rPr>
                <w:rFonts w:ascii="新宋体" w:hAnsi="新宋体" w:eastAsia="新宋体" w:cstheme="minorBidi"/>
                <w:b/>
                <w:bCs/>
                <w:szCs w:val="21"/>
              </w:rPr>
            </w:pPr>
          </w:p>
        </w:tc>
        <w:tc>
          <w:tcPr>
            <w:tcW w:w="2340" w:type="pct"/>
            <w:gridSpan w:val="3"/>
          </w:tcPr>
          <w:p w14:paraId="786BEEAA">
            <w:pPr>
              <w:spacing w:line="360" w:lineRule="auto"/>
              <w:rPr>
                <w:rFonts w:ascii="新宋体" w:hAnsi="新宋体" w:eastAsia="新宋体" w:cstheme="minorBidi"/>
                <w:b/>
                <w:bCs/>
                <w:szCs w:val="21"/>
              </w:rPr>
            </w:pPr>
            <w:r>
              <w:rPr>
                <w:rFonts w:hint="eastAsia" w:ascii="新宋体" w:hAnsi="新宋体" w:eastAsia="新宋体" w:cstheme="minorBidi"/>
                <w:b/>
                <w:bCs/>
                <w:szCs w:val="21"/>
              </w:rPr>
              <w:t>指对投标（响应）供应商不具有出资持  股关系，但对其存在管理关系的主体。</w:t>
            </w:r>
          </w:p>
        </w:tc>
      </w:tr>
      <w:tr w14:paraId="570C1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22" w:hRule="atLeast"/>
        </w:trPr>
        <w:tc>
          <w:tcPr>
            <w:tcW w:w="5000" w:type="pct"/>
            <w:gridSpan w:val="8"/>
            <w:vAlign w:val="center"/>
          </w:tcPr>
          <w:p w14:paraId="17289C32">
            <w:pPr>
              <w:spacing w:line="360" w:lineRule="auto"/>
              <w:rPr>
                <w:rFonts w:ascii="新宋体" w:hAnsi="新宋体" w:eastAsia="新宋体" w:cstheme="minorBidi"/>
                <w:b/>
                <w:bCs/>
                <w:szCs w:val="21"/>
              </w:rPr>
            </w:pPr>
            <w:r>
              <w:rPr>
                <w:rFonts w:hint="eastAsia" w:ascii="新宋体" w:hAnsi="新宋体" w:eastAsia="新宋体" w:cstheme="minorBidi"/>
                <w:b/>
                <w:bCs/>
                <w:szCs w:val="21"/>
              </w:rPr>
              <w:t>说明：同一关联关系类型有多个主体的，应分行填写。</w:t>
            </w:r>
          </w:p>
        </w:tc>
      </w:tr>
    </w:tbl>
    <w:p w14:paraId="472D8777">
      <w:pPr>
        <w:spacing w:line="360" w:lineRule="auto"/>
        <w:rPr>
          <w:rFonts w:ascii="新宋体" w:hAnsi="新宋体" w:eastAsia="新宋体" w:cstheme="minorBidi"/>
          <w:b/>
          <w:szCs w:val="21"/>
        </w:rPr>
      </w:pPr>
      <w:r>
        <w:rPr>
          <w:rFonts w:hint="eastAsia" w:ascii="新宋体" w:hAnsi="新宋体" w:eastAsia="新宋体" w:cstheme="minorBidi"/>
          <w:szCs w:val="21"/>
        </w:rPr>
        <w:t>（二）</w:t>
      </w:r>
      <w:r>
        <w:rPr>
          <w:rFonts w:hint="eastAsia" w:ascii="新宋体" w:hAnsi="新宋体" w:eastAsia="新宋体" w:cstheme="minorBidi"/>
          <w:bCs/>
          <w:szCs w:val="21"/>
        </w:rPr>
        <w:t>技术保障措施及</w:t>
      </w:r>
      <w:r>
        <w:rPr>
          <w:rFonts w:hint="eastAsia" w:ascii="新宋体" w:hAnsi="新宋体" w:eastAsia="新宋体" w:cstheme="minorBidi"/>
          <w:szCs w:val="21"/>
        </w:rPr>
        <w:t>实施本项目的主要技术人员情况表（格式自定，可选）</w:t>
      </w:r>
    </w:p>
    <w:p w14:paraId="796169C4">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“技术保障措施”这一评审因素要求，提供相关技术保障方案或其它证明资料）</w:t>
      </w:r>
    </w:p>
    <w:p w14:paraId="094CA83E">
      <w:pPr>
        <w:spacing w:line="360" w:lineRule="auto"/>
        <w:rPr>
          <w:rFonts w:ascii="新宋体" w:hAnsi="新宋体" w:eastAsia="新宋体" w:cstheme="minorBidi"/>
          <w:szCs w:val="21"/>
        </w:rPr>
      </w:pPr>
      <w:r>
        <w:rPr>
          <w:rFonts w:hint="eastAsia" w:ascii="新宋体" w:hAnsi="新宋体" w:eastAsia="新宋体" w:cstheme="minorBidi"/>
          <w:szCs w:val="21"/>
        </w:rPr>
        <w:t>（三）施工安全保障措施（可选）</w:t>
      </w:r>
    </w:p>
    <w:p w14:paraId="5B722311">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“施工安全保障措施”这一评审因素要求，提供详细的施工安全保障方案或其它证明资料）</w:t>
      </w:r>
    </w:p>
    <w:p w14:paraId="106C158A">
      <w:pPr>
        <w:spacing w:line="360" w:lineRule="auto"/>
        <w:rPr>
          <w:rFonts w:ascii="新宋体" w:hAnsi="新宋体" w:eastAsia="新宋体" w:cstheme="minorBidi"/>
          <w:szCs w:val="21"/>
        </w:rPr>
      </w:pPr>
      <w:r>
        <w:rPr>
          <w:rFonts w:hint="eastAsia" w:ascii="新宋体" w:hAnsi="新宋体" w:eastAsia="新宋体" w:cstheme="minorBidi"/>
          <w:szCs w:val="21"/>
        </w:rPr>
        <w:t>（四）检测报告（可选）</w:t>
      </w:r>
    </w:p>
    <w:p w14:paraId="276774A4">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“检测报告”这一评审因素要求，提供详细的检测报告或其它证明资料）</w:t>
      </w:r>
    </w:p>
    <w:p w14:paraId="36C3214B">
      <w:pPr>
        <w:spacing w:line="360" w:lineRule="auto"/>
        <w:rPr>
          <w:rFonts w:ascii="新宋体" w:hAnsi="新宋体" w:eastAsia="新宋体" w:cstheme="minorBidi"/>
          <w:szCs w:val="21"/>
        </w:rPr>
      </w:pPr>
      <w:r>
        <w:rPr>
          <w:rFonts w:hint="eastAsia" w:ascii="新宋体" w:hAnsi="新宋体" w:eastAsia="新宋体" w:cstheme="minorBidi"/>
          <w:szCs w:val="21"/>
        </w:rPr>
        <w:t>（五）奖项（可选）</w:t>
      </w:r>
    </w:p>
    <w:p w14:paraId="2CBB8D89">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“奖项”这一评审因素要求，提供相提供详细证明资料）</w:t>
      </w:r>
    </w:p>
    <w:p w14:paraId="583E78D4">
      <w:pPr>
        <w:spacing w:line="360" w:lineRule="auto"/>
        <w:rPr>
          <w:rFonts w:ascii="新宋体" w:hAnsi="新宋体" w:eastAsia="新宋体" w:cstheme="minorBidi"/>
          <w:szCs w:val="21"/>
        </w:rPr>
      </w:pPr>
      <w:r>
        <w:rPr>
          <w:rFonts w:hint="eastAsia" w:ascii="新宋体" w:hAnsi="新宋体" w:eastAsia="新宋体" w:cstheme="minorBidi"/>
          <w:szCs w:val="21"/>
        </w:rPr>
        <w:t>（六）近三年同类业绩（可选）</w:t>
      </w:r>
    </w:p>
    <w:tbl>
      <w:tblPr>
        <w:tblStyle w:val="4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418"/>
        <w:gridCol w:w="1276"/>
        <w:gridCol w:w="1559"/>
        <w:gridCol w:w="1559"/>
        <w:gridCol w:w="2233"/>
      </w:tblGrid>
      <w:tr w14:paraId="2118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4" w:type="dxa"/>
            <w:gridSpan w:val="6"/>
            <w:vAlign w:val="center"/>
          </w:tcPr>
          <w:p w14:paraId="2746F8FA">
            <w:pPr>
              <w:spacing w:line="360" w:lineRule="auto"/>
              <w:jc w:val="center"/>
              <w:rPr>
                <w:rFonts w:ascii="新宋体" w:hAnsi="新宋体" w:eastAsia="新宋体"/>
                <w:szCs w:val="21"/>
              </w:rPr>
            </w:pPr>
          </w:p>
        </w:tc>
      </w:tr>
      <w:tr w14:paraId="4117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14:paraId="4A3EC8D8">
            <w:pPr>
              <w:spacing w:line="360" w:lineRule="auto"/>
              <w:jc w:val="center"/>
              <w:rPr>
                <w:rFonts w:ascii="新宋体" w:hAnsi="新宋体" w:eastAsia="新宋体"/>
                <w:szCs w:val="21"/>
              </w:rPr>
            </w:pPr>
            <w:r>
              <w:rPr>
                <w:rFonts w:hint="eastAsia" w:ascii="新宋体" w:hAnsi="新宋体" w:eastAsia="新宋体"/>
                <w:szCs w:val="21"/>
              </w:rPr>
              <w:t>采购人</w:t>
            </w:r>
          </w:p>
        </w:tc>
        <w:tc>
          <w:tcPr>
            <w:tcW w:w="1418" w:type="dxa"/>
            <w:vAlign w:val="center"/>
          </w:tcPr>
          <w:p w14:paraId="4C966DB5">
            <w:pPr>
              <w:spacing w:line="360" w:lineRule="auto"/>
              <w:jc w:val="center"/>
              <w:rPr>
                <w:rFonts w:ascii="新宋体" w:hAnsi="新宋体" w:eastAsia="新宋体"/>
                <w:szCs w:val="21"/>
              </w:rPr>
            </w:pPr>
            <w:r>
              <w:rPr>
                <w:rFonts w:hint="eastAsia" w:ascii="新宋体" w:hAnsi="新宋体" w:eastAsia="新宋体"/>
                <w:szCs w:val="21"/>
              </w:rPr>
              <w:t>项目名称</w:t>
            </w:r>
          </w:p>
        </w:tc>
        <w:tc>
          <w:tcPr>
            <w:tcW w:w="1276" w:type="dxa"/>
            <w:vAlign w:val="center"/>
          </w:tcPr>
          <w:p w14:paraId="5A02FDB5">
            <w:pPr>
              <w:spacing w:line="360" w:lineRule="auto"/>
              <w:jc w:val="center"/>
              <w:rPr>
                <w:rFonts w:ascii="新宋体" w:hAnsi="新宋体" w:eastAsia="新宋体"/>
                <w:szCs w:val="21"/>
              </w:rPr>
            </w:pPr>
            <w:r>
              <w:rPr>
                <w:rFonts w:hint="eastAsia" w:ascii="新宋体" w:hAnsi="新宋体" w:eastAsia="新宋体"/>
                <w:szCs w:val="21"/>
              </w:rPr>
              <w:t>项目规模（金额）</w:t>
            </w:r>
          </w:p>
        </w:tc>
        <w:tc>
          <w:tcPr>
            <w:tcW w:w="1559" w:type="dxa"/>
            <w:vAlign w:val="center"/>
          </w:tcPr>
          <w:p w14:paraId="4D8D61A5">
            <w:pPr>
              <w:spacing w:line="360" w:lineRule="auto"/>
              <w:jc w:val="center"/>
              <w:rPr>
                <w:rFonts w:ascii="新宋体" w:hAnsi="新宋体" w:eastAsia="新宋体"/>
                <w:szCs w:val="21"/>
              </w:rPr>
            </w:pPr>
            <w:r>
              <w:rPr>
                <w:rFonts w:hint="eastAsia" w:ascii="新宋体" w:hAnsi="新宋体" w:eastAsia="新宋体"/>
                <w:szCs w:val="21"/>
              </w:rPr>
              <w:t>合同签订日期</w:t>
            </w:r>
          </w:p>
        </w:tc>
        <w:tc>
          <w:tcPr>
            <w:tcW w:w="1559" w:type="dxa"/>
            <w:vAlign w:val="center"/>
          </w:tcPr>
          <w:p w14:paraId="2F7A6CFB">
            <w:pPr>
              <w:spacing w:line="360" w:lineRule="auto"/>
              <w:jc w:val="center"/>
              <w:rPr>
                <w:rFonts w:ascii="新宋体" w:hAnsi="新宋体" w:eastAsia="新宋体"/>
                <w:szCs w:val="21"/>
              </w:rPr>
            </w:pPr>
            <w:r>
              <w:rPr>
                <w:rFonts w:hint="eastAsia" w:ascii="新宋体" w:hAnsi="新宋体" w:eastAsia="新宋体"/>
                <w:szCs w:val="21"/>
              </w:rPr>
              <w:t>履约验收时间</w:t>
            </w:r>
          </w:p>
        </w:tc>
        <w:tc>
          <w:tcPr>
            <w:tcW w:w="2233" w:type="dxa"/>
            <w:vAlign w:val="center"/>
          </w:tcPr>
          <w:p w14:paraId="6F41F466">
            <w:pPr>
              <w:spacing w:line="360" w:lineRule="auto"/>
              <w:jc w:val="center"/>
              <w:rPr>
                <w:rFonts w:ascii="新宋体" w:hAnsi="新宋体" w:eastAsia="新宋体"/>
                <w:szCs w:val="21"/>
              </w:rPr>
            </w:pPr>
            <w:r>
              <w:rPr>
                <w:rFonts w:hint="eastAsia" w:ascii="新宋体" w:hAnsi="新宋体" w:eastAsia="新宋体"/>
                <w:szCs w:val="21"/>
              </w:rPr>
              <w:t>完成质量情况（以履约验收文件为准）</w:t>
            </w:r>
          </w:p>
        </w:tc>
      </w:tr>
      <w:tr w14:paraId="11D3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14:paraId="11A51057">
            <w:pPr>
              <w:spacing w:line="360" w:lineRule="auto"/>
              <w:jc w:val="center"/>
              <w:rPr>
                <w:rFonts w:ascii="新宋体" w:hAnsi="新宋体" w:eastAsia="新宋体"/>
                <w:szCs w:val="21"/>
              </w:rPr>
            </w:pPr>
          </w:p>
        </w:tc>
        <w:tc>
          <w:tcPr>
            <w:tcW w:w="1418" w:type="dxa"/>
            <w:vAlign w:val="center"/>
          </w:tcPr>
          <w:p w14:paraId="305FF889">
            <w:pPr>
              <w:spacing w:line="360" w:lineRule="auto"/>
              <w:jc w:val="center"/>
              <w:rPr>
                <w:rFonts w:ascii="新宋体" w:hAnsi="新宋体" w:eastAsia="新宋体"/>
                <w:szCs w:val="21"/>
              </w:rPr>
            </w:pPr>
          </w:p>
        </w:tc>
        <w:tc>
          <w:tcPr>
            <w:tcW w:w="1276" w:type="dxa"/>
            <w:vAlign w:val="center"/>
          </w:tcPr>
          <w:p w14:paraId="6E629F6C">
            <w:pPr>
              <w:spacing w:line="360" w:lineRule="auto"/>
              <w:jc w:val="center"/>
              <w:rPr>
                <w:rFonts w:ascii="新宋体" w:hAnsi="新宋体" w:eastAsia="新宋体"/>
                <w:szCs w:val="21"/>
              </w:rPr>
            </w:pPr>
          </w:p>
        </w:tc>
        <w:tc>
          <w:tcPr>
            <w:tcW w:w="1559" w:type="dxa"/>
            <w:vAlign w:val="center"/>
          </w:tcPr>
          <w:p w14:paraId="59E85333">
            <w:pPr>
              <w:spacing w:line="360" w:lineRule="auto"/>
              <w:jc w:val="center"/>
              <w:rPr>
                <w:rFonts w:ascii="新宋体" w:hAnsi="新宋体" w:eastAsia="新宋体"/>
                <w:szCs w:val="21"/>
              </w:rPr>
            </w:pPr>
          </w:p>
        </w:tc>
        <w:tc>
          <w:tcPr>
            <w:tcW w:w="1559" w:type="dxa"/>
            <w:vAlign w:val="center"/>
          </w:tcPr>
          <w:p w14:paraId="2317754D">
            <w:pPr>
              <w:spacing w:line="360" w:lineRule="auto"/>
              <w:jc w:val="center"/>
              <w:rPr>
                <w:rFonts w:ascii="新宋体" w:hAnsi="新宋体" w:eastAsia="新宋体"/>
                <w:szCs w:val="21"/>
              </w:rPr>
            </w:pPr>
          </w:p>
        </w:tc>
        <w:tc>
          <w:tcPr>
            <w:tcW w:w="2233" w:type="dxa"/>
            <w:vAlign w:val="center"/>
          </w:tcPr>
          <w:p w14:paraId="4353F021">
            <w:pPr>
              <w:spacing w:line="360" w:lineRule="auto"/>
              <w:jc w:val="center"/>
              <w:rPr>
                <w:rFonts w:ascii="新宋体" w:hAnsi="新宋体" w:eastAsia="新宋体"/>
                <w:szCs w:val="21"/>
              </w:rPr>
            </w:pPr>
          </w:p>
        </w:tc>
      </w:tr>
      <w:tr w14:paraId="5204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14:paraId="645DF3E2">
            <w:pPr>
              <w:spacing w:line="360" w:lineRule="auto"/>
              <w:jc w:val="center"/>
              <w:rPr>
                <w:rFonts w:ascii="新宋体" w:hAnsi="新宋体" w:eastAsia="新宋体"/>
                <w:szCs w:val="21"/>
              </w:rPr>
            </w:pPr>
          </w:p>
        </w:tc>
        <w:tc>
          <w:tcPr>
            <w:tcW w:w="1418" w:type="dxa"/>
            <w:vAlign w:val="center"/>
          </w:tcPr>
          <w:p w14:paraId="470A513D">
            <w:pPr>
              <w:spacing w:line="360" w:lineRule="auto"/>
              <w:jc w:val="center"/>
              <w:rPr>
                <w:rFonts w:ascii="新宋体" w:hAnsi="新宋体" w:eastAsia="新宋体"/>
                <w:szCs w:val="21"/>
              </w:rPr>
            </w:pPr>
          </w:p>
        </w:tc>
        <w:tc>
          <w:tcPr>
            <w:tcW w:w="1276" w:type="dxa"/>
            <w:vAlign w:val="center"/>
          </w:tcPr>
          <w:p w14:paraId="45F9C497">
            <w:pPr>
              <w:spacing w:line="360" w:lineRule="auto"/>
              <w:jc w:val="center"/>
              <w:rPr>
                <w:rFonts w:ascii="新宋体" w:hAnsi="新宋体" w:eastAsia="新宋体"/>
                <w:szCs w:val="21"/>
              </w:rPr>
            </w:pPr>
          </w:p>
        </w:tc>
        <w:tc>
          <w:tcPr>
            <w:tcW w:w="1559" w:type="dxa"/>
            <w:vAlign w:val="center"/>
          </w:tcPr>
          <w:p w14:paraId="351724EE">
            <w:pPr>
              <w:spacing w:line="360" w:lineRule="auto"/>
              <w:jc w:val="center"/>
              <w:rPr>
                <w:rFonts w:ascii="新宋体" w:hAnsi="新宋体" w:eastAsia="新宋体"/>
                <w:szCs w:val="21"/>
              </w:rPr>
            </w:pPr>
          </w:p>
        </w:tc>
        <w:tc>
          <w:tcPr>
            <w:tcW w:w="1559" w:type="dxa"/>
            <w:vAlign w:val="center"/>
          </w:tcPr>
          <w:p w14:paraId="15F20932">
            <w:pPr>
              <w:spacing w:line="360" w:lineRule="auto"/>
              <w:jc w:val="center"/>
              <w:rPr>
                <w:rFonts w:ascii="新宋体" w:hAnsi="新宋体" w:eastAsia="新宋体"/>
                <w:szCs w:val="21"/>
              </w:rPr>
            </w:pPr>
          </w:p>
        </w:tc>
        <w:tc>
          <w:tcPr>
            <w:tcW w:w="2233" w:type="dxa"/>
            <w:vAlign w:val="center"/>
          </w:tcPr>
          <w:p w14:paraId="7A0DA2EE">
            <w:pPr>
              <w:spacing w:line="360" w:lineRule="auto"/>
              <w:jc w:val="center"/>
              <w:rPr>
                <w:rFonts w:ascii="新宋体" w:hAnsi="新宋体" w:eastAsia="新宋体"/>
                <w:szCs w:val="21"/>
              </w:rPr>
            </w:pPr>
          </w:p>
        </w:tc>
      </w:tr>
    </w:tbl>
    <w:p w14:paraId="6A45A792">
      <w:pPr>
        <w:spacing w:line="360" w:lineRule="auto"/>
        <w:rPr>
          <w:rFonts w:ascii="新宋体" w:hAnsi="新宋体" w:eastAsia="新宋体"/>
          <w:bCs/>
          <w:szCs w:val="21"/>
        </w:rPr>
      </w:pPr>
      <w:r>
        <w:rPr>
          <w:rFonts w:hint="eastAsia" w:ascii="新宋体" w:hAnsi="新宋体" w:eastAsia="新宋体"/>
          <w:bCs/>
          <w:szCs w:val="21"/>
        </w:rPr>
        <w:t xml:space="preserve">投标人：（公章）                       </w:t>
      </w:r>
    </w:p>
    <w:p w14:paraId="07C52B7A">
      <w:pPr>
        <w:spacing w:line="360" w:lineRule="auto"/>
        <w:rPr>
          <w:rFonts w:ascii="新宋体" w:hAnsi="新宋体" w:eastAsia="新宋体"/>
          <w:bCs/>
          <w:szCs w:val="21"/>
        </w:rPr>
      </w:pPr>
      <w:r>
        <w:rPr>
          <w:rFonts w:hint="eastAsia" w:ascii="新宋体" w:hAnsi="新宋体" w:eastAsia="新宋体"/>
          <w:bCs/>
          <w:szCs w:val="21"/>
        </w:rPr>
        <w:t>法定代表人或其委托代理人：（盖章或签字）</w:t>
      </w:r>
    </w:p>
    <w:p w14:paraId="360B3EEC">
      <w:pPr>
        <w:spacing w:line="360" w:lineRule="auto"/>
        <w:rPr>
          <w:rFonts w:ascii="新宋体" w:hAnsi="新宋体" w:eastAsia="新宋体"/>
          <w:b/>
          <w:bCs/>
        </w:rPr>
      </w:pPr>
      <w:r>
        <w:rPr>
          <w:rFonts w:hint="eastAsia" w:ascii="新宋体" w:hAnsi="新宋体" w:eastAsia="新宋体"/>
          <w:bCs/>
          <w:szCs w:val="21"/>
        </w:rPr>
        <w:t>日期：   年   月   日：</w:t>
      </w:r>
    </w:p>
    <w:p w14:paraId="3E94AB47">
      <w:pPr>
        <w:spacing w:line="360" w:lineRule="auto"/>
        <w:rPr>
          <w:rFonts w:ascii="新宋体" w:hAnsi="新宋体" w:eastAsia="新宋体"/>
          <w:b/>
          <w:bCs/>
        </w:rPr>
      </w:pPr>
      <w:r>
        <w:rPr>
          <w:rFonts w:hint="eastAsia" w:ascii="新宋体" w:hAnsi="新宋体" w:eastAsia="新宋体"/>
          <w:b/>
          <w:bCs/>
        </w:rPr>
        <w:t>在上表之外，对照相关评分因素及评分准则提供相关资料，以便评委判断得分情况。</w:t>
      </w:r>
    </w:p>
    <w:p w14:paraId="56A3D31D">
      <w:pPr>
        <w:spacing w:line="360" w:lineRule="auto"/>
        <w:rPr>
          <w:rFonts w:ascii="新宋体" w:hAnsi="新宋体" w:eastAsia="新宋体" w:cstheme="minorBidi"/>
          <w:szCs w:val="21"/>
        </w:rPr>
      </w:pPr>
      <w:r>
        <w:rPr>
          <w:rFonts w:hint="eastAsia" w:ascii="新宋体" w:hAnsi="新宋体" w:eastAsia="新宋体" w:cstheme="minorBidi"/>
          <w:szCs w:val="21"/>
        </w:rPr>
        <w:t>（七）中小企业声明函、残疾人福利性单位声明函及监狱企业声明函(可选项)</w:t>
      </w:r>
    </w:p>
    <w:p w14:paraId="3C36F062">
      <w:pPr>
        <w:spacing w:line="360" w:lineRule="auto"/>
        <w:rPr>
          <w:rFonts w:ascii="新宋体" w:hAnsi="新宋体" w:eastAsia="新宋体"/>
        </w:rPr>
      </w:pPr>
      <w:r>
        <w:rPr>
          <w:rFonts w:hint="eastAsia" w:ascii="新宋体" w:hAnsi="新宋体" w:eastAsia="新宋体"/>
        </w:rPr>
        <w:t>填写指引：</w:t>
      </w:r>
    </w:p>
    <w:p w14:paraId="329F9529">
      <w:pPr>
        <w:spacing w:line="360" w:lineRule="auto"/>
        <w:rPr>
          <w:rFonts w:ascii="新宋体" w:hAnsi="新宋体" w:eastAsia="新宋体"/>
        </w:rPr>
      </w:pPr>
      <w:r>
        <w:rPr>
          <w:rFonts w:hint="eastAsia" w:ascii="新宋体" w:hAnsi="新宋体" w:eastAsia="新宋体"/>
        </w:rPr>
        <w:t>1、该部分内容由供应商根据自身实际情况填写，不符合要求的供应商可以不填写或直接删除相应的声明函。投标人自行对声明内容的真实性负责；如提供虚假声明，将报送主管部门进行行政处罚。若无法确定是否为中小微企业，可查阅《关于印发中小企业划型标准规定的通知》（工信部联企业【2011】300号）或向深圳市中小企业服务局咨询。</w:t>
      </w:r>
    </w:p>
    <w:p w14:paraId="7710510B">
      <w:pPr>
        <w:spacing w:line="360" w:lineRule="auto"/>
        <w:rPr>
          <w:rFonts w:ascii="新宋体" w:hAnsi="新宋体" w:eastAsia="新宋体"/>
        </w:rPr>
      </w:pPr>
      <w:r>
        <w:rPr>
          <w:rFonts w:hint="eastAsia" w:ascii="新宋体" w:hAnsi="新宋体" w:eastAsia="新宋体"/>
        </w:rPr>
        <w:t>2、该部分内容填写需要参考的相关文件：（1）《政府采购促进中小企业发展管理办法》（财库﹝2020﹞46 号）；(2)《工业和信息化部、国家统计局、国家发展和改革委员会、财政部关于印发中小企业划型标准规定的通知》（工信部联企业〔2011〕300 号）。</w:t>
      </w:r>
    </w:p>
    <w:p w14:paraId="408A2B4C">
      <w:pPr>
        <w:spacing w:line="360" w:lineRule="auto"/>
        <w:rPr>
          <w:rFonts w:ascii="新宋体" w:hAnsi="新宋体" w:eastAsia="新宋体"/>
        </w:rPr>
      </w:pPr>
      <w:r>
        <w:rPr>
          <w:rFonts w:hint="eastAsia" w:ascii="新宋体" w:hAnsi="新宋体" w:eastAsia="新宋体"/>
        </w:rPr>
        <w:t>3、请依照提供的格式和内容填写声明函，不要随意变更格式或增删内容；满足多项优惠政策的企业，不重复享受多项价格扣除政策。</w:t>
      </w:r>
    </w:p>
    <w:p w14:paraId="5B862065">
      <w:pPr>
        <w:spacing w:line="360" w:lineRule="auto"/>
        <w:jc w:val="left"/>
        <w:rPr>
          <w:rFonts w:ascii="新宋体" w:hAnsi="新宋体" w:eastAsia="新宋体"/>
          <w:b/>
          <w:szCs w:val="21"/>
        </w:rPr>
      </w:pPr>
      <w:r>
        <w:rPr>
          <w:rFonts w:hint="eastAsia" w:ascii="新宋体" w:hAnsi="新宋体" w:eastAsia="新宋体"/>
          <w:b/>
          <w:szCs w:val="21"/>
        </w:rPr>
        <w:t>1）、中小企业声明函</w:t>
      </w:r>
    </w:p>
    <w:p w14:paraId="29AE9A47">
      <w:pPr>
        <w:spacing w:line="360" w:lineRule="auto"/>
        <w:ind w:firstLine="420" w:firstLineChars="200"/>
        <w:rPr>
          <w:rFonts w:ascii="新宋体" w:hAnsi="新宋体" w:eastAsia="新宋体"/>
        </w:rPr>
      </w:pPr>
      <w:r>
        <w:rPr>
          <w:rFonts w:hint="eastAsia" w:ascii="新宋体" w:hAnsi="新宋体" w:eastAsia="新宋体"/>
        </w:rPr>
        <w:t>本公司（联合体）郑重声明，根据《政府采购促进中小企业发展管理办法》（财库﹝</w:t>
      </w:r>
      <w:r>
        <w:rPr>
          <w:rFonts w:ascii="新宋体" w:hAnsi="新宋体" w:eastAsia="新宋体"/>
        </w:rPr>
        <w:t>2020</w:t>
      </w:r>
      <w:r>
        <w:rPr>
          <w:rFonts w:hint="eastAsia" w:ascii="新宋体" w:hAnsi="新宋体" w:eastAsia="新宋体"/>
        </w:rPr>
        <w:t>﹞</w:t>
      </w:r>
      <w:r>
        <w:rPr>
          <w:rFonts w:ascii="新宋体" w:hAnsi="新宋体" w:eastAsia="新宋体"/>
        </w:rPr>
        <w:t xml:space="preserve">46 </w:t>
      </w:r>
      <w:r>
        <w:rPr>
          <w:rFonts w:hint="eastAsia" w:ascii="新宋体" w:hAnsi="新宋体" w:eastAsia="新宋体"/>
        </w:rPr>
        <w:t>号）的规定，本公司（联合体）参加</w:t>
      </w:r>
      <w:r>
        <w:rPr>
          <w:rFonts w:hint="eastAsia" w:ascii="新宋体" w:hAnsi="新宋体" w:eastAsia="新宋体"/>
          <w:u w:val="single"/>
        </w:rPr>
        <w:t>（单位名称）</w:t>
      </w:r>
      <w:r>
        <w:rPr>
          <w:rFonts w:hint="eastAsia" w:ascii="新宋体" w:hAnsi="新宋体" w:eastAsia="新宋体"/>
        </w:rPr>
        <w:t>的</w:t>
      </w:r>
      <w:r>
        <w:rPr>
          <w:rFonts w:hint="eastAsia" w:ascii="新宋体" w:hAnsi="新宋体" w:eastAsia="新宋体"/>
          <w:u w:val="single"/>
        </w:rPr>
        <w:t>（项目名称）</w:t>
      </w:r>
      <w:r>
        <w:rPr>
          <w:rFonts w:hint="eastAsia" w:ascii="新宋体" w:hAnsi="新宋体" w:eastAsia="新宋体"/>
        </w:rPr>
        <w:t>采购活动，提供的货物全部由符合政策要求的中小企业制造。相关企业（含联合体中的中小企业、签订分包意向协议的中小企业）的具体情况如下：</w:t>
      </w:r>
    </w:p>
    <w:p w14:paraId="6DC9B797">
      <w:pPr>
        <w:spacing w:line="360" w:lineRule="auto"/>
        <w:ind w:firstLine="409" w:firstLineChars="195"/>
        <w:rPr>
          <w:rFonts w:ascii="新宋体" w:hAnsi="新宋体" w:eastAsia="新宋体"/>
        </w:rPr>
      </w:pPr>
      <w:r>
        <w:rPr>
          <w:rFonts w:ascii="新宋体" w:hAnsi="新宋体" w:eastAsia="新宋体"/>
        </w:rPr>
        <w:t xml:space="preserve">1. </w:t>
      </w:r>
      <w:r>
        <w:rPr>
          <w:rFonts w:hint="eastAsia" w:ascii="新宋体" w:hAnsi="新宋体" w:eastAsia="新宋体"/>
          <w:u w:val="single"/>
        </w:rPr>
        <w:t>（标的名称）</w:t>
      </w:r>
      <w:r>
        <w:rPr>
          <w:rFonts w:hint="eastAsia" w:ascii="新宋体" w:hAnsi="新宋体" w:eastAsia="新宋体"/>
        </w:rPr>
        <w:t>，属于</w:t>
      </w:r>
      <w:r>
        <w:rPr>
          <w:rFonts w:hint="eastAsia" w:ascii="新宋体" w:hAnsi="新宋体" w:eastAsia="新宋体"/>
          <w:u w:val="single"/>
        </w:rPr>
        <w:t>（采购文件中明确的所属行业）</w:t>
      </w:r>
      <w:r>
        <w:rPr>
          <w:rFonts w:hint="eastAsia" w:ascii="新宋体" w:hAnsi="新宋体" w:eastAsia="新宋体"/>
        </w:rPr>
        <w:t>行业；制造商为</w:t>
      </w:r>
      <w:r>
        <w:rPr>
          <w:rFonts w:hint="eastAsia" w:ascii="新宋体" w:hAnsi="新宋体" w:eastAsia="新宋体"/>
          <w:u w:val="single"/>
        </w:rPr>
        <w:t>（企业名称）</w:t>
      </w:r>
      <w:r>
        <w:rPr>
          <w:rFonts w:hint="eastAsia" w:ascii="新宋体" w:hAnsi="新宋体" w:eastAsia="新宋体"/>
        </w:rPr>
        <w:t>，从业人员人，营业收入为万元，资产总额为万元</w:t>
      </w:r>
      <w:r>
        <w:fldChar w:fldCharType="begin"/>
      </w:r>
      <w:r>
        <w:instrText xml:space="preserve"> HYPERLINK \l "_bookmark1" </w:instrText>
      </w:r>
      <w:r>
        <w:fldChar w:fldCharType="separate"/>
      </w:r>
      <w:r>
        <w:rPr>
          <w:position w:val="16"/>
          <w:sz w:val="16"/>
        </w:rPr>
        <w:t>1</w:t>
      </w:r>
      <w:r>
        <w:rPr>
          <w:position w:val="16"/>
          <w:sz w:val="16"/>
        </w:rPr>
        <w:fldChar w:fldCharType="end"/>
      </w:r>
      <w:r>
        <w:rPr>
          <w:rFonts w:hint="eastAsia" w:ascii="新宋体" w:hAnsi="新宋体" w:eastAsia="新宋体"/>
        </w:rPr>
        <w:t>，属于</w:t>
      </w:r>
      <w:r>
        <w:rPr>
          <w:rFonts w:hint="eastAsia" w:ascii="新宋体" w:hAnsi="新宋体" w:eastAsia="新宋体"/>
          <w:szCs w:val="21"/>
          <w:u w:val="single"/>
        </w:rPr>
        <w:t xml:space="preserve"> </w:t>
      </w:r>
      <w:r>
        <w:rPr>
          <w:rFonts w:ascii="新宋体" w:hAnsi="新宋体" w:eastAsia="新宋体"/>
          <w:szCs w:val="21"/>
          <w:u w:val="single"/>
        </w:rPr>
        <w:t xml:space="preserve">      </w:t>
      </w:r>
      <w:r>
        <w:rPr>
          <w:rFonts w:hint="eastAsia" w:ascii="新宋体" w:hAnsi="新宋体" w:eastAsia="新宋体"/>
          <w:szCs w:val="21"/>
        </w:rPr>
        <w:t>（请填写：中型企业、小型企业、微型企业）</w:t>
      </w:r>
      <w:r>
        <w:rPr>
          <w:rFonts w:hint="eastAsia" w:ascii="新宋体" w:hAnsi="新宋体" w:eastAsia="新宋体"/>
        </w:rPr>
        <w:t>；</w:t>
      </w:r>
    </w:p>
    <w:p w14:paraId="48E6791B">
      <w:pPr>
        <w:spacing w:line="360" w:lineRule="auto"/>
        <w:ind w:firstLine="420" w:firstLineChars="200"/>
        <w:rPr>
          <w:rFonts w:ascii="新宋体" w:hAnsi="新宋体" w:eastAsia="新宋体"/>
        </w:rPr>
      </w:pPr>
      <w:r>
        <w:rPr>
          <w:rFonts w:ascii="新宋体" w:hAnsi="新宋体" w:eastAsia="新宋体"/>
        </w:rPr>
        <w:t>2.</w:t>
      </w:r>
      <w:r>
        <w:rPr>
          <w:rFonts w:hint="eastAsia" w:ascii="新宋体" w:hAnsi="新宋体" w:eastAsia="新宋体"/>
          <w:u w:val="single"/>
        </w:rPr>
        <w:t>（标的名称）</w:t>
      </w:r>
      <w:r>
        <w:rPr>
          <w:rFonts w:hint="eastAsia" w:ascii="新宋体" w:hAnsi="新宋体" w:eastAsia="新宋体"/>
        </w:rPr>
        <w:t>，属于</w:t>
      </w:r>
      <w:r>
        <w:rPr>
          <w:rFonts w:hint="eastAsia" w:ascii="新宋体" w:hAnsi="新宋体" w:eastAsia="新宋体"/>
          <w:u w:val="single"/>
        </w:rPr>
        <w:t>（采购文件中明确的所属行业）行业</w:t>
      </w:r>
      <w:r>
        <w:rPr>
          <w:rFonts w:hint="eastAsia" w:ascii="新宋体" w:hAnsi="新宋体" w:eastAsia="新宋体"/>
        </w:rPr>
        <w:t>；制造商为</w:t>
      </w:r>
      <w:r>
        <w:rPr>
          <w:rFonts w:hint="eastAsia" w:ascii="新宋体" w:hAnsi="新宋体" w:eastAsia="新宋体"/>
          <w:u w:val="single"/>
        </w:rPr>
        <w:t>（企业名称）</w:t>
      </w:r>
      <w:r>
        <w:rPr>
          <w:rFonts w:hint="eastAsia" w:ascii="新宋体" w:hAnsi="新宋体" w:eastAsia="新宋体"/>
        </w:rPr>
        <w:t>，从业人员人，营业收入为万元，资产总额为万元，属于</w:t>
      </w:r>
      <w:r>
        <w:rPr>
          <w:rFonts w:hint="eastAsia" w:ascii="新宋体" w:hAnsi="新宋体" w:eastAsia="新宋体"/>
          <w:szCs w:val="21"/>
          <w:u w:val="single"/>
        </w:rPr>
        <w:t xml:space="preserve"> </w:t>
      </w:r>
      <w:r>
        <w:rPr>
          <w:rFonts w:ascii="新宋体" w:hAnsi="新宋体" w:eastAsia="新宋体"/>
          <w:szCs w:val="21"/>
          <w:u w:val="single"/>
        </w:rPr>
        <w:t xml:space="preserve">      </w:t>
      </w:r>
      <w:r>
        <w:rPr>
          <w:rFonts w:hint="eastAsia" w:ascii="新宋体" w:hAnsi="新宋体" w:eastAsia="新宋体"/>
          <w:szCs w:val="21"/>
        </w:rPr>
        <w:t>（请填写：中型企业、小型企业、微型企业）</w:t>
      </w:r>
      <w:r>
        <w:rPr>
          <w:rFonts w:hint="eastAsia" w:ascii="新宋体" w:hAnsi="新宋体" w:eastAsia="新宋体"/>
        </w:rPr>
        <w:t>；</w:t>
      </w:r>
    </w:p>
    <w:p w14:paraId="4128A77D">
      <w:pPr>
        <w:spacing w:line="360" w:lineRule="auto"/>
        <w:ind w:firstLine="420" w:firstLineChars="200"/>
        <w:rPr>
          <w:rFonts w:ascii="新宋体" w:hAnsi="新宋体" w:eastAsia="新宋体"/>
        </w:rPr>
      </w:pPr>
      <w:r>
        <w:rPr>
          <w:rFonts w:hint="eastAsia" w:ascii="新宋体" w:hAnsi="新宋体" w:eastAsia="新宋体"/>
        </w:rPr>
        <w:t>……</w:t>
      </w:r>
    </w:p>
    <w:p w14:paraId="3D68959D">
      <w:pPr>
        <w:spacing w:line="360" w:lineRule="auto"/>
        <w:ind w:firstLine="420" w:firstLineChars="200"/>
        <w:rPr>
          <w:rFonts w:ascii="新宋体" w:hAnsi="新宋体" w:eastAsia="新宋体"/>
        </w:rPr>
      </w:pPr>
      <w:r>
        <w:rPr>
          <w:rFonts w:hint="eastAsia" w:ascii="新宋体" w:hAnsi="新宋体" w:eastAsia="新宋体"/>
        </w:rPr>
        <w:t>以上企业，不属于大企业的分支机构，不存在控股股东为大企业的情形，也不存在与大企业的负责人为同一人的情形。</w:t>
      </w:r>
    </w:p>
    <w:p w14:paraId="09B41E9C">
      <w:pPr>
        <w:spacing w:line="360" w:lineRule="auto"/>
        <w:ind w:firstLine="420" w:firstLineChars="200"/>
        <w:rPr>
          <w:rFonts w:ascii="新宋体" w:hAnsi="新宋体" w:eastAsia="新宋体"/>
        </w:rPr>
      </w:pPr>
      <w:r>
        <w:rPr>
          <w:rFonts w:hint="eastAsia" w:ascii="新宋体" w:hAnsi="新宋体" w:eastAsia="新宋体"/>
        </w:rPr>
        <w:t>本企业对上述声明内容的真实性负责。如有虚假，将依法承担相应责任。</w:t>
      </w:r>
    </w:p>
    <w:p w14:paraId="6587407B">
      <w:pPr>
        <w:spacing w:line="360" w:lineRule="auto"/>
        <w:ind w:firstLine="420" w:firstLineChars="200"/>
        <w:rPr>
          <w:rFonts w:ascii="新宋体" w:hAnsi="新宋体" w:eastAsia="新宋体"/>
        </w:rPr>
      </w:pPr>
      <w:r>
        <w:rPr>
          <w:rFonts w:hint="eastAsia" w:ascii="新宋体" w:hAnsi="新宋体" w:eastAsia="新宋体"/>
        </w:rPr>
        <w:t>备注：</w:t>
      </w:r>
      <w:r>
        <w:fldChar w:fldCharType="begin"/>
      </w:r>
      <w:r>
        <w:instrText xml:space="preserve"> HYPERLINK \l "_bookmark1" </w:instrText>
      </w:r>
      <w:r>
        <w:fldChar w:fldCharType="separate"/>
      </w:r>
      <w:r>
        <w:rPr>
          <w:position w:val="16"/>
          <w:sz w:val="16"/>
        </w:rPr>
        <w:t>1</w:t>
      </w:r>
      <w:r>
        <w:rPr>
          <w:position w:val="16"/>
          <w:sz w:val="16"/>
        </w:rPr>
        <w:fldChar w:fldCharType="end"/>
      </w:r>
      <w:r>
        <w:rPr>
          <w:rFonts w:hint="eastAsia" w:ascii="新宋体" w:hAnsi="新宋体" w:eastAsia="新宋体"/>
        </w:rPr>
        <w:t>从业人员、营业收入、资产总额填报上一年度数据，无上一年度数据的新成立企业可不填报。企业名称（盖章）：</w:t>
      </w:r>
    </w:p>
    <w:p w14:paraId="745C0789">
      <w:pPr>
        <w:spacing w:line="360" w:lineRule="auto"/>
        <w:ind w:right="840" w:firstLine="5670" w:firstLineChars="2700"/>
        <w:rPr>
          <w:rFonts w:ascii="新宋体" w:hAnsi="新宋体" w:eastAsia="新宋体"/>
        </w:rPr>
      </w:pPr>
      <w:r>
        <w:rPr>
          <w:rFonts w:hint="eastAsia" w:ascii="新宋体" w:hAnsi="新宋体" w:eastAsia="新宋体"/>
        </w:rPr>
        <w:t>日期：</w:t>
      </w:r>
    </w:p>
    <w:p w14:paraId="0330EC32">
      <w:pPr>
        <w:spacing w:line="360" w:lineRule="auto"/>
        <w:jc w:val="left"/>
        <w:rPr>
          <w:b/>
          <w:sz w:val="24"/>
        </w:rPr>
      </w:pPr>
      <w:r>
        <w:rPr>
          <w:rFonts w:hint="eastAsia" w:ascii="新宋体" w:hAnsi="新宋体" w:eastAsia="新宋体"/>
          <w:b/>
          <w:szCs w:val="21"/>
        </w:rPr>
        <w:t>2）、残疾人福利性单位声明函</w:t>
      </w:r>
    </w:p>
    <w:p w14:paraId="276FC1D9">
      <w:pPr>
        <w:spacing w:line="360" w:lineRule="auto"/>
        <w:rPr>
          <w:rFonts w:ascii="新宋体" w:hAnsi="新宋体" w:eastAsia="新宋体"/>
        </w:rPr>
      </w:pPr>
      <w:r>
        <w:rPr>
          <w:rFonts w:hint="eastAsia" w:ascii="新宋体" w:hAnsi="新宋体" w:eastAsia="新宋体"/>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62FB42">
      <w:pPr>
        <w:spacing w:line="360" w:lineRule="auto"/>
        <w:rPr>
          <w:rFonts w:ascii="新宋体" w:hAnsi="新宋体" w:eastAsia="新宋体"/>
        </w:rPr>
      </w:pPr>
      <w:r>
        <w:rPr>
          <w:rFonts w:hint="eastAsia" w:ascii="新宋体" w:hAnsi="新宋体" w:eastAsia="新宋体"/>
        </w:rPr>
        <w:t>本单位对上述声明的真实性负责。如有虚假，将依法承担相应责任。</w:t>
      </w:r>
    </w:p>
    <w:p w14:paraId="26AD85FB">
      <w:pPr>
        <w:spacing w:line="360" w:lineRule="auto"/>
        <w:rPr>
          <w:szCs w:val="21"/>
        </w:rPr>
      </w:pPr>
      <w:r>
        <w:rPr>
          <w:rFonts w:hint="eastAsia"/>
          <w:szCs w:val="21"/>
        </w:rPr>
        <w:t>企业名称(公章)：____________</w:t>
      </w:r>
      <w:r>
        <w:rPr>
          <w:rFonts w:hint="eastAsia"/>
          <w:szCs w:val="21"/>
        </w:rPr>
        <w:tab/>
      </w:r>
    </w:p>
    <w:p w14:paraId="1B1D85B5">
      <w:pPr>
        <w:spacing w:line="360" w:lineRule="auto"/>
        <w:jc w:val="left"/>
        <w:rPr>
          <w:rFonts w:ascii="新宋体" w:hAnsi="新宋体" w:eastAsia="新宋体"/>
          <w:szCs w:val="21"/>
        </w:rPr>
      </w:pPr>
      <w:r>
        <w:rPr>
          <w:rFonts w:hint="eastAsia" w:ascii="新宋体" w:hAnsi="新宋体" w:eastAsia="新宋体"/>
          <w:szCs w:val="21"/>
        </w:rPr>
        <w:t>日期：________________________</w:t>
      </w:r>
      <w:r>
        <w:rPr>
          <w:rFonts w:hint="eastAsia" w:ascii="新宋体" w:hAnsi="新宋体" w:eastAsia="新宋体"/>
          <w:szCs w:val="21"/>
        </w:rPr>
        <w:tab/>
      </w:r>
    </w:p>
    <w:p w14:paraId="3E1A5F5E">
      <w:pPr>
        <w:spacing w:line="360" w:lineRule="auto"/>
        <w:jc w:val="left"/>
        <w:rPr>
          <w:rFonts w:ascii="新宋体" w:hAnsi="新宋体" w:eastAsia="新宋体"/>
          <w:b/>
          <w:szCs w:val="21"/>
        </w:rPr>
      </w:pPr>
      <w:r>
        <w:rPr>
          <w:rFonts w:hint="eastAsia" w:ascii="新宋体" w:hAnsi="新宋体" w:eastAsia="新宋体"/>
          <w:b/>
          <w:szCs w:val="21"/>
        </w:rPr>
        <w:t>3）、监狱企业声明函【监狱企业或者代理提供监狱企业货物的供应商如需享受优惠政策，还须同时提供省级以上监狱管理局、戒毒管理局（含新疆生产建设兵团）出具的监狱企业证明文件】</w:t>
      </w:r>
    </w:p>
    <w:p w14:paraId="380C287A">
      <w:pPr>
        <w:spacing w:line="360" w:lineRule="auto"/>
        <w:jc w:val="left"/>
        <w:rPr>
          <w:rFonts w:ascii="新宋体" w:hAnsi="新宋体" w:eastAsia="新宋体"/>
          <w:b/>
          <w:szCs w:val="21"/>
        </w:rPr>
      </w:pPr>
      <w:r>
        <w:rPr>
          <w:rFonts w:hint="eastAsia" w:ascii="新宋体" w:hAnsi="新宋体" w:eastAsia="新宋体"/>
          <w:b/>
          <w:szCs w:val="21"/>
        </w:rPr>
        <w:t>本单位郑重声明，根据《财政部司法部关于政府采购支持监狱企业发展有关问题的通知》（财库〔</w:t>
      </w:r>
      <w:r>
        <w:rPr>
          <w:rFonts w:ascii="新宋体" w:hAnsi="新宋体" w:eastAsia="新宋体"/>
          <w:b/>
          <w:szCs w:val="21"/>
        </w:rPr>
        <w:t>2014</w:t>
      </w:r>
      <w:r>
        <w:rPr>
          <w:rFonts w:hint="eastAsia" w:ascii="新宋体" w:hAnsi="新宋体" w:eastAsia="新宋体"/>
          <w:b/>
          <w:szCs w:val="21"/>
        </w:rPr>
        <w:t>〕</w:t>
      </w:r>
      <w:r>
        <w:rPr>
          <w:rFonts w:ascii="新宋体" w:hAnsi="新宋体" w:eastAsia="新宋体"/>
          <w:b/>
          <w:szCs w:val="21"/>
        </w:rPr>
        <w:t>68</w:t>
      </w:r>
      <w:r>
        <w:rPr>
          <w:rFonts w:hint="eastAsia" w:ascii="新宋体" w:hAnsi="新宋体" w:eastAsia="新宋体"/>
          <w:b/>
          <w:szCs w:val="21"/>
        </w:rPr>
        <w:t>号）的规定，本单位为符合条件的监狱企业，且本单位参加</w:t>
      </w:r>
      <w:r>
        <w:rPr>
          <w:rFonts w:ascii="新宋体" w:hAnsi="新宋体" w:eastAsia="新宋体"/>
          <w:b/>
          <w:szCs w:val="21"/>
        </w:rPr>
        <w:t>_</w:t>
      </w:r>
      <w:r>
        <w:rPr>
          <w:rFonts w:hint="eastAsia" w:ascii="新宋体" w:hAnsi="新宋体" w:eastAsia="新宋体"/>
          <w:b/>
          <w:szCs w:val="21"/>
        </w:rPr>
        <w:t>（采购单位名称）</w:t>
      </w:r>
      <w:r>
        <w:rPr>
          <w:rFonts w:ascii="新宋体" w:hAnsi="新宋体" w:eastAsia="新宋体"/>
          <w:b/>
          <w:szCs w:val="21"/>
        </w:rPr>
        <w:t>_</w:t>
      </w:r>
      <w:r>
        <w:rPr>
          <w:rFonts w:hint="eastAsia" w:ascii="新宋体" w:hAnsi="新宋体" w:eastAsia="新宋体"/>
          <w:b/>
          <w:szCs w:val="21"/>
        </w:rPr>
        <w:t>单位的_（采购项目名称）_项目采购活动，并提供</w:t>
      </w:r>
      <w:r>
        <w:rPr>
          <w:rFonts w:ascii="新宋体" w:hAnsi="新宋体" w:eastAsia="新宋体"/>
          <w:b/>
          <w:szCs w:val="21"/>
        </w:rPr>
        <w:t>:</w:t>
      </w:r>
      <w:r>
        <w:rPr>
          <w:rFonts w:hint="eastAsia" w:ascii="新宋体" w:hAnsi="新宋体" w:eastAsia="新宋体"/>
          <w:b/>
          <w:szCs w:val="21"/>
        </w:rPr>
        <w:t>□本单位制造的货物</w:t>
      </w:r>
      <w:r>
        <w:rPr>
          <w:rFonts w:ascii="新宋体" w:hAnsi="新宋体" w:eastAsia="新宋体"/>
          <w:b/>
          <w:szCs w:val="21"/>
        </w:rPr>
        <w:t>;</w:t>
      </w:r>
      <w:r>
        <w:rPr>
          <w:rFonts w:hint="eastAsia" w:ascii="新宋体" w:hAnsi="新宋体" w:eastAsia="新宋体"/>
          <w:b/>
          <w:szCs w:val="21"/>
        </w:rPr>
        <w:t>□提供其他监狱企业制造的货物（承诺人在□处打√）。本条所称货物是指单一产品采购项目中的货物，或者非单一产品采购项目中的核心产品（货物）。</w:t>
      </w:r>
    </w:p>
    <w:p w14:paraId="5824B38F">
      <w:pPr>
        <w:spacing w:line="360" w:lineRule="auto"/>
        <w:jc w:val="left"/>
        <w:rPr>
          <w:rFonts w:ascii="新宋体" w:hAnsi="新宋体" w:eastAsia="新宋体"/>
          <w:b/>
          <w:szCs w:val="21"/>
        </w:rPr>
      </w:pPr>
      <w:r>
        <w:rPr>
          <w:rFonts w:hint="eastAsia" w:ascii="新宋体" w:hAnsi="新宋体" w:eastAsia="新宋体"/>
          <w:b/>
          <w:szCs w:val="21"/>
        </w:rPr>
        <w:t>本单位对上述声明的真实性负责。如有虚假，将依法承担相应责任。</w:t>
      </w:r>
    </w:p>
    <w:p w14:paraId="71A0C602">
      <w:pPr>
        <w:spacing w:line="360" w:lineRule="auto"/>
        <w:rPr>
          <w:rFonts w:ascii="新宋体" w:hAnsi="新宋体" w:eastAsia="新宋体" w:cstheme="minorBidi"/>
          <w:b/>
          <w:szCs w:val="21"/>
        </w:rPr>
      </w:pPr>
      <w:r>
        <w:rPr>
          <w:rFonts w:hint="eastAsia" w:ascii="新宋体" w:hAnsi="新宋体" w:eastAsia="新宋体" w:cstheme="minorBidi"/>
          <w:b/>
          <w:szCs w:val="21"/>
        </w:rPr>
        <w:t>附：省级以上监狱管理局、戒毒管理局（含新疆生产建设兵团）出具的监狱企业证明文件。</w:t>
      </w:r>
    </w:p>
    <w:p w14:paraId="5399E48F">
      <w:pPr>
        <w:spacing w:line="360" w:lineRule="auto"/>
        <w:rPr>
          <w:rFonts w:ascii="新宋体" w:hAnsi="新宋体" w:eastAsia="新宋体" w:cstheme="minorBidi"/>
          <w:szCs w:val="21"/>
        </w:rPr>
      </w:pPr>
      <w:r>
        <w:rPr>
          <w:rFonts w:hint="eastAsia" w:ascii="新宋体" w:hAnsi="新宋体" w:eastAsia="新宋体" w:cstheme="minorBidi"/>
          <w:szCs w:val="21"/>
        </w:rPr>
        <w:t>（八）疫情防控证明文件（可选）（特别提示：对照相关评分因素及评分准则提供相关资料，以便评委判断得分情况。）</w:t>
      </w:r>
    </w:p>
    <w:p w14:paraId="0E3BED13">
      <w:pPr>
        <w:spacing w:line="360" w:lineRule="auto"/>
        <w:rPr>
          <w:rFonts w:ascii="新宋体" w:hAnsi="新宋体" w:eastAsia="新宋体" w:cstheme="minorBidi"/>
          <w:szCs w:val="21"/>
        </w:rPr>
      </w:pPr>
      <w:r>
        <w:rPr>
          <w:rFonts w:hint="eastAsia" w:ascii="新宋体" w:hAnsi="新宋体" w:eastAsia="新宋体" w:cstheme="minorBidi"/>
          <w:szCs w:val="21"/>
        </w:rPr>
        <w:t>（九）投标人认为需提供的其他证明文件</w:t>
      </w:r>
    </w:p>
    <w:p w14:paraId="58E859AD">
      <w:pPr>
        <w:pStyle w:val="4"/>
        <w:jc w:val="center"/>
        <w:rPr>
          <w:rFonts w:ascii="新宋体" w:hAnsi="新宋体" w:eastAsia="新宋体"/>
          <w:kern w:val="44"/>
          <w:sz w:val="30"/>
          <w:szCs w:val="30"/>
        </w:rPr>
      </w:pPr>
      <w:r>
        <w:rPr>
          <w:rFonts w:hint="eastAsia" w:ascii="新宋体" w:hAnsi="新宋体" w:eastAsia="新宋体"/>
          <w:kern w:val="44"/>
          <w:sz w:val="30"/>
          <w:szCs w:val="30"/>
        </w:rPr>
        <w:t>六、货物说明一览表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2"/>
        <w:gridCol w:w="1260"/>
        <w:gridCol w:w="1260"/>
        <w:gridCol w:w="1440"/>
        <w:gridCol w:w="1645"/>
      </w:tblGrid>
      <w:tr w14:paraId="7E8D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vAlign w:val="center"/>
          </w:tcPr>
          <w:p w14:paraId="09AE4412">
            <w:pPr>
              <w:jc w:val="center"/>
              <w:rPr>
                <w:rFonts w:ascii="新宋体" w:hAnsi="新宋体" w:eastAsia="新宋体"/>
                <w:szCs w:val="21"/>
              </w:rPr>
            </w:pPr>
            <w:r>
              <w:rPr>
                <w:rFonts w:hint="eastAsia" w:ascii="新宋体" w:hAnsi="新宋体" w:eastAsia="新宋体"/>
                <w:szCs w:val="21"/>
              </w:rPr>
              <w:t>序号</w:t>
            </w:r>
          </w:p>
        </w:tc>
        <w:tc>
          <w:tcPr>
            <w:tcW w:w="2192" w:type="dxa"/>
            <w:vAlign w:val="center"/>
          </w:tcPr>
          <w:p w14:paraId="2EB1395C">
            <w:pPr>
              <w:jc w:val="center"/>
              <w:rPr>
                <w:rFonts w:ascii="新宋体" w:hAnsi="新宋体" w:eastAsia="新宋体"/>
                <w:szCs w:val="21"/>
              </w:rPr>
            </w:pPr>
            <w:r>
              <w:rPr>
                <w:rFonts w:hint="eastAsia" w:ascii="新宋体" w:hAnsi="新宋体" w:eastAsia="新宋体"/>
                <w:szCs w:val="21"/>
              </w:rPr>
              <w:t>货物名称</w:t>
            </w:r>
          </w:p>
        </w:tc>
        <w:tc>
          <w:tcPr>
            <w:tcW w:w="1260" w:type="dxa"/>
            <w:vAlign w:val="center"/>
          </w:tcPr>
          <w:p w14:paraId="7AB06D8C">
            <w:pPr>
              <w:jc w:val="center"/>
              <w:rPr>
                <w:rFonts w:ascii="新宋体" w:hAnsi="新宋体" w:eastAsia="新宋体"/>
                <w:szCs w:val="21"/>
              </w:rPr>
            </w:pPr>
            <w:r>
              <w:rPr>
                <w:rFonts w:hint="eastAsia" w:ascii="新宋体" w:hAnsi="新宋体" w:eastAsia="新宋体"/>
                <w:szCs w:val="21"/>
              </w:rPr>
              <w:t>型号</w:t>
            </w:r>
          </w:p>
        </w:tc>
        <w:tc>
          <w:tcPr>
            <w:tcW w:w="1260" w:type="dxa"/>
            <w:vAlign w:val="center"/>
          </w:tcPr>
          <w:p w14:paraId="15AB8119">
            <w:pPr>
              <w:jc w:val="center"/>
              <w:rPr>
                <w:rFonts w:ascii="新宋体" w:hAnsi="新宋体" w:eastAsia="新宋体"/>
                <w:szCs w:val="21"/>
              </w:rPr>
            </w:pPr>
            <w:r>
              <w:rPr>
                <w:rFonts w:hint="eastAsia" w:ascii="新宋体" w:hAnsi="新宋体" w:eastAsia="新宋体"/>
                <w:szCs w:val="21"/>
              </w:rPr>
              <w:t>数量</w:t>
            </w:r>
          </w:p>
        </w:tc>
        <w:tc>
          <w:tcPr>
            <w:tcW w:w="1440" w:type="dxa"/>
            <w:vAlign w:val="center"/>
          </w:tcPr>
          <w:p w14:paraId="1EDB7D92">
            <w:pPr>
              <w:jc w:val="center"/>
              <w:rPr>
                <w:rFonts w:ascii="新宋体" w:hAnsi="新宋体" w:eastAsia="新宋体"/>
                <w:szCs w:val="21"/>
              </w:rPr>
            </w:pPr>
            <w:r>
              <w:rPr>
                <w:rFonts w:hint="eastAsia" w:ascii="新宋体" w:hAnsi="新宋体" w:eastAsia="新宋体"/>
                <w:szCs w:val="21"/>
              </w:rPr>
              <w:t>单位</w:t>
            </w:r>
          </w:p>
        </w:tc>
        <w:tc>
          <w:tcPr>
            <w:tcW w:w="1645" w:type="dxa"/>
            <w:vAlign w:val="center"/>
          </w:tcPr>
          <w:p w14:paraId="6E2DB389">
            <w:pPr>
              <w:jc w:val="center"/>
              <w:rPr>
                <w:rFonts w:ascii="新宋体" w:hAnsi="新宋体" w:eastAsia="新宋体"/>
                <w:szCs w:val="21"/>
              </w:rPr>
            </w:pPr>
            <w:r>
              <w:rPr>
                <w:rFonts w:hint="eastAsia" w:ascii="新宋体" w:hAnsi="新宋体" w:eastAsia="新宋体"/>
                <w:szCs w:val="21"/>
              </w:rPr>
              <w:t>备注</w:t>
            </w:r>
          </w:p>
        </w:tc>
      </w:tr>
      <w:tr w14:paraId="11B8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53180664">
            <w:pPr>
              <w:jc w:val="center"/>
              <w:rPr>
                <w:rFonts w:ascii="新宋体" w:hAnsi="新宋体" w:eastAsia="新宋体"/>
                <w:szCs w:val="21"/>
              </w:rPr>
            </w:pPr>
          </w:p>
        </w:tc>
        <w:tc>
          <w:tcPr>
            <w:tcW w:w="2192" w:type="dxa"/>
            <w:vAlign w:val="center"/>
          </w:tcPr>
          <w:p w14:paraId="4A238201">
            <w:pPr>
              <w:jc w:val="center"/>
              <w:rPr>
                <w:rFonts w:ascii="新宋体" w:hAnsi="新宋体" w:eastAsia="新宋体"/>
                <w:szCs w:val="21"/>
              </w:rPr>
            </w:pPr>
          </w:p>
        </w:tc>
        <w:tc>
          <w:tcPr>
            <w:tcW w:w="1260" w:type="dxa"/>
            <w:vAlign w:val="center"/>
          </w:tcPr>
          <w:p w14:paraId="76413AAC">
            <w:pPr>
              <w:jc w:val="center"/>
              <w:rPr>
                <w:rFonts w:ascii="新宋体" w:hAnsi="新宋体" w:eastAsia="新宋体"/>
                <w:szCs w:val="21"/>
              </w:rPr>
            </w:pPr>
          </w:p>
        </w:tc>
        <w:tc>
          <w:tcPr>
            <w:tcW w:w="1260" w:type="dxa"/>
            <w:vAlign w:val="center"/>
          </w:tcPr>
          <w:p w14:paraId="589F0485">
            <w:pPr>
              <w:jc w:val="center"/>
              <w:rPr>
                <w:rFonts w:ascii="新宋体" w:hAnsi="新宋体" w:eastAsia="新宋体"/>
                <w:szCs w:val="21"/>
              </w:rPr>
            </w:pPr>
          </w:p>
        </w:tc>
        <w:tc>
          <w:tcPr>
            <w:tcW w:w="1440" w:type="dxa"/>
            <w:vAlign w:val="center"/>
          </w:tcPr>
          <w:p w14:paraId="009C0B01">
            <w:pPr>
              <w:jc w:val="center"/>
              <w:rPr>
                <w:rFonts w:ascii="新宋体" w:hAnsi="新宋体" w:eastAsia="新宋体"/>
                <w:szCs w:val="21"/>
              </w:rPr>
            </w:pPr>
          </w:p>
        </w:tc>
        <w:tc>
          <w:tcPr>
            <w:tcW w:w="1645" w:type="dxa"/>
            <w:vAlign w:val="center"/>
          </w:tcPr>
          <w:p w14:paraId="24A45014">
            <w:pPr>
              <w:jc w:val="center"/>
              <w:rPr>
                <w:rFonts w:ascii="新宋体" w:hAnsi="新宋体" w:eastAsia="新宋体"/>
                <w:szCs w:val="21"/>
              </w:rPr>
            </w:pPr>
          </w:p>
        </w:tc>
      </w:tr>
      <w:tr w14:paraId="2F4F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1F127BD5">
            <w:pPr>
              <w:jc w:val="center"/>
              <w:rPr>
                <w:rFonts w:ascii="新宋体" w:hAnsi="新宋体" w:eastAsia="新宋体"/>
                <w:szCs w:val="21"/>
              </w:rPr>
            </w:pPr>
          </w:p>
        </w:tc>
        <w:tc>
          <w:tcPr>
            <w:tcW w:w="2192" w:type="dxa"/>
            <w:vAlign w:val="center"/>
          </w:tcPr>
          <w:p w14:paraId="0052E2A3">
            <w:pPr>
              <w:jc w:val="center"/>
              <w:rPr>
                <w:rFonts w:ascii="新宋体" w:hAnsi="新宋体" w:eastAsia="新宋体"/>
                <w:szCs w:val="21"/>
              </w:rPr>
            </w:pPr>
          </w:p>
        </w:tc>
        <w:tc>
          <w:tcPr>
            <w:tcW w:w="1260" w:type="dxa"/>
            <w:vAlign w:val="center"/>
          </w:tcPr>
          <w:p w14:paraId="42DD97DD">
            <w:pPr>
              <w:jc w:val="center"/>
              <w:rPr>
                <w:rFonts w:ascii="新宋体" w:hAnsi="新宋体" w:eastAsia="新宋体"/>
                <w:szCs w:val="21"/>
              </w:rPr>
            </w:pPr>
          </w:p>
        </w:tc>
        <w:tc>
          <w:tcPr>
            <w:tcW w:w="1260" w:type="dxa"/>
            <w:vAlign w:val="center"/>
          </w:tcPr>
          <w:p w14:paraId="574C0F47">
            <w:pPr>
              <w:jc w:val="center"/>
              <w:rPr>
                <w:rFonts w:ascii="新宋体" w:hAnsi="新宋体" w:eastAsia="新宋体"/>
                <w:szCs w:val="21"/>
              </w:rPr>
            </w:pPr>
          </w:p>
        </w:tc>
        <w:tc>
          <w:tcPr>
            <w:tcW w:w="1440" w:type="dxa"/>
            <w:vAlign w:val="center"/>
          </w:tcPr>
          <w:p w14:paraId="2C0FC42F">
            <w:pPr>
              <w:jc w:val="center"/>
              <w:rPr>
                <w:rFonts w:ascii="新宋体" w:hAnsi="新宋体" w:eastAsia="新宋体"/>
                <w:szCs w:val="21"/>
              </w:rPr>
            </w:pPr>
          </w:p>
        </w:tc>
        <w:tc>
          <w:tcPr>
            <w:tcW w:w="1645" w:type="dxa"/>
            <w:vAlign w:val="center"/>
          </w:tcPr>
          <w:p w14:paraId="02B08FB9">
            <w:pPr>
              <w:jc w:val="center"/>
              <w:rPr>
                <w:rFonts w:ascii="新宋体" w:hAnsi="新宋体" w:eastAsia="新宋体"/>
                <w:szCs w:val="21"/>
              </w:rPr>
            </w:pPr>
          </w:p>
        </w:tc>
      </w:tr>
    </w:tbl>
    <w:p w14:paraId="7281435B">
      <w:pPr>
        <w:spacing w:line="276" w:lineRule="auto"/>
        <w:ind w:firstLine="210" w:firstLineChars="100"/>
        <w:rPr>
          <w:rFonts w:ascii="新宋体" w:hAnsi="新宋体" w:eastAsia="新宋体"/>
          <w:bCs/>
          <w:szCs w:val="21"/>
        </w:rPr>
      </w:pPr>
      <w:r>
        <w:rPr>
          <w:rFonts w:hint="eastAsia" w:ascii="新宋体" w:hAnsi="新宋体" w:eastAsia="新宋体"/>
          <w:bCs/>
          <w:szCs w:val="21"/>
        </w:rPr>
        <w:t xml:space="preserve">投标人：（公章）                       </w:t>
      </w:r>
    </w:p>
    <w:p w14:paraId="42FD9BD7">
      <w:pPr>
        <w:spacing w:line="276" w:lineRule="auto"/>
        <w:ind w:firstLine="210" w:firstLineChars="100"/>
        <w:rPr>
          <w:rFonts w:ascii="新宋体" w:hAnsi="新宋体" w:eastAsia="新宋体"/>
          <w:bCs/>
          <w:szCs w:val="21"/>
        </w:rPr>
      </w:pPr>
      <w:r>
        <w:rPr>
          <w:rFonts w:hint="eastAsia" w:ascii="新宋体" w:hAnsi="新宋体" w:eastAsia="新宋体"/>
          <w:bCs/>
          <w:szCs w:val="21"/>
        </w:rPr>
        <w:t>法定代表人或其委托代理人：（盖章或签字）</w:t>
      </w:r>
    </w:p>
    <w:p w14:paraId="079A5B36">
      <w:pPr>
        <w:spacing w:line="276" w:lineRule="auto"/>
        <w:ind w:firstLine="210" w:firstLineChars="100"/>
        <w:jc w:val="left"/>
        <w:rPr>
          <w:rFonts w:ascii="新宋体" w:hAnsi="新宋体" w:eastAsia="新宋体"/>
          <w:kern w:val="0"/>
          <w:szCs w:val="21"/>
        </w:rPr>
      </w:pPr>
      <w:r>
        <w:rPr>
          <w:rFonts w:hint="eastAsia" w:ascii="新宋体" w:hAnsi="新宋体" w:eastAsia="新宋体"/>
          <w:bCs/>
          <w:szCs w:val="21"/>
        </w:rPr>
        <w:t>日期：   年   月   日：</w:t>
      </w:r>
    </w:p>
    <w:p w14:paraId="67626BA8">
      <w:pPr>
        <w:pStyle w:val="4"/>
        <w:jc w:val="center"/>
        <w:rPr>
          <w:rFonts w:ascii="新宋体" w:hAnsi="新宋体" w:eastAsia="新宋体"/>
          <w:kern w:val="44"/>
          <w:sz w:val="30"/>
          <w:szCs w:val="30"/>
        </w:rPr>
      </w:pPr>
      <w:r>
        <w:rPr>
          <w:rFonts w:hint="eastAsia" w:ascii="新宋体" w:hAnsi="新宋体" w:eastAsia="新宋体"/>
          <w:kern w:val="44"/>
          <w:sz w:val="30"/>
          <w:szCs w:val="30"/>
        </w:rPr>
        <w:t>七、技术规格偏离表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559"/>
        <w:gridCol w:w="1549"/>
        <w:gridCol w:w="1570"/>
        <w:gridCol w:w="1270"/>
        <w:gridCol w:w="1530"/>
      </w:tblGrid>
      <w:tr w14:paraId="1143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vAlign w:val="center"/>
          </w:tcPr>
          <w:p w14:paraId="112C1338">
            <w:pPr>
              <w:spacing w:line="276" w:lineRule="auto"/>
              <w:jc w:val="center"/>
              <w:rPr>
                <w:rFonts w:ascii="新宋体" w:hAnsi="新宋体" w:eastAsia="新宋体"/>
                <w:szCs w:val="21"/>
              </w:rPr>
            </w:pPr>
            <w:r>
              <w:rPr>
                <w:rFonts w:hint="eastAsia" w:ascii="新宋体" w:hAnsi="新宋体" w:eastAsia="新宋体"/>
                <w:szCs w:val="21"/>
              </w:rPr>
              <w:t>序号</w:t>
            </w:r>
          </w:p>
        </w:tc>
        <w:tc>
          <w:tcPr>
            <w:tcW w:w="1559" w:type="dxa"/>
            <w:vAlign w:val="center"/>
          </w:tcPr>
          <w:p w14:paraId="78D124FF">
            <w:pPr>
              <w:spacing w:line="276" w:lineRule="auto"/>
              <w:jc w:val="center"/>
              <w:rPr>
                <w:rFonts w:ascii="新宋体" w:hAnsi="新宋体" w:eastAsia="新宋体"/>
                <w:szCs w:val="21"/>
              </w:rPr>
            </w:pPr>
            <w:r>
              <w:rPr>
                <w:rFonts w:hint="eastAsia" w:ascii="新宋体" w:hAnsi="新宋体" w:eastAsia="新宋体"/>
                <w:szCs w:val="21"/>
              </w:rPr>
              <w:t>货物名称</w:t>
            </w:r>
          </w:p>
        </w:tc>
        <w:tc>
          <w:tcPr>
            <w:tcW w:w="1549" w:type="dxa"/>
            <w:vAlign w:val="center"/>
          </w:tcPr>
          <w:p w14:paraId="4C110393">
            <w:pPr>
              <w:spacing w:line="276" w:lineRule="auto"/>
              <w:jc w:val="center"/>
              <w:rPr>
                <w:rFonts w:ascii="新宋体" w:hAnsi="新宋体" w:eastAsia="新宋体"/>
                <w:szCs w:val="21"/>
              </w:rPr>
            </w:pPr>
            <w:r>
              <w:rPr>
                <w:rFonts w:hint="eastAsia" w:ascii="新宋体" w:hAnsi="新宋体" w:eastAsia="新宋体"/>
                <w:szCs w:val="21"/>
              </w:rPr>
              <w:t>招标技术要求</w:t>
            </w:r>
          </w:p>
        </w:tc>
        <w:tc>
          <w:tcPr>
            <w:tcW w:w="1570" w:type="dxa"/>
            <w:vAlign w:val="center"/>
          </w:tcPr>
          <w:p w14:paraId="69CC8347">
            <w:pPr>
              <w:spacing w:line="276" w:lineRule="auto"/>
              <w:jc w:val="center"/>
              <w:rPr>
                <w:rFonts w:ascii="新宋体" w:hAnsi="新宋体" w:eastAsia="新宋体"/>
                <w:szCs w:val="21"/>
              </w:rPr>
            </w:pPr>
            <w:r>
              <w:rPr>
                <w:rFonts w:hint="eastAsia" w:ascii="新宋体" w:hAnsi="新宋体" w:eastAsia="新宋体"/>
                <w:szCs w:val="21"/>
              </w:rPr>
              <w:t>投标技术响应</w:t>
            </w:r>
          </w:p>
        </w:tc>
        <w:tc>
          <w:tcPr>
            <w:tcW w:w="1270" w:type="dxa"/>
            <w:vAlign w:val="center"/>
          </w:tcPr>
          <w:p w14:paraId="2A98E687">
            <w:pPr>
              <w:spacing w:line="276" w:lineRule="auto"/>
              <w:jc w:val="center"/>
              <w:rPr>
                <w:rFonts w:ascii="新宋体" w:hAnsi="新宋体" w:eastAsia="新宋体"/>
                <w:szCs w:val="21"/>
              </w:rPr>
            </w:pPr>
            <w:r>
              <w:rPr>
                <w:rFonts w:hint="eastAsia" w:ascii="新宋体" w:hAnsi="新宋体" w:eastAsia="新宋体"/>
                <w:szCs w:val="21"/>
              </w:rPr>
              <w:t>偏离情况</w:t>
            </w:r>
          </w:p>
        </w:tc>
        <w:tc>
          <w:tcPr>
            <w:tcW w:w="1530" w:type="dxa"/>
            <w:vAlign w:val="center"/>
          </w:tcPr>
          <w:p w14:paraId="6634C94F">
            <w:pPr>
              <w:spacing w:line="276" w:lineRule="auto"/>
              <w:jc w:val="center"/>
              <w:rPr>
                <w:rFonts w:ascii="新宋体" w:hAnsi="新宋体" w:eastAsia="新宋体"/>
                <w:szCs w:val="21"/>
              </w:rPr>
            </w:pPr>
            <w:r>
              <w:rPr>
                <w:rFonts w:hint="eastAsia" w:ascii="新宋体" w:hAnsi="新宋体" w:eastAsia="新宋体"/>
                <w:szCs w:val="21"/>
              </w:rPr>
              <w:t>说明</w:t>
            </w:r>
          </w:p>
        </w:tc>
      </w:tr>
      <w:tr w14:paraId="0712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vAlign w:val="center"/>
          </w:tcPr>
          <w:p w14:paraId="2923EA6A">
            <w:pPr>
              <w:spacing w:line="276" w:lineRule="auto"/>
              <w:jc w:val="center"/>
              <w:rPr>
                <w:rFonts w:ascii="新宋体" w:hAnsi="新宋体" w:eastAsia="新宋体"/>
                <w:szCs w:val="21"/>
              </w:rPr>
            </w:pPr>
          </w:p>
        </w:tc>
        <w:tc>
          <w:tcPr>
            <w:tcW w:w="1559" w:type="dxa"/>
            <w:vAlign w:val="center"/>
          </w:tcPr>
          <w:p w14:paraId="5ED723CD">
            <w:pPr>
              <w:spacing w:line="276" w:lineRule="auto"/>
              <w:jc w:val="center"/>
              <w:rPr>
                <w:rFonts w:ascii="新宋体" w:hAnsi="新宋体" w:eastAsia="新宋体"/>
                <w:szCs w:val="21"/>
              </w:rPr>
            </w:pPr>
          </w:p>
        </w:tc>
        <w:tc>
          <w:tcPr>
            <w:tcW w:w="1549" w:type="dxa"/>
            <w:vAlign w:val="center"/>
          </w:tcPr>
          <w:p w14:paraId="16727146">
            <w:pPr>
              <w:spacing w:line="276" w:lineRule="auto"/>
              <w:jc w:val="center"/>
              <w:rPr>
                <w:rFonts w:ascii="新宋体" w:hAnsi="新宋体" w:eastAsia="新宋体"/>
                <w:szCs w:val="21"/>
              </w:rPr>
            </w:pPr>
          </w:p>
        </w:tc>
        <w:tc>
          <w:tcPr>
            <w:tcW w:w="1570" w:type="dxa"/>
            <w:vAlign w:val="center"/>
          </w:tcPr>
          <w:p w14:paraId="0EEAC734">
            <w:pPr>
              <w:spacing w:line="276" w:lineRule="auto"/>
              <w:jc w:val="center"/>
              <w:rPr>
                <w:rFonts w:ascii="新宋体" w:hAnsi="新宋体" w:eastAsia="新宋体"/>
                <w:szCs w:val="21"/>
              </w:rPr>
            </w:pPr>
          </w:p>
        </w:tc>
        <w:tc>
          <w:tcPr>
            <w:tcW w:w="1270" w:type="dxa"/>
            <w:vAlign w:val="center"/>
          </w:tcPr>
          <w:p w14:paraId="37F4506C">
            <w:pPr>
              <w:spacing w:line="276" w:lineRule="auto"/>
              <w:jc w:val="center"/>
              <w:rPr>
                <w:rFonts w:ascii="新宋体" w:hAnsi="新宋体" w:eastAsia="新宋体"/>
                <w:szCs w:val="21"/>
              </w:rPr>
            </w:pPr>
          </w:p>
        </w:tc>
        <w:tc>
          <w:tcPr>
            <w:tcW w:w="1530" w:type="dxa"/>
            <w:vAlign w:val="center"/>
          </w:tcPr>
          <w:p w14:paraId="4500D792">
            <w:pPr>
              <w:spacing w:line="276" w:lineRule="auto"/>
              <w:jc w:val="center"/>
              <w:rPr>
                <w:rFonts w:ascii="新宋体" w:hAnsi="新宋体" w:eastAsia="新宋体"/>
                <w:szCs w:val="21"/>
              </w:rPr>
            </w:pPr>
          </w:p>
        </w:tc>
      </w:tr>
      <w:tr w14:paraId="1B64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vAlign w:val="center"/>
          </w:tcPr>
          <w:p w14:paraId="04A923AF">
            <w:pPr>
              <w:spacing w:line="276" w:lineRule="auto"/>
              <w:jc w:val="center"/>
              <w:rPr>
                <w:rFonts w:ascii="新宋体" w:hAnsi="新宋体" w:eastAsia="新宋体"/>
                <w:szCs w:val="21"/>
              </w:rPr>
            </w:pPr>
            <w:r>
              <w:rPr>
                <w:rFonts w:hint="eastAsia" w:ascii="新宋体" w:hAnsi="新宋体" w:eastAsia="新宋体"/>
                <w:szCs w:val="21"/>
              </w:rPr>
              <w:t>。。。</w:t>
            </w:r>
          </w:p>
        </w:tc>
        <w:tc>
          <w:tcPr>
            <w:tcW w:w="1559" w:type="dxa"/>
            <w:vAlign w:val="center"/>
          </w:tcPr>
          <w:p w14:paraId="3E13965B">
            <w:pPr>
              <w:spacing w:line="276" w:lineRule="auto"/>
              <w:jc w:val="center"/>
              <w:rPr>
                <w:rFonts w:ascii="新宋体" w:hAnsi="新宋体" w:eastAsia="新宋体"/>
                <w:szCs w:val="21"/>
              </w:rPr>
            </w:pPr>
          </w:p>
        </w:tc>
        <w:tc>
          <w:tcPr>
            <w:tcW w:w="1549" w:type="dxa"/>
            <w:vAlign w:val="center"/>
          </w:tcPr>
          <w:p w14:paraId="2932A176">
            <w:pPr>
              <w:spacing w:line="276" w:lineRule="auto"/>
              <w:jc w:val="center"/>
              <w:rPr>
                <w:rFonts w:ascii="新宋体" w:hAnsi="新宋体" w:eastAsia="新宋体"/>
                <w:szCs w:val="21"/>
              </w:rPr>
            </w:pPr>
          </w:p>
        </w:tc>
        <w:tc>
          <w:tcPr>
            <w:tcW w:w="1570" w:type="dxa"/>
            <w:vAlign w:val="center"/>
          </w:tcPr>
          <w:p w14:paraId="024AAB4E">
            <w:pPr>
              <w:spacing w:line="276" w:lineRule="auto"/>
              <w:jc w:val="center"/>
              <w:rPr>
                <w:rFonts w:ascii="新宋体" w:hAnsi="新宋体" w:eastAsia="新宋体"/>
                <w:szCs w:val="21"/>
              </w:rPr>
            </w:pPr>
          </w:p>
        </w:tc>
        <w:tc>
          <w:tcPr>
            <w:tcW w:w="1270" w:type="dxa"/>
            <w:vAlign w:val="center"/>
          </w:tcPr>
          <w:p w14:paraId="4D4D6995">
            <w:pPr>
              <w:spacing w:line="276" w:lineRule="auto"/>
              <w:jc w:val="center"/>
              <w:rPr>
                <w:rFonts w:ascii="新宋体" w:hAnsi="新宋体" w:eastAsia="新宋体"/>
                <w:szCs w:val="21"/>
              </w:rPr>
            </w:pPr>
          </w:p>
        </w:tc>
        <w:tc>
          <w:tcPr>
            <w:tcW w:w="1530" w:type="dxa"/>
            <w:vAlign w:val="center"/>
          </w:tcPr>
          <w:p w14:paraId="7775C6C7">
            <w:pPr>
              <w:spacing w:line="276" w:lineRule="auto"/>
              <w:jc w:val="center"/>
              <w:rPr>
                <w:rFonts w:ascii="新宋体" w:hAnsi="新宋体" w:eastAsia="新宋体"/>
                <w:szCs w:val="21"/>
              </w:rPr>
            </w:pPr>
          </w:p>
        </w:tc>
      </w:tr>
    </w:tbl>
    <w:p w14:paraId="439E9AF2">
      <w:pPr>
        <w:spacing w:line="276" w:lineRule="auto"/>
        <w:ind w:firstLine="210" w:firstLineChars="100"/>
        <w:rPr>
          <w:rFonts w:ascii="新宋体" w:hAnsi="新宋体" w:eastAsia="新宋体"/>
          <w:bCs/>
          <w:szCs w:val="21"/>
        </w:rPr>
      </w:pPr>
      <w:r>
        <w:rPr>
          <w:rFonts w:hint="eastAsia" w:ascii="新宋体" w:hAnsi="新宋体" w:eastAsia="新宋体"/>
          <w:bCs/>
          <w:szCs w:val="21"/>
        </w:rPr>
        <w:t xml:space="preserve">投标人：（公章）                       </w:t>
      </w:r>
    </w:p>
    <w:p w14:paraId="6A1AF28F">
      <w:pPr>
        <w:spacing w:line="276" w:lineRule="auto"/>
        <w:ind w:firstLine="210" w:firstLineChars="100"/>
        <w:rPr>
          <w:rFonts w:ascii="新宋体" w:hAnsi="新宋体" w:eastAsia="新宋体"/>
          <w:bCs/>
          <w:szCs w:val="21"/>
        </w:rPr>
      </w:pPr>
      <w:r>
        <w:rPr>
          <w:rFonts w:hint="eastAsia" w:ascii="新宋体" w:hAnsi="新宋体" w:eastAsia="新宋体"/>
          <w:bCs/>
          <w:szCs w:val="21"/>
        </w:rPr>
        <w:t>法定代表人或其委托代理人：（盖章或签字）</w:t>
      </w:r>
    </w:p>
    <w:p w14:paraId="0B338FEB">
      <w:pPr>
        <w:spacing w:line="360" w:lineRule="auto"/>
        <w:ind w:firstLine="210" w:firstLineChars="100"/>
        <w:rPr>
          <w:rFonts w:ascii="新宋体" w:hAnsi="新宋体" w:eastAsia="新宋体"/>
          <w:szCs w:val="21"/>
        </w:rPr>
      </w:pPr>
      <w:r>
        <w:rPr>
          <w:rFonts w:hint="eastAsia" w:ascii="新宋体" w:hAnsi="新宋体" w:eastAsia="新宋体"/>
          <w:bCs/>
          <w:szCs w:val="21"/>
        </w:rPr>
        <w:t>日期：   年   月   日：</w:t>
      </w:r>
    </w:p>
    <w:p w14:paraId="741ED79E">
      <w:pPr>
        <w:spacing w:line="276" w:lineRule="auto"/>
        <w:rPr>
          <w:rFonts w:ascii="新宋体" w:hAnsi="新宋体" w:eastAsia="新宋体"/>
          <w:szCs w:val="21"/>
        </w:rPr>
      </w:pPr>
      <w:r>
        <w:rPr>
          <w:rFonts w:hint="eastAsia" w:ascii="新宋体" w:hAnsi="新宋体" w:eastAsia="新宋体"/>
          <w:szCs w:val="21"/>
        </w:rPr>
        <w:t>备注：此表可延长</w:t>
      </w:r>
    </w:p>
    <w:p w14:paraId="1EBC5602">
      <w:pPr>
        <w:spacing w:line="276" w:lineRule="auto"/>
        <w:rPr>
          <w:rFonts w:ascii="新宋体" w:hAnsi="新宋体" w:eastAsia="新宋体"/>
          <w:szCs w:val="21"/>
        </w:rPr>
      </w:pPr>
      <w:r>
        <w:rPr>
          <w:rFonts w:hint="eastAsia" w:ascii="新宋体" w:hAnsi="新宋体" w:eastAsia="新宋体"/>
          <w:szCs w:val="21"/>
        </w:rPr>
        <w:t>1、“招标技术要求”一栏应</w:t>
      </w:r>
      <w:r>
        <w:rPr>
          <w:rFonts w:hint="eastAsia" w:ascii="新宋体" w:hAnsi="新宋体" w:eastAsia="新宋体"/>
          <w:b/>
          <w:szCs w:val="21"/>
        </w:rPr>
        <w:t>填写招标文件第二章</w:t>
      </w:r>
      <w:r>
        <w:rPr>
          <w:rFonts w:hint="eastAsia" w:ascii="新宋体" w:hAnsi="新宋体" w:eastAsia="新宋体"/>
          <w:szCs w:val="21"/>
        </w:rPr>
        <w:t>“具体技术要求”的内容；</w:t>
      </w:r>
    </w:p>
    <w:p w14:paraId="05210D14">
      <w:pPr>
        <w:spacing w:line="276" w:lineRule="auto"/>
        <w:rPr>
          <w:rFonts w:ascii="新宋体" w:hAnsi="新宋体" w:eastAsia="新宋体"/>
          <w:szCs w:val="21"/>
        </w:rPr>
      </w:pPr>
      <w:r>
        <w:rPr>
          <w:rFonts w:hint="eastAsia" w:ascii="新宋体" w:hAnsi="新宋体" w:eastAsia="新宋体"/>
          <w:szCs w:val="21"/>
        </w:rPr>
        <w:t>2、“投标技术响应”一栏必须详细填写投标产品的具体参数，并应对照招标技术要求一一对应响应；</w:t>
      </w:r>
    </w:p>
    <w:p w14:paraId="30BDB08F">
      <w:pPr>
        <w:spacing w:line="276" w:lineRule="auto"/>
        <w:rPr>
          <w:rFonts w:ascii="新宋体" w:hAnsi="新宋体" w:eastAsia="新宋体"/>
          <w:szCs w:val="21"/>
        </w:rPr>
      </w:pPr>
      <w:r>
        <w:rPr>
          <w:rFonts w:hint="eastAsia" w:ascii="新宋体" w:hAnsi="新宋体" w:eastAsia="新宋体"/>
          <w:szCs w:val="21"/>
        </w:rPr>
        <w:t>3、“偏离情况”一栏应如实填写“正偏离”、“负偏离”或“无偏离”。</w:t>
      </w:r>
    </w:p>
    <w:p w14:paraId="6CC566B5">
      <w:pPr>
        <w:spacing w:line="276" w:lineRule="auto"/>
        <w:rPr>
          <w:rFonts w:ascii="新宋体" w:hAnsi="新宋体" w:eastAsia="新宋体"/>
          <w:szCs w:val="21"/>
        </w:rPr>
      </w:pPr>
      <w:r>
        <w:rPr>
          <w:rFonts w:hint="eastAsia" w:ascii="新宋体" w:hAnsi="新宋体" w:eastAsia="新宋体"/>
          <w:szCs w:val="21"/>
        </w:rPr>
        <w:t>4、投标人在《技术规格偏离表》填写的“投标技术响应”与《具体技术要求》的“招标技术要求”存在填写不全的情况，将被视为未实质性满足招标文件要求作投标无效处理。示例，“招标技术要求”共有10项参数，投标人只响应了9项，填写不全，则视为未实质性满足招标文件要求作投标无效处理。</w:t>
      </w:r>
    </w:p>
    <w:p w14:paraId="55DB8665">
      <w:pPr>
        <w:spacing w:line="276" w:lineRule="auto"/>
        <w:rPr>
          <w:rFonts w:ascii="新宋体" w:hAnsi="新宋体" w:eastAsia="新宋体"/>
          <w:szCs w:val="21"/>
        </w:rPr>
      </w:pPr>
      <w:r>
        <w:rPr>
          <w:rFonts w:hint="eastAsia" w:ascii="新宋体" w:hAnsi="新宋体" w:eastAsia="新宋体"/>
          <w:szCs w:val="21"/>
        </w:rPr>
        <w:t>5、投标人所填写的“偏离情况”与评审委员会判定不一致时</w:t>
      </w:r>
      <w:r>
        <w:rPr>
          <w:rFonts w:hint="eastAsia" w:ascii="新宋体" w:hAnsi="新宋体" w:eastAsia="新宋体"/>
          <w:b/>
          <w:szCs w:val="21"/>
        </w:rPr>
        <w:t>，以评审委员会意见为主。另，判定结果不一致的参数超过一定数量的，则评分项“技术偏离情况”将不得分（即计为0分）。</w:t>
      </w:r>
    </w:p>
    <w:p w14:paraId="719324B0">
      <w:pPr>
        <w:spacing w:line="276" w:lineRule="auto"/>
        <w:rPr>
          <w:rFonts w:ascii="新宋体" w:hAnsi="新宋体" w:eastAsia="新宋体"/>
          <w:szCs w:val="21"/>
        </w:rPr>
      </w:pPr>
      <w:r>
        <w:rPr>
          <w:rFonts w:hint="eastAsia" w:ascii="新宋体" w:hAnsi="新宋体" w:eastAsia="新宋体"/>
          <w:b/>
          <w:szCs w:val="21"/>
        </w:rPr>
        <w:t>一定数量的设置：</w:t>
      </w:r>
      <w:r>
        <w:rPr>
          <w:rFonts w:hint="eastAsia" w:ascii="新宋体" w:hAnsi="新宋体" w:eastAsia="新宋体"/>
          <w:szCs w:val="21"/>
        </w:rPr>
        <w:t>（1）《具体技术要求》全部参数数量10%（四舍五入取整数）不足3条的，以3条为标准；（2）《具体技术要求》全部参数数量10%（四舍五入取整数）超过10条的，以10条为标准；（3）其他情况，按《具体技术要求》全部参数数量10%（四舍五入取整数）为标准。</w:t>
      </w:r>
    </w:p>
    <w:p w14:paraId="239C1939">
      <w:pPr>
        <w:spacing w:line="276" w:lineRule="auto"/>
        <w:rPr>
          <w:rFonts w:ascii="新宋体" w:hAnsi="新宋体" w:eastAsia="新宋体"/>
          <w:b/>
          <w:szCs w:val="21"/>
        </w:rPr>
      </w:pPr>
      <w:r>
        <w:rPr>
          <w:rFonts w:hint="eastAsia" w:ascii="新宋体" w:hAnsi="新宋体" w:eastAsia="新宋体"/>
          <w:szCs w:val="21"/>
        </w:rPr>
        <w:t>6、投标产品的技术参数应按《技术规格偏离表》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ascii="新宋体" w:hAnsi="新宋体" w:eastAsia="新宋体"/>
          <w:b/>
          <w:szCs w:val="21"/>
        </w:rPr>
        <w:t>若《技术规格偏离表》中未要求提供相应证明材料的，投标人可以不提供。</w:t>
      </w:r>
    </w:p>
    <w:p w14:paraId="76B9E4B8">
      <w:pPr>
        <w:spacing w:line="276" w:lineRule="auto"/>
        <w:rPr>
          <w:rFonts w:ascii="新宋体" w:hAnsi="新宋体" w:eastAsia="新宋体"/>
          <w:szCs w:val="21"/>
        </w:rPr>
      </w:pPr>
      <w:r>
        <w:rPr>
          <w:rFonts w:hint="eastAsia" w:ascii="新宋体" w:hAnsi="新宋体" w:eastAsia="新宋体"/>
          <w:szCs w:val="21"/>
        </w:rPr>
        <w:t>7、证明资料（均为扫描件）的提供要求：</w:t>
      </w:r>
    </w:p>
    <w:p w14:paraId="240D1214">
      <w:pPr>
        <w:spacing w:line="276" w:lineRule="auto"/>
        <w:rPr>
          <w:rFonts w:ascii="新宋体" w:hAnsi="新宋体" w:eastAsia="新宋体"/>
          <w:szCs w:val="21"/>
        </w:rPr>
      </w:pPr>
      <w:r>
        <w:rPr>
          <w:rFonts w:hint="eastAsia" w:ascii="新宋体" w:hAnsi="新宋体" w:eastAsia="新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8B4C0C2">
      <w:pPr>
        <w:spacing w:line="276" w:lineRule="auto"/>
        <w:rPr>
          <w:rFonts w:ascii="新宋体" w:hAnsi="新宋体" w:eastAsia="新宋体"/>
          <w:szCs w:val="21"/>
        </w:rPr>
      </w:pPr>
      <w:r>
        <w:rPr>
          <w:rFonts w:hint="eastAsia" w:ascii="新宋体" w:hAnsi="新宋体" w:eastAsia="新宋体"/>
          <w:szCs w:val="21"/>
        </w:rPr>
        <w:t>（2）我国政府机构出具的产品检验和核准证件应为证件正面、背面和附件标注的全部具体内容；产品检验和核准证件的尺寸和清晰度应该能够在电脑上被阅读、识别和判断。</w:t>
      </w:r>
    </w:p>
    <w:p w14:paraId="4535A0EE">
      <w:pPr>
        <w:spacing w:line="276" w:lineRule="auto"/>
        <w:rPr>
          <w:rFonts w:ascii="新宋体" w:hAnsi="新宋体" w:eastAsia="新宋体"/>
          <w:szCs w:val="21"/>
        </w:rPr>
      </w:pPr>
      <w:r>
        <w:rPr>
          <w:rFonts w:hint="eastAsia" w:ascii="新宋体" w:hAnsi="新宋体" w:eastAsia="新宋体"/>
          <w:szCs w:val="21"/>
        </w:rPr>
        <w:t>8、评审委员会有权对以谋取中标为目的的技术规格模糊响应（如有意照搬照抄招标文件的技术要求）或虚假响应予以认定，并视情况经集中采购机构报市政府采购监督管理部门予以处罚。</w:t>
      </w:r>
    </w:p>
    <w:p w14:paraId="7471B5D0">
      <w:pPr>
        <w:pStyle w:val="4"/>
        <w:jc w:val="center"/>
        <w:rPr>
          <w:rFonts w:ascii="新宋体" w:hAnsi="新宋体" w:eastAsia="新宋体"/>
          <w:kern w:val="44"/>
          <w:sz w:val="30"/>
          <w:szCs w:val="30"/>
        </w:rPr>
      </w:pPr>
      <w:r>
        <w:rPr>
          <w:rFonts w:hint="eastAsia" w:ascii="新宋体" w:hAnsi="新宋体" w:eastAsia="新宋体"/>
          <w:kern w:val="44"/>
          <w:sz w:val="30"/>
          <w:szCs w:val="30"/>
        </w:rPr>
        <w:t>八、商务需求偏离表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7623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F4AD70A">
            <w:pPr>
              <w:spacing w:line="276" w:lineRule="auto"/>
              <w:jc w:val="center"/>
              <w:rPr>
                <w:rFonts w:ascii="新宋体" w:hAnsi="新宋体" w:eastAsia="新宋体"/>
                <w:szCs w:val="21"/>
              </w:rPr>
            </w:pPr>
            <w:r>
              <w:rPr>
                <w:rFonts w:hint="eastAsia" w:ascii="新宋体" w:hAnsi="新宋体" w:eastAsia="新宋体"/>
                <w:szCs w:val="21"/>
              </w:rPr>
              <w:t>序号</w:t>
            </w:r>
          </w:p>
        </w:tc>
        <w:tc>
          <w:tcPr>
            <w:tcW w:w="1080" w:type="dxa"/>
            <w:vAlign w:val="center"/>
          </w:tcPr>
          <w:p w14:paraId="56575C5B">
            <w:pPr>
              <w:spacing w:line="276" w:lineRule="auto"/>
              <w:jc w:val="center"/>
              <w:rPr>
                <w:rFonts w:ascii="新宋体" w:hAnsi="新宋体" w:eastAsia="新宋体"/>
                <w:szCs w:val="21"/>
              </w:rPr>
            </w:pPr>
            <w:r>
              <w:rPr>
                <w:rFonts w:hint="eastAsia" w:ascii="新宋体" w:hAnsi="新宋体" w:eastAsia="新宋体"/>
                <w:szCs w:val="21"/>
              </w:rPr>
              <w:t>目录</w:t>
            </w:r>
          </w:p>
        </w:tc>
        <w:tc>
          <w:tcPr>
            <w:tcW w:w="1980" w:type="dxa"/>
            <w:vAlign w:val="center"/>
          </w:tcPr>
          <w:p w14:paraId="322C55C1">
            <w:pPr>
              <w:spacing w:line="276" w:lineRule="auto"/>
              <w:jc w:val="center"/>
              <w:rPr>
                <w:rFonts w:ascii="新宋体" w:hAnsi="新宋体" w:eastAsia="新宋体"/>
                <w:szCs w:val="21"/>
              </w:rPr>
            </w:pPr>
            <w:r>
              <w:rPr>
                <w:rFonts w:hint="eastAsia" w:ascii="新宋体" w:hAnsi="新宋体" w:eastAsia="新宋体"/>
                <w:szCs w:val="21"/>
              </w:rPr>
              <w:t>招标商务条款</w:t>
            </w:r>
          </w:p>
        </w:tc>
        <w:tc>
          <w:tcPr>
            <w:tcW w:w="1980" w:type="dxa"/>
            <w:vAlign w:val="center"/>
          </w:tcPr>
          <w:p w14:paraId="1A79E9A1">
            <w:pPr>
              <w:spacing w:line="276" w:lineRule="auto"/>
              <w:jc w:val="center"/>
              <w:rPr>
                <w:rFonts w:ascii="新宋体" w:hAnsi="新宋体" w:eastAsia="新宋体"/>
                <w:szCs w:val="21"/>
              </w:rPr>
            </w:pPr>
            <w:r>
              <w:rPr>
                <w:rFonts w:hint="eastAsia" w:ascii="新宋体" w:hAnsi="新宋体" w:eastAsia="新宋体"/>
                <w:szCs w:val="21"/>
              </w:rPr>
              <w:t>投标商务条款</w:t>
            </w:r>
          </w:p>
        </w:tc>
        <w:tc>
          <w:tcPr>
            <w:tcW w:w="1440" w:type="dxa"/>
            <w:vAlign w:val="center"/>
          </w:tcPr>
          <w:p w14:paraId="3D695B2F">
            <w:pPr>
              <w:spacing w:line="276" w:lineRule="auto"/>
              <w:jc w:val="center"/>
              <w:rPr>
                <w:rFonts w:ascii="新宋体" w:hAnsi="新宋体" w:eastAsia="新宋体"/>
                <w:szCs w:val="21"/>
              </w:rPr>
            </w:pPr>
            <w:r>
              <w:rPr>
                <w:rFonts w:hint="eastAsia" w:ascii="新宋体" w:hAnsi="新宋体" w:eastAsia="新宋体"/>
                <w:szCs w:val="21"/>
              </w:rPr>
              <w:t>偏离情况</w:t>
            </w:r>
          </w:p>
        </w:tc>
        <w:tc>
          <w:tcPr>
            <w:tcW w:w="1620" w:type="dxa"/>
            <w:vAlign w:val="center"/>
          </w:tcPr>
          <w:p w14:paraId="49DB0E4A">
            <w:pPr>
              <w:spacing w:line="276" w:lineRule="auto"/>
              <w:jc w:val="center"/>
              <w:rPr>
                <w:rFonts w:ascii="新宋体" w:hAnsi="新宋体" w:eastAsia="新宋体"/>
                <w:szCs w:val="21"/>
              </w:rPr>
            </w:pPr>
            <w:r>
              <w:rPr>
                <w:rFonts w:hint="eastAsia" w:ascii="新宋体" w:hAnsi="新宋体" w:eastAsia="新宋体"/>
                <w:szCs w:val="21"/>
              </w:rPr>
              <w:t>说明</w:t>
            </w:r>
          </w:p>
        </w:tc>
      </w:tr>
      <w:tr w14:paraId="2140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6"/>
            <w:vAlign w:val="center"/>
          </w:tcPr>
          <w:p w14:paraId="6C62EB37">
            <w:pPr>
              <w:spacing w:line="276" w:lineRule="auto"/>
              <w:rPr>
                <w:rFonts w:ascii="新宋体" w:hAnsi="新宋体" w:eastAsia="新宋体"/>
                <w:szCs w:val="21"/>
              </w:rPr>
            </w:pPr>
            <w:r>
              <w:rPr>
                <w:rFonts w:hint="eastAsia" w:ascii="新宋体" w:hAnsi="新宋体" w:eastAsia="新宋体"/>
                <w:szCs w:val="21"/>
              </w:rPr>
              <w:t>（一）免费保修期内售后服务条款偏离表</w:t>
            </w:r>
          </w:p>
        </w:tc>
      </w:tr>
      <w:tr w14:paraId="225C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1322EC89">
            <w:pPr>
              <w:spacing w:line="276" w:lineRule="auto"/>
              <w:rPr>
                <w:rFonts w:ascii="新宋体" w:hAnsi="新宋体" w:eastAsia="新宋体"/>
                <w:szCs w:val="21"/>
              </w:rPr>
            </w:pPr>
            <w:r>
              <w:rPr>
                <w:rFonts w:hint="eastAsia" w:ascii="新宋体" w:hAnsi="新宋体" w:eastAsia="新宋体"/>
                <w:szCs w:val="21"/>
              </w:rPr>
              <w:t>1</w:t>
            </w:r>
          </w:p>
        </w:tc>
        <w:tc>
          <w:tcPr>
            <w:tcW w:w="1080" w:type="dxa"/>
            <w:vAlign w:val="center"/>
          </w:tcPr>
          <w:p w14:paraId="4AC83BCA">
            <w:pPr>
              <w:spacing w:line="276" w:lineRule="auto"/>
              <w:rPr>
                <w:rFonts w:ascii="新宋体" w:hAnsi="新宋体" w:eastAsia="新宋体"/>
                <w:szCs w:val="21"/>
              </w:rPr>
            </w:pPr>
          </w:p>
        </w:tc>
        <w:tc>
          <w:tcPr>
            <w:tcW w:w="1980" w:type="dxa"/>
            <w:vAlign w:val="center"/>
          </w:tcPr>
          <w:p w14:paraId="636CD851">
            <w:pPr>
              <w:spacing w:line="276" w:lineRule="auto"/>
              <w:rPr>
                <w:rFonts w:ascii="新宋体" w:hAnsi="新宋体" w:eastAsia="新宋体"/>
                <w:szCs w:val="21"/>
              </w:rPr>
            </w:pPr>
          </w:p>
        </w:tc>
        <w:tc>
          <w:tcPr>
            <w:tcW w:w="1980" w:type="dxa"/>
            <w:vAlign w:val="center"/>
          </w:tcPr>
          <w:p w14:paraId="2D0BADC4">
            <w:pPr>
              <w:spacing w:line="276" w:lineRule="auto"/>
              <w:rPr>
                <w:rFonts w:ascii="新宋体" w:hAnsi="新宋体" w:eastAsia="新宋体"/>
                <w:szCs w:val="21"/>
              </w:rPr>
            </w:pPr>
          </w:p>
        </w:tc>
        <w:tc>
          <w:tcPr>
            <w:tcW w:w="1440" w:type="dxa"/>
            <w:vAlign w:val="center"/>
          </w:tcPr>
          <w:p w14:paraId="2B6231DB">
            <w:pPr>
              <w:spacing w:line="276" w:lineRule="auto"/>
              <w:rPr>
                <w:rFonts w:ascii="新宋体" w:hAnsi="新宋体" w:eastAsia="新宋体"/>
                <w:szCs w:val="21"/>
              </w:rPr>
            </w:pPr>
          </w:p>
        </w:tc>
        <w:tc>
          <w:tcPr>
            <w:tcW w:w="1620" w:type="dxa"/>
            <w:vAlign w:val="center"/>
          </w:tcPr>
          <w:p w14:paraId="517EAE55">
            <w:pPr>
              <w:spacing w:line="276" w:lineRule="auto"/>
              <w:rPr>
                <w:rFonts w:ascii="新宋体" w:hAnsi="新宋体" w:eastAsia="新宋体"/>
                <w:szCs w:val="21"/>
              </w:rPr>
            </w:pPr>
          </w:p>
        </w:tc>
      </w:tr>
      <w:tr w14:paraId="703D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3AA80DB3">
            <w:pPr>
              <w:spacing w:line="276" w:lineRule="auto"/>
              <w:rPr>
                <w:rFonts w:ascii="新宋体" w:hAnsi="新宋体" w:eastAsia="新宋体"/>
                <w:szCs w:val="21"/>
              </w:rPr>
            </w:pPr>
            <w:r>
              <w:rPr>
                <w:rFonts w:hint="eastAsia" w:ascii="新宋体" w:hAnsi="新宋体" w:eastAsia="新宋体"/>
                <w:szCs w:val="21"/>
              </w:rPr>
              <w:t>2</w:t>
            </w:r>
          </w:p>
        </w:tc>
        <w:tc>
          <w:tcPr>
            <w:tcW w:w="1080" w:type="dxa"/>
            <w:vAlign w:val="center"/>
          </w:tcPr>
          <w:p w14:paraId="7FF34B32">
            <w:pPr>
              <w:spacing w:line="276" w:lineRule="auto"/>
              <w:rPr>
                <w:rFonts w:ascii="新宋体" w:hAnsi="新宋体" w:eastAsia="新宋体"/>
                <w:szCs w:val="21"/>
              </w:rPr>
            </w:pPr>
          </w:p>
        </w:tc>
        <w:tc>
          <w:tcPr>
            <w:tcW w:w="1980" w:type="dxa"/>
            <w:vAlign w:val="center"/>
          </w:tcPr>
          <w:p w14:paraId="17183754">
            <w:pPr>
              <w:spacing w:line="276" w:lineRule="auto"/>
              <w:rPr>
                <w:rFonts w:ascii="新宋体" w:hAnsi="新宋体" w:eastAsia="新宋体"/>
                <w:szCs w:val="21"/>
              </w:rPr>
            </w:pPr>
          </w:p>
        </w:tc>
        <w:tc>
          <w:tcPr>
            <w:tcW w:w="1980" w:type="dxa"/>
            <w:vAlign w:val="center"/>
          </w:tcPr>
          <w:p w14:paraId="66B36124">
            <w:pPr>
              <w:spacing w:line="276" w:lineRule="auto"/>
              <w:rPr>
                <w:rFonts w:ascii="新宋体" w:hAnsi="新宋体" w:eastAsia="新宋体"/>
                <w:szCs w:val="21"/>
              </w:rPr>
            </w:pPr>
          </w:p>
        </w:tc>
        <w:tc>
          <w:tcPr>
            <w:tcW w:w="1440" w:type="dxa"/>
            <w:vAlign w:val="center"/>
          </w:tcPr>
          <w:p w14:paraId="4956FDD2">
            <w:pPr>
              <w:spacing w:line="276" w:lineRule="auto"/>
              <w:rPr>
                <w:rFonts w:ascii="新宋体" w:hAnsi="新宋体" w:eastAsia="新宋体"/>
                <w:szCs w:val="21"/>
              </w:rPr>
            </w:pPr>
          </w:p>
        </w:tc>
        <w:tc>
          <w:tcPr>
            <w:tcW w:w="1620" w:type="dxa"/>
            <w:vAlign w:val="center"/>
          </w:tcPr>
          <w:p w14:paraId="41B430F7">
            <w:pPr>
              <w:spacing w:line="276" w:lineRule="auto"/>
              <w:rPr>
                <w:rFonts w:ascii="新宋体" w:hAnsi="新宋体" w:eastAsia="新宋体"/>
                <w:szCs w:val="21"/>
              </w:rPr>
            </w:pPr>
          </w:p>
        </w:tc>
      </w:tr>
      <w:tr w14:paraId="4F97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5E899B42">
            <w:pPr>
              <w:spacing w:line="276" w:lineRule="auto"/>
              <w:rPr>
                <w:rFonts w:ascii="新宋体" w:hAnsi="新宋体" w:eastAsia="新宋体"/>
                <w:szCs w:val="21"/>
              </w:rPr>
            </w:pPr>
            <w:r>
              <w:rPr>
                <w:rFonts w:hint="eastAsia" w:ascii="新宋体" w:hAnsi="新宋体" w:eastAsia="新宋体"/>
                <w:szCs w:val="21"/>
              </w:rPr>
              <w:t>……</w:t>
            </w:r>
          </w:p>
        </w:tc>
        <w:tc>
          <w:tcPr>
            <w:tcW w:w="1080" w:type="dxa"/>
            <w:vAlign w:val="center"/>
          </w:tcPr>
          <w:p w14:paraId="78AE5305">
            <w:pPr>
              <w:spacing w:line="276" w:lineRule="auto"/>
              <w:rPr>
                <w:rFonts w:ascii="新宋体" w:hAnsi="新宋体" w:eastAsia="新宋体"/>
                <w:szCs w:val="21"/>
              </w:rPr>
            </w:pPr>
          </w:p>
        </w:tc>
        <w:tc>
          <w:tcPr>
            <w:tcW w:w="1980" w:type="dxa"/>
            <w:vAlign w:val="center"/>
          </w:tcPr>
          <w:p w14:paraId="358F9478">
            <w:pPr>
              <w:spacing w:line="276" w:lineRule="auto"/>
              <w:rPr>
                <w:rFonts w:ascii="新宋体" w:hAnsi="新宋体" w:eastAsia="新宋体"/>
                <w:szCs w:val="21"/>
              </w:rPr>
            </w:pPr>
          </w:p>
        </w:tc>
        <w:tc>
          <w:tcPr>
            <w:tcW w:w="1980" w:type="dxa"/>
            <w:vAlign w:val="center"/>
          </w:tcPr>
          <w:p w14:paraId="4D924BD0">
            <w:pPr>
              <w:spacing w:line="276" w:lineRule="auto"/>
              <w:rPr>
                <w:rFonts w:ascii="新宋体" w:hAnsi="新宋体" w:eastAsia="新宋体"/>
                <w:szCs w:val="21"/>
              </w:rPr>
            </w:pPr>
          </w:p>
        </w:tc>
        <w:tc>
          <w:tcPr>
            <w:tcW w:w="1440" w:type="dxa"/>
            <w:vAlign w:val="center"/>
          </w:tcPr>
          <w:p w14:paraId="1E653BCE">
            <w:pPr>
              <w:spacing w:line="276" w:lineRule="auto"/>
              <w:rPr>
                <w:rFonts w:ascii="新宋体" w:hAnsi="新宋体" w:eastAsia="新宋体"/>
                <w:szCs w:val="21"/>
              </w:rPr>
            </w:pPr>
          </w:p>
        </w:tc>
        <w:tc>
          <w:tcPr>
            <w:tcW w:w="1620" w:type="dxa"/>
            <w:vAlign w:val="center"/>
          </w:tcPr>
          <w:p w14:paraId="4E49E9A9">
            <w:pPr>
              <w:spacing w:line="276" w:lineRule="auto"/>
              <w:rPr>
                <w:rFonts w:ascii="新宋体" w:hAnsi="新宋体" w:eastAsia="新宋体"/>
                <w:szCs w:val="21"/>
              </w:rPr>
            </w:pPr>
          </w:p>
        </w:tc>
      </w:tr>
      <w:tr w14:paraId="0778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6"/>
            <w:vAlign w:val="center"/>
          </w:tcPr>
          <w:p w14:paraId="400D1FD9">
            <w:pPr>
              <w:spacing w:line="276" w:lineRule="auto"/>
              <w:rPr>
                <w:rFonts w:ascii="新宋体" w:hAnsi="新宋体" w:eastAsia="新宋体"/>
                <w:szCs w:val="21"/>
              </w:rPr>
            </w:pPr>
            <w:r>
              <w:rPr>
                <w:rFonts w:hint="eastAsia" w:ascii="新宋体" w:hAnsi="新宋体" w:eastAsia="新宋体"/>
                <w:szCs w:val="21"/>
              </w:rPr>
              <w:t>（二）免费保修期外售后服务条款偏离表</w:t>
            </w:r>
          </w:p>
        </w:tc>
      </w:tr>
      <w:tr w14:paraId="337E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57D21A5A">
            <w:pPr>
              <w:spacing w:line="276" w:lineRule="auto"/>
              <w:rPr>
                <w:rFonts w:ascii="新宋体" w:hAnsi="新宋体" w:eastAsia="新宋体"/>
                <w:szCs w:val="21"/>
              </w:rPr>
            </w:pPr>
            <w:r>
              <w:rPr>
                <w:rFonts w:hint="eastAsia" w:ascii="新宋体" w:hAnsi="新宋体" w:eastAsia="新宋体"/>
                <w:szCs w:val="21"/>
              </w:rPr>
              <w:t>1</w:t>
            </w:r>
          </w:p>
        </w:tc>
        <w:tc>
          <w:tcPr>
            <w:tcW w:w="1080" w:type="dxa"/>
            <w:vAlign w:val="center"/>
          </w:tcPr>
          <w:p w14:paraId="5E4A299E">
            <w:pPr>
              <w:spacing w:line="276" w:lineRule="auto"/>
              <w:rPr>
                <w:rFonts w:ascii="新宋体" w:hAnsi="新宋体" w:eastAsia="新宋体"/>
                <w:szCs w:val="21"/>
              </w:rPr>
            </w:pPr>
          </w:p>
        </w:tc>
        <w:tc>
          <w:tcPr>
            <w:tcW w:w="1980" w:type="dxa"/>
            <w:vAlign w:val="center"/>
          </w:tcPr>
          <w:p w14:paraId="0C290005">
            <w:pPr>
              <w:spacing w:line="276" w:lineRule="auto"/>
              <w:rPr>
                <w:rFonts w:ascii="新宋体" w:hAnsi="新宋体" w:eastAsia="新宋体"/>
                <w:szCs w:val="21"/>
              </w:rPr>
            </w:pPr>
          </w:p>
        </w:tc>
        <w:tc>
          <w:tcPr>
            <w:tcW w:w="1980" w:type="dxa"/>
            <w:vAlign w:val="center"/>
          </w:tcPr>
          <w:p w14:paraId="70E707EE">
            <w:pPr>
              <w:spacing w:line="276" w:lineRule="auto"/>
              <w:rPr>
                <w:rFonts w:ascii="新宋体" w:hAnsi="新宋体" w:eastAsia="新宋体"/>
                <w:szCs w:val="21"/>
              </w:rPr>
            </w:pPr>
          </w:p>
        </w:tc>
        <w:tc>
          <w:tcPr>
            <w:tcW w:w="1440" w:type="dxa"/>
            <w:vAlign w:val="center"/>
          </w:tcPr>
          <w:p w14:paraId="323EACB9">
            <w:pPr>
              <w:spacing w:line="276" w:lineRule="auto"/>
              <w:rPr>
                <w:rFonts w:ascii="新宋体" w:hAnsi="新宋体" w:eastAsia="新宋体"/>
                <w:szCs w:val="21"/>
              </w:rPr>
            </w:pPr>
          </w:p>
        </w:tc>
        <w:tc>
          <w:tcPr>
            <w:tcW w:w="1620" w:type="dxa"/>
            <w:vAlign w:val="center"/>
          </w:tcPr>
          <w:p w14:paraId="49DFF024">
            <w:pPr>
              <w:spacing w:line="276" w:lineRule="auto"/>
              <w:rPr>
                <w:rFonts w:ascii="新宋体" w:hAnsi="新宋体" w:eastAsia="新宋体"/>
                <w:szCs w:val="21"/>
              </w:rPr>
            </w:pPr>
          </w:p>
        </w:tc>
      </w:tr>
      <w:tr w14:paraId="1458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72AAF3EE">
            <w:pPr>
              <w:spacing w:line="276" w:lineRule="auto"/>
              <w:rPr>
                <w:rFonts w:ascii="新宋体" w:hAnsi="新宋体" w:eastAsia="新宋体"/>
                <w:szCs w:val="21"/>
              </w:rPr>
            </w:pPr>
            <w:r>
              <w:rPr>
                <w:rFonts w:hint="eastAsia" w:ascii="新宋体" w:hAnsi="新宋体" w:eastAsia="新宋体"/>
                <w:szCs w:val="21"/>
              </w:rPr>
              <w:t>2</w:t>
            </w:r>
          </w:p>
        </w:tc>
        <w:tc>
          <w:tcPr>
            <w:tcW w:w="1080" w:type="dxa"/>
            <w:vAlign w:val="center"/>
          </w:tcPr>
          <w:p w14:paraId="5FB5823A">
            <w:pPr>
              <w:spacing w:line="276" w:lineRule="auto"/>
              <w:rPr>
                <w:rFonts w:ascii="新宋体" w:hAnsi="新宋体" w:eastAsia="新宋体"/>
                <w:szCs w:val="21"/>
              </w:rPr>
            </w:pPr>
          </w:p>
        </w:tc>
        <w:tc>
          <w:tcPr>
            <w:tcW w:w="1980" w:type="dxa"/>
            <w:vAlign w:val="center"/>
          </w:tcPr>
          <w:p w14:paraId="6A9B2C24">
            <w:pPr>
              <w:spacing w:line="276" w:lineRule="auto"/>
              <w:rPr>
                <w:rFonts w:ascii="新宋体" w:hAnsi="新宋体" w:eastAsia="新宋体"/>
                <w:szCs w:val="21"/>
              </w:rPr>
            </w:pPr>
          </w:p>
        </w:tc>
        <w:tc>
          <w:tcPr>
            <w:tcW w:w="1980" w:type="dxa"/>
            <w:vAlign w:val="center"/>
          </w:tcPr>
          <w:p w14:paraId="275EF6D8">
            <w:pPr>
              <w:spacing w:line="276" w:lineRule="auto"/>
              <w:rPr>
                <w:rFonts w:ascii="新宋体" w:hAnsi="新宋体" w:eastAsia="新宋体"/>
                <w:szCs w:val="21"/>
              </w:rPr>
            </w:pPr>
          </w:p>
        </w:tc>
        <w:tc>
          <w:tcPr>
            <w:tcW w:w="1440" w:type="dxa"/>
            <w:vAlign w:val="center"/>
          </w:tcPr>
          <w:p w14:paraId="657FE3E5">
            <w:pPr>
              <w:spacing w:line="276" w:lineRule="auto"/>
              <w:rPr>
                <w:rFonts w:ascii="新宋体" w:hAnsi="新宋体" w:eastAsia="新宋体"/>
                <w:szCs w:val="21"/>
              </w:rPr>
            </w:pPr>
          </w:p>
        </w:tc>
        <w:tc>
          <w:tcPr>
            <w:tcW w:w="1620" w:type="dxa"/>
            <w:vAlign w:val="center"/>
          </w:tcPr>
          <w:p w14:paraId="1013114D">
            <w:pPr>
              <w:spacing w:line="276" w:lineRule="auto"/>
              <w:rPr>
                <w:rFonts w:ascii="新宋体" w:hAnsi="新宋体" w:eastAsia="新宋体"/>
                <w:szCs w:val="21"/>
              </w:rPr>
            </w:pPr>
          </w:p>
        </w:tc>
      </w:tr>
      <w:tr w14:paraId="2CF6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6D47B824">
            <w:pPr>
              <w:spacing w:line="276" w:lineRule="auto"/>
              <w:rPr>
                <w:rFonts w:ascii="新宋体" w:hAnsi="新宋体" w:eastAsia="新宋体"/>
                <w:szCs w:val="21"/>
              </w:rPr>
            </w:pPr>
            <w:r>
              <w:rPr>
                <w:rFonts w:hint="eastAsia" w:ascii="新宋体" w:hAnsi="新宋体" w:eastAsia="新宋体"/>
                <w:szCs w:val="21"/>
              </w:rPr>
              <w:t>……</w:t>
            </w:r>
          </w:p>
        </w:tc>
        <w:tc>
          <w:tcPr>
            <w:tcW w:w="1080" w:type="dxa"/>
            <w:vAlign w:val="center"/>
          </w:tcPr>
          <w:p w14:paraId="1489D84C">
            <w:pPr>
              <w:spacing w:line="276" w:lineRule="auto"/>
              <w:rPr>
                <w:rFonts w:ascii="新宋体" w:hAnsi="新宋体" w:eastAsia="新宋体"/>
                <w:szCs w:val="21"/>
              </w:rPr>
            </w:pPr>
          </w:p>
        </w:tc>
        <w:tc>
          <w:tcPr>
            <w:tcW w:w="1980" w:type="dxa"/>
            <w:vAlign w:val="center"/>
          </w:tcPr>
          <w:p w14:paraId="2B7A2CAB">
            <w:pPr>
              <w:spacing w:line="276" w:lineRule="auto"/>
              <w:rPr>
                <w:rFonts w:ascii="新宋体" w:hAnsi="新宋体" w:eastAsia="新宋体"/>
                <w:szCs w:val="21"/>
              </w:rPr>
            </w:pPr>
          </w:p>
        </w:tc>
        <w:tc>
          <w:tcPr>
            <w:tcW w:w="1980" w:type="dxa"/>
            <w:vAlign w:val="center"/>
          </w:tcPr>
          <w:p w14:paraId="59E36B1C">
            <w:pPr>
              <w:spacing w:line="276" w:lineRule="auto"/>
              <w:rPr>
                <w:rFonts w:ascii="新宋体" w:hAnsi="新宋体" w:eastAsia="新宋体"/>
                <w:szCs w:val="21"/>
              </w:rPr>
            </w:pPr>
          </w:p>
        </w:tc>
        <w:tc>
          <w:tcPr>
            <w:tcW w:w="1440" w:type="dxa"/>
            <w:vAlign w:val="center"/>
          </w:tcPr>
          <w:p w14:paraId="3BC9775E">
            <w:pPr>
              <w:spacing w:line="276" w:lineRule="auto"/>
              <w:rPr>
                <w:rFonts w:ascii="新宋体" w:hAnsi="新宋体" w:eastAsia="新宋体"/>
                <w:szCs w:val="21"/>
              </w:rPr>
            </w:pPr>
          </w:p>
        </w:tc>
        <w:tc>
          <w:tcPr>
            <w:tcW w:w="1620" w:type="dxa"/>
            <w:vAlign w:val="center"/>
          </w:tcPr>
          <w:p w14:paraId="11A81A9D">
            <w:pPr>
              <w:spacing w:line="276" w:lineRule="auto"/>
              <w:rPr>
                <w:rFonts w:ascii="新宋体" w:hAnsi="新宋体" w:eastAsia="新宋体"/>
                <w:szCs w:val="21"/>
              </w:rPr>
            </w:pPr>
          </w:p>
        </w:tc>
      </w:tr>
      <w:tr w14:paraId="354E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6"/>
            <w:vAlign w:val="center"/>
          </w:tcPr>
          <w:p w14:paraId="613BAC61">
            <w:pPr>
              <w:spacing w:line="276" w:lineRule="auto"/>
              <w:rPr>
                <w:rFonts w:ascii="新宋体" w:hAnsi="新宋体" w:eastAsia="新宋体"/>
                <w:szCs w:val="21"/>
              </w:rPr>
            </w:pPr>
            <w:r>
              <w:rPr>
                <w:rFonts w:hint="eastAsia" w:ascii="新宋体" w:hAnsi="新宋体" w:eastAsia="新宋体"/>
                <w:szCs w:val="21"/>
              </w:rPr>
              <w:t>（三）其他商务条款偏离表</w:t>
            </w:r>
          </w:p>
        </w:tc>
      </w:tr>
      <w:tr w14:paraId="6826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639AA183">
            <w:pPr>
              <w:spacing w:line="276" w:lineRule="auto"/>
              <w:rPr>
                <w:rFonts w:ascii="新宋体" w:hAnsi="新宋体" w:eastAsia="新宋体"/>
                <w:szCs w:val="21"/>
              </w:rPr>
            </w:pPr>
            <w:r>
              <w:rPr>
                <w:rFonts w:hint="eastAsia" w:ascii="新宋体" w:hAnsi="新宋体" w:eastAsia="新宋体"/>
                <w:szCs w:val="21"/>
              </w:rPr>
              <w:t>1</w:t>
            </w:r>
          </w:p>
        </w:tc>
        <w:tc>
          <w:tcPr>
            <w:tcW w:w="1080" w:type="dxa"/>
            <w:vAlign w:val="center"/>
          </w:tcPr>
          <w:p w14:paraId="29E4CAEE">
            <w:pPr>
              <w:spacing w:line="276" w:lineRule="auto"/>
              <w:rPr>
                <w:rFonts w:ascii="新宋体" w:hAnsi="新宋体" w:eastAsia="新宋体"/>
                <w:szCs w:val="21"/>
              </w:rPr>
            </w:pPr>
          </w:p>
        </w:tc>
        <w:tc>
          <w:tcPr>
            <w:tcW w:w="1980" w:type="dxa"/>
            <w:vAlign w:val="center"/>
          </w:tcPr>
          <w:p w14:paraId="1085E082">
            <w:pPr>
              <w:spacing w:line="276" w:lineRule="auto"/>
              <w:rPr>
                <w:rFonts w:ascii="新宋体" w:hAnsi="新宋体" w:eastAsia="新宋体"/>
                <w:szCs w:val="21"/>
              </w:rPr>
            </w:pPr>
          </w:p>
        </w:tc>
        <w:tc>
          <w:tcPr>
            <w:tcW w:w="1980" w:type="dxa"/>
            <w:vAlign w:val="center"/>
          </w:tcPr>
          <w:p w14:paraId="626CF9D0">
            <w:pPr>
              <w:spacing w:line="276" w:lineRule="auto"/>
              <w:rPr>
                <w:rFonts w:ascii="新宋体" w:hAnsi="新宋体" w:eastAsia="新宋体"/>
                <w:szCs w:val="21"/>
              </w:rPr>
            </w:pPr>
          </w:p>
        </w:tc>
        <w:tc>
          <w:tcPr>
            <w:tcW w:w="1440" w:type="dxa"/>
            <w:vAlign w:val="center"/>
          </w:tcPr>
          <w:p w14:paraId="142BF189">
            <w:pPr>
              <w:spacing w:line="276" w:lineRule="auto"/>
              <w:rPr>
                <w:rFonts w:ascii="新宋体" w:hAnsi="新宋体" w:eastAsia="新宋体"/>
                <w:szCs w:val="21"/>
              </w:rPr>
            </w:pPr>
          </w:p>
        </w:tc>
        <w:tc>
          <w:tcPr>
            <w:tcW w:w="1620" w:type="dxa"/>
            <w:vAlign w:val="center"/>
          </w:tcPr>
          <w:p w14:paraId="098898FA">
            <w:pPr>
              <w:spacing w:line="276" w:lineRule="auto"/>
              <w:rPr>
                <w:rFonts w:ascii="新宋体" w:hAnsi="新宋体" w:eastAsia="新宋体"/>
                <w:szCs w:val="21"/>
              </w:rPr>
            </w:pPr>
          </w:p>
        </w:tc>
      </w:tr>
      <w:tr w14:paraId="73B3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07242C05">
            <w:pPr>
              <w:spacing w:line="276" w:lineRule="auto"/>
              <w:rPr>
                <w:rFonts w:ascii="新宋体" w:hAnsi="新宋体" w:eastAsia="新宋体"/>
                <w:szCs w:val="21"/>
              </w:rPr>
            </w:pPr>
            <w:r>
              <w:rPr>
                <w:rFonts w:hint="eastAsia" w:ascii="新宋体" w:hAnsi="新宋体" w:eastAsia="新宋体"/>
                <w:szCs w:val="21"/>
              </w:rPr>
              <w:t>2</w:t>
            </w:r>
          </w:p>
        </w:tc>
        <w:tc>
          <w:tcPr>
            <w:tcW w:w="1080" w:type="dxa"/>
            <w:vAlign w:val="center"/>
          </w:tcPr>
          <w:p w14:paraId="562EE6AA">
            <w:pPr>
              <w:spacing w:line="276" w:lineRule="auto"/>
              <w:rPr>
                <w:rFonts w:ascii="新宋体" w:hAnsi="新宋体" w:eastAsia="新宋体"/>
                <w:szCs w:val="21"/>
              </w:rPr>
            </w:pPr>
          </w:p>
        </w:tc>
        <w:tc>
          <w:tcPr>
            <w:tcW w:w="1980" w:type="dxa"/>
            <w:vAlign w:val="center"/>
          </w:tcPr>
          <w:p w14:paraId="479BD7D7">
            <w:pPr>
              <w:spacing w:line="276" w:lineRule="auto"/>
              <w:rPr>
                <w:rFonts w:ascii="新宋体" w:hAnsi="新宋体" w:eastAsia="新宋体"/>
                <w:szCs w:val="21"/>
              </w:rPr>
            </w:pPr>
          </w:p>
        </w:tc>
        <w:tc>
          <w:tcPr>
            <w:tcW w:w="1980" w:type="dxa"/>
            <w:vAlign w:val="center"/>
          </w:tcPr>
          <w:p w14:paraId="0A7EE66D">
            <w:pPr>
              <w:spacing w:line="276" w:lineRule="auto"/>
              <w:rPr>
                <w:rFonts w:ascii="新宋体" w:hAnsi="新宋体" w:eastAsia="新宋体"/>
                <w:szCs w:val="21"/>
              </w:rPr>
            </w:pPr>
          </w:p>
        </w:tc>
        <w:tc>
          <w:tcPr>
            <w:tcW w:w="1440" w:type="dxa"/>
            <w:vAlign w:val="center"/>
          </w:tcPr>
          <w:p w14:paraId="65029A33">
            <w:pPr>
              <w:spacing w:line="276" w:lineRule="auto"/>
              <w:rPr>
                <w:rFonts w:ascii="新宋体" w:hAnsi="新宋体" w:eastAsia="新宋体"/>
                <w:szCs w:val="21"/>
              </w:rPr>
            </w:pPr>
          </w:p>
        </w:tc>
        <w:tc>
          <w:tcPr>
            <w:tcW w:w="1620" w:type="dxa"/>
            <w:vAlign w:val="center"/>
          </w:tcPr>
          <w:p w14:paraId="007E0309">
            <w:pPr>
              <w:spacing w:line="276" w:lineRule="auto"/>
              <w:rPr>
                <w:rFonts w:ascii="新宋体" w:hAnsi="新宋体" w:eastAsia="新宋体"/>
                <w:szCs w:val="21"/>
              </w:rPr>
            </w:pPr>
          </w:p>
        </w:tc>
      </w:tr>
      <w:tr w14:paraId="7B78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131CCDCE">
            <w:pPr>
              <w:spacing w:line="276" w:lineRule="auto"/>
              <w:rPr>
                <w:rFonts w:ascii="新宋体" w:hAnsi="新宋体" w:eastAsia="新宋体"/>
                <w:szCs w:val="21"/>
              </w:rPr>
            </w:pPr>
            <w:r>
              <w:rPr>
                <w:rFonts w:hint="eastAsia" w:ascii="新宋体" w:hAnsi="新宋体" w:eastAsia="新宋体"/>
                <w:szCs w:val="21"/>
              </w:rPr>
              <w:t>……</w:t>
            </w:r>
          </w:p>
        </w:tc>
        <w:tc>
          <w:tcPr>
            <w:tcW w:w="1080" w:type="dxa"/>
            <w:vAlign w:val="center"/>
          </w:tcPr>
          <w:p w14:paraId="287E0D21">
            <w:pPr>
              <w:spacing w:line="276" w:lineRule="auto"/>
              <w:rPr>
                <w:rFonts w:ascii="新宋体" w:hAnsi="新宋体" w:eastAsia="新宋体"/>
                <w:szCs w:val="21"/>
              </w:rPr>
            </w:pPr>
          </w:p>
        </w:tc>
        <w:tc>
          <w:tcPr>
            <w:tcW w:w="1980" w:type="dxa"/>
            <w:vAlign w:val="center"/>
          </w:tcPr>
          <w:p w14:paraId="2B8DF42E">
            <w:pPr>
              <w:spacing w:line="276" w:lineRule="auto"/>
              <w:rPr>
                <w:rFonts w:ascii="新宋体" w:hAnsi="新宋体" w:eastAsia="新宋体"/>
                <w:szCs w:val="21"/>
              </w:rPr>
            </w:pPr>
          </w:p>
        </w:tc>
        <w:tc>
          <w:tcPr>
            <w:tcW w:w="1980" w:type="dxa"/>
            <w:vAlign w:val="center"/>
          </w:tcPr>
          <w:p w14:paraId="7A981FAC">
            <w:pPr>
              <w:spacing w:line="276" w:lineRule="auto"/>
              <w:rPr>
                <w:rFonts w:ascii="新宋体" w:hAnsi="新宋体" w:eastAsia="新宋体"/>
                <w:szCs w:val="21"/>
              </w:rPr>
            </w:pPr>
          </w:p>
        </w:tc>
        <w:tc>
          <w:tcPr>
            <w:tcW w:w="1440" w:type="dxa"/>
            <w:vAlign w:val="center"/>
          </w:tcPr>
          <w:p w14:paraId="267E5F3F">
            <w:pPr>
              <w:spacing w:line="276" w:lineRule="auto"/>
              <w:rPr>
                <w:rFonts w:ascii="新宋体" w:hAnsi="新宋体" w:eastAsia="新宋体"/>
                <w:szCs w:val="21"/>
              </w:rPr>
            </w:pPr>
          </w:p>
        </w:tc>
        <w:tc>
          <w:tcPr>
            <w:tcW w:w="1620" w:type="dxa"/>
            <w:vAlign w:val="center"/>
          </w:tcPr>
          <w:p w14:paraId="335EE44F">
            <w:pPr>
              <w:spacing w:line="276" w:lineRule="auto"/>
              <w:rPr>
                <w:rFonts w:ascii="新宋体" w:hAnsi="新宋体" w:eastAsia="新宋体"/>
                <w:szCs w:val="21"/>
              </w:rPr>
            </w:pPr>
          </w:p>
        </w:tc>
      </w:tr>
    </w:tbl>
    <w:p w14:paraId="52E9586B">
      <w:pPr>
        <w:spacing w:line="360" w:lineRule="auto"/>
        <w:ind w:firstLine="210" w:firstLineChars="100"/>
        <w:rPr>
          <w:rFonts w:ascii="新宋体" w:hAnsi="新宋体" w:eastAsia="新宋体"/>
          <w:bCs/>
          <w:szCs w:val="21"/>
        </w:rPr>
      </w:pPr>
      <w:r>
        <w:rPr>
          <w:rFonts w:hint="eastAsia" w:ascii="新宋体" w:hAnsi="新宋体" w:eastAsia="新宋体"/>
          <w:bCs/>
          <w:szCs w:val="21"/>
        </w:rPr>
        <w:t xml:space="preserve">投标人：（公章）                       </w:t>
      </w:r>
    </w:p>
    <w:p w14:paraId="4F8E635F">
      <w:pPr>
        <w:spacing w:line="360" w:lineRule="auto"/>
        <w:ind w:firstLine="210" w:firstLineChars="100"/>
        <w:rPr>
          <w:rFonts w:ascii="新宋体" w:hAnsi="新宋体" w:eastAsia="新宋体"/>
          <w:bCs/>
          <w:szCs w:val="21"/>
        </w:rPr>
      </w:pPr>
      <w:r>
        <w:rPr>
          <w:rFonts w:hint="eastAsia" w:ascii="新宋体" w:hAnsi="新宋体" w:eastAsia="新宋体"/>
          <w:bCs/>
          <w:szCs w:val="21"/>
        </w:rPr>
        <w:t>法定代表人或其委托代理人：（盖章或签字）</w:t>
      </w:r>
    </w:p>
    <w:p w14:paraId="1634C7EE">
      <w:pPr>
        <w:spacing w:line="360" w:lineRule="auto"/>
        <w:ind w:firstLine="210" w:firstLineChars="100"/>
        <w:rPr>
          <w:rFonts w:ascii="新宋体" w:hAnsi="新宋体" w:eastAsia="新宋体"/>
          <w:szCs w:val="21"/>
        </w:rPr>
      </w:pPr>
      <w:r>
        <w:rPr>
          <w:rFonts w:hint="eastAsia" w:ascii="新宋体" w:hAnsi="新宋体" w:eastAsia="新宋体"/>
          <w:bCs/>
          <w:szCs w:val="21"/>
        </w:rPr>
        <w:t>日期：   年   月   日：</w:t>
      </w:r>
    </w:p>
    <w:p w14:paraId="1B2A1BD0">
      <w:pPr>
        <w:spacing w:line="276" w:lineRule="auto"/>
        <w:rPr>
          <w:rFonts w:ascii="新宋体" w:hAnsi="新宋体" w:eastAsia="新宋体"/>
          <w:szCs w:val="21"/>
        </w:rPr>
      </w:pPr>
      <w:r>
        <w:rPr>
          <w:rFonts w:hint="eastAsia" w:ascii="新宋体" w:hAnsi="新宋体" w:eastAsia="新宋体"/>
          <w:szCs w:val="21"/>
        </w:rPr>
        <w:t>备注：</w:t>
      </w:r>
    </w:p>
    <w:p w14:paraId="78BA6524">
      <w:pPr>
        <w:rPr>
          <w:rFonts w:ascii="新宋体" w:hAnsi="新宋体" w:eastAsia="新宋体"/>
          <w:szCs w:val="21"/>
        </w:rPr>
      </w:pPr>
      <w:r>
        <w:rPr>
          <w:rFonts w:hint="eastAsia" w:ascii="新宋体" w:hAnsi="新宋体" w:eastAsia="新宋体"/>
          <w:szCs w:val="21"/>
        </w:rPr>
        <w:t>1. “招标商务条款”一栏必须填写招标文件第二章“商务需求”的内容分别对应“（一）免费保修期内售后服务要求、（二）免费保修期外售后服务要求、（三）其他商务要求”的内容进行填写。</w:t>
      </w:r>
    </w:p>
    <w:p w14:paraId="2732F6BC">
      <w:pPr>
        <w:rPr>
          <w:rFonts w:ascii="新宋体" w:hAnsi="新宋体" w:eastAsia="新宋体"/>
          <w:szCs w:val="21"/>
        </w:rPr>
      </w:pPr>
      <w:r>
        <w:rPr>
          <w:rFonts w:hint="eastAsia" w:ascii="新宋体" w:hAnsi="新宋体" w:eastAsia="新宋体"/>
          <w:szCs w:val="21"/>
        </w:rPr>
        <w:t>2. “投标商务条款”一栏必须详细填写投标商务条款的内容。</w:t>
      </w:r>
    </w:p>
    <w:p w14:paraId="7FA376FA">
      <w:pPr>
        <w:rPr>
          <w:rFonts w:ascii="新宋体" w:hAnsi="新宋体" w:eastAsia="新宋体"/>
          <w:szCs w:val="21"/>
        </w:rPr>
      </w:pPr>
      <w:r>
        <w:rPr>
          <w:rFonts w:hint="eastAsia" w:ascii="新宋体" w:hAnsi="新宋体" w:eastAsia="新宋体"/>
          <w:szCs w:val="21"/>
        </w:rPr>
        <w:t>3. “偏离情况”栏中应如实填写“正偏离”、“负偏离”或“无偏离”。</w:t>
      </w:r>
    </w:p>
    <w:p w14:paraId="4D609BE6">
      <w:pPr>
        <w:rPr>
          <w:rFonts w:ascii="新宋体" w:hAnsi="新宋体" w:eastAsia="新宋体"/>
          <w:szCs w:val="21"/>
        </w:rPr>
      </w:pPr>
      <w:r>
        <w:rPr>
          <w:rFonts w:hint="eastAsia" w:ascii="新宋体" w:hAnsi="新宋体" w:eastAsia="新宋体"/>
          <w:szCs w:val="21"/>
        </w:rPr>
        <w:t>4．投标人在《商务需求偏离表》填写的“投标商务条款”与《商务需求》的“招标商务条款”存在填写不全的，将被视为未实质性满足招标文件要求作投标无效处理。示例，“招标商务条款”共有10项参数，投标人只响应了9项，填写不全，则视为未实质性满足招标文件要求作投标无效处理。</w:t>
      </w:r>
    </w:p>
    <w:p w14:paraId="625028F8">
      <w:pPr>
        <w:rPr>
          <w:rFonts w:ascii="新宋体" w:hAnsi="新宋体" w:eastAsia="新宋体"/>
          <w:szCs w:val="21"/>
        </w:rPr>
      </w:pPr>
      <w:r>
        <w:rPr>
          <w:rFonts w:hint="eastAsia" w:ascii="新宋体" w:hAnsi="新宋体" w:eastAsia="新宋体"/>
          <w:b/>
          <w:szCs w:val="21"/>
        </w:rPr>
        <w:t>5．</w:t>
      </w:r>
      <w:r>
        <w:rPr>
          <w:rFonts w:hint="eastAsia" w:ascii="新宋体" w:hAnsi="新宋体" w:eastAsia="新宋体"/>
          <w:szCs w:val="21"/>
        </w:rPr>
        <w:t>投标人所填写的“偏离情况”与评审委员会判定不一致时</w:t>
      </w:r>
      <w:r>
        <w:rPr>
          <w:rFonts w:hint="eastAsia" w:ascii="新宋体" w:hAnsi="新宋体" w:eastAsia="新宋体"/>
          <w:b/>
          <w:szCs w:val="21"/>
        </w:rPr>
        <w:t>，以评审委员会意见为主。另，判定结果不一致的参数超过一定数量的，则评分项“商务偏离情况”将不得分（即计为0分）。</w:t>
      </w:r>
    </w:p>
    <w:p w14:paraId="344DC63B">
      <w:pPr>
        <w:rPr>
          <w:rFonts w:ascii="新宋体" w:hAnsi="新宋体" w:eastAsia="新宋体"/>
          <w:szCs w:val="21"/>
        </w:rPr>
      </w:pPr>
      <w:r>
        <w:rPr>
          <w:rFonts w:hint="eastAsia" w:ascii="新宋体" w:hAnsi="新宋体" w:eastAsia="新宋体"/>
          <w:b/>
          <w:szCs w:val="21"/>
        </w:rPr>
        <w:t>一定数量的设置：</w:t>
      </w:r>
      <w:r>
        <w:rPr>
          <w:rFonts w:hint="eastAsia" w:ascii="新宋体" w:hAnsi="新宋体" w:eastAsia="新宋体"/>
          <w:szCs w:val="21"/>
        </w:rPr>
        <w:t>（1）《商务需求》全部参数数量10%（四舍五入取整数）不足3条的，以3条为标准；（2）《商务需求》全部参数数量10%（四舍五入取整数）超过10条的，以10条为标准；（3）其他情况，按《商务需求》全部参数数量10%（四舍五入取整数）为标准。</w:t>
      </w:r>
    </w:p>
    <w:p w14:paraId="5F4AD18A">
      <w:pPr>
        <w:rPr>
          <w:rFonts w:ascii="新宋体" w:hAnsi="新宋体" w:eastAsia="新宋体"/>
          <w:szCs w:val="21"/>
        </w:rPr>
      </w:pPr>
      <w:r>
        <w:rPr>
          <w:rFonts w:hint="eastAsia" w:ascii="新宋体" w:hAnsi="新宋体" w:eastAsia="新宋体"/>
          <w:szCs w:val="21"/>
        </w:rPr>
        <w:t>6.交货期条款为不可负偏离条款，投标文件响应为“负偏离”的，投标文件将按无效投标处理。</w:t>
      </w:r>
    </w:p>
    <w:p w14:paraId="40EF011E">
      <w:pPr>
        <w:rPr>
          <w:rFonts w:ascii="新宋体" w:hAnsi="新宋体" w:eastAsia="新宋体"/>
          <w:szCs w:val="21"/>
        </w:rPr>
      </w:pPr>
      <w:r>
        <w:rPr>
          <w:rFonts w:hint="eastAsia" w:ascii="新宋体" w:hAnsi="新宋体" w:eastAsia="新宋体"/>
          <w:szCs w:val="21"/>
        </w:rPr>
        <w:t>7.开标一览表中填写的“交货期”应当与本表填写的“交货期”一致。如填写不一致，以本表填写的“交货期”为准。</w:t>
      </w:r>
    </w:p>
    <w:p w14:paraId="54A322FE">
      <w:pPr>
        <w:pStyle w:val="4"/>
        <w:jc w:val="center"/>
        <w:rPr>
          <w:rFonts w:ascii="新宋体" w:hAnsi="新宋体" w:eastAsia="新宋体"/>
          <w:kern w:val="44"/>
          <w:sz w:val="30"/>
          <w:szCs w:val="30"/>
        </w:rPr>
      </w:pPr>
      <w:r>
        <w:rPr>
          <w:rFonts w:hint="eastAsia" w:ascii="新宋体" w:hAnsi="新宋体" w:eastAsia="新宋体"/>
          <w:kern w:val="44"/>
          <w:sz w:val="30"/>
          <w:szCs w:val="30"/>
        </w:rPr>
        <w:t>九、投标人认为需要加以说明的其他内容</w:t>
      </w:r>
    </w:p>
    <w:p w14:paraId="640D388C">
      <w:pPr>
        <w:spacing w:line="276" w:lineRule="auto"/>
        <w:jc w:val="center"/>
        <w:rPr>
          <w:rFonts w:ascii="华文中宋" w:hAnsi="华文中宋" w:eastAsia="华文中宋"/>
          <w:kern w:val="0"/>
          <w:sz w:val="28"/>
          <w:szCs w:val="28"/>
        </w:rPr>
      </w:pPr>
    </w:p>
    <w:p w14:paraId="4FE2B557"/>
    <w:p w14:paraId="4CD9CB9E"/>
    <w:p w14:paraId="7F8AFEFB">
      <w:pPr>
        <w:spacing w:line="360" w:lineRule="auto"/>
        <w:rPr>
          <w:rFonts w:ascii="新宋体" w:hAnsi="新宋体" w:eastAsia="新宋体"/>
          <w:b/>
          <w:sz w:val="24"/>
        </w:rPr>
      </w:pPr>
      <w:r>
        <w:rPr>
          <w:rFonts w:hint="eastAsia" w:ascii="新宋体" w:hAnsi="新宋体" w:eastAsia="新宋体"/>
          <w:b/>
          <w:sz w:val="24"/>
        </w:rPr>
        <w:t>投标文件附件</w:t>
      </w:r>
    </w:p>
    <w:p w14:paraId="2D9F04F8">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（一）、法定代表人（负责人）资格证明书</w:t>
      </w:r>
    </w:p>
    <w:p w14:paraId="158DB032">
      <w:pPr>
        <w:spacing w:line="360" w:lineRule="auto"/>
        <w:rPr>
          <w:rFonts w:ascii="新宋体" w:hAnsi="新宋体" w:eastAsia="新宋体"/>
          <w:szCs w:val="21"/>
        </w:rPr>
      </w:pPr>
      <w:r>
        <w:rPr>
          <w:rFonts w:hint="eastAsia" w:ascii="新宋体" w:hAnsi="新宋体" w:eastAsia="新宋体"/>
          <w:szCs w:val="21"/>
        </w:rPr>
        <w:t>同志，现任我单位职务，为法定代表人</w:t>
      </w:r>
      <w:r>
        <w:rPr>
          <w:rFonts w:hint="eastAsia" w:ascii="新宋体" w:hAnsi="新宋体" w:eastAsia="新宋体"/>
          <w:b/>
          <w:kern w:val="0"/>
          <w:szCs w:val="21"/>
        </w:rPr>
        <w:t>（负责人）</w:t>
      </w:r>
      <w:r>
        <w:rPr>
          <w:rFonts w:hint="eastAsia" w:ascii="新宋体" w:hAnsi="新宋体" w:eastAsia="新宋体"/>
          <w:szCs w:val="21"/>
        </w:rPr>
        <w:t>，特此证明。</w:t>
      </w:r>
    </w:p>
    <w:p w14:paraId="7DE1ADDA">
      <w:pPr>
        <w:spacing w:line="360" w:lineRule="auto"/>
        <w:rPr>
          <w:rFonts w:ascii="新宋体" w:hAnsi="新宋体" w:eastAsia="新宋体"/>
          <w:szCs w:val="21"/>
        </w:rPr>
      </w:pPr>
      <w:r>
        <w:rPr>
          <w:rFonts w:hint="eastAsia" w:ascii="新宋体" w:hAnsi="新宋体" w:eastAsia="新宋体"/>
          <w:szCs w:val="21"/>
        </w:rPr>
        <w:t>说明：1、法定代表人为企业事业单位、国家机关、社会团体的主要负责人。</w:t>
      </w:r>
    </w:p>
    <w:p w14:paraId="7A5AFF75">
      <w:pPr>
        <w:spacing w:line="360" w:lineRule="auto"/>
        <w:rPr>
          <w:rFonts w:ascii="新宋体" w:hAnsi="新宋体" w:eastAsia="新宋体"/>
          <w:szCs w:val="21"/>
        </w:rPr>
      </w:pPr>
      <w:r>
        <w:rPr>
          <w:rFonts w:hint="eastAsia" w:ascii="新宋体" w:hAnsi="新宋体" w:eastAsia="新宋体"/>
          <w:szCs w:val="21"/>
        </w:rPr>
        <w:t xml:space="preserve">      2、内容必须填写真实、清楚，涂改无效，不得转让、买卖。</w:t>
      </w:r>
    </w:p>
    <w:p w14:paraId="077F5860">
      <w:pPr>
        <w:spacing w:line="360" w:lineRule="auto"/>
        <w:rPr>
          <w:rFonts w:ascii="新宋体" w:hAnsi="新宋体" w:eastAsia="新宋体"/>
          <w:szCs w:val="21"/>
        </w:rPr>
      </w:pPr>
      <w:r>
        <w:rPr>
          <w:rFonts w:hint="eastAsia" w:ascii="新宋体" w:hAnsi="新宋体" w:eastAsia="新宋体"/>
          <w:szCs w:val="21"/>
        </w:rPr>
        <w:t>附：要求必须提供法定代表人（负责人）身份证（境外人员无法提供身份证的，可提供护照）扫描件（正反两面）。</w:t>
      </w:r>
    </w:p>
    <w:p w14:paraId="25BB10C3">
      <w:pPr>
        <w:spacing w:line="360" w:lineRule="auto"/>
        <w:rPr>
          <w:rFonts w:ascii="新宋体" w:hAnsi="新宋体" w:eastAsia="新宋体"/>
          <w:szCs w:val="21"/>
        </w:rPr>
      </w:pPr>
      <w:r>
        <w:rPr>
          <w:rFonts w:hint="eastAsia" w:ascii="新宋体" w:hAnsi="新宋体" w:eastAsia="新宋体"/>
          <w:szCs w:val="21"/>
        </w:rPr>
        <w:t xml:space="preserve">单位名称：（公章）：                     </w:t>
      </w:r>
    </w:p>
    <w:p w14:paraId="0AE0E44B">
      <w:pPr>
        <w:spacing w:line="360" w:lineRule="auto"/>
        <w:rPr>
          <w:rFonts w:ascii="新宋体" w:hAnsi="新宋体" w:eastAsia="新宋体"/>
          <w:szCs w:val="21"/>
        </w:rPr>
      </w:pPr>
      <w:r>
        <w:rPr>
          <w:rFonts w:hint="eastAsia" w:ascii="新宋体" w:hAnsi="新宋体" w:eastAsia="新宋体"/>
          <w:szCs w:val="21"/>
        </w:rPr>
        <w:t>日 期：     年   月    日</w:t>
      </w:r>
    </w:p>
    <w:p w14:paraId="6D091EA9">
      <w:pPr>
        <w:spacing w:line="360" w:lineRule="auto"/>
        <w:rPr>
          <w:rFonts w:ascii="新宋体" w:hAnsi="新宋体" w:eastAsia="新宋体"/>
          <w:szCs w:val="21"/>
        </w:rPr>
      </w:pPr>
    </w:p>
    <w:p w14:paraId="070E4278">
      <w:pPr>
        <w:spacing w:line="360" w:lineRule="auto"/>
        <w:rPr>
          <w:rFonts w:ascii="新宋体" w:hAnsi="新宋体" w:eastAsia="新宋体"/>
          <w:b/>
          <w:color w:val="FF0000"/>
          <w:szCs w:val="21"/>
        </w:rPr>
      </w:pPr>
      <w:r>
        <w:rPr>
          <w:rFonts w:hint="eastAsia" w:ascii="新宋体" w:hAnsi="新宋体" w:eastAsia="新宋体"/>
          <w:b/>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51A936E">
      <w:pPr>
        <w:widowControl/>
        <w:jc w:val="left"/>
        <w:rPr>
          <w:rFonts w:ascii="新宋体" w:hAnsi="新宋体" w:eastAsia="新宋体"/>
          <w:b/>
          <w:color w:val="FF0000"/>
          <w:szCs w:val="21"/>
        </w:rPr>
      </w:pPr>
      <w:r>
        <w:rPr>
          <w:rFonts w:ascii="新宋体" w:hAnsi="新宋体" w:eastAsia="新宋体"/>
          <w:b/>
          <w:color w:val="FF0000"/>
          <w:szCs w:val="21"/>
        </w:rPr>
        <w:br w:type="page"/>
      </w:r>
    </w:p>
    <w:p w14:paraId="1174D448">
      <w:pPr>
        <w:spacing w:line="360" w:lineRule="auto"/>
        <w:rPr>
          <w:rFonts w:ascii="新宋体" w:hAnsi="新宋体" w:eastAsia="新宋体"/>
          <w:b/>
          <w:color w:val="FF0000"/>
          <w:szCs w:val="21"/>
        </w:rPr>
      </w:pPr>
    </w:p>
    <w:p w14:paraId="5A4AFECB">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（二）、投标文件签署授权委托书</w:t>
      </w:r>
    </w:p>
    <w:p w14:paraId="55BCD335">
      <w:pPr>
        <w:spacing w:line="360" w:lineRule="auto"/>
        <w:rPr>
          <w:rFonts w:ascii="新宋体" w:hAnsi="新宋体" w:eastAsia="新宋体"/>
          <w:szCs w:val="21"/>
        </w:rPr>
      </w:pPr>
      <w:r>
        <w:rPr>
          <w:rFonts w:hint="eastAsia" w:ascii="新宋体" w:hAnsi="新宋体" w:eastAsia="新宋体"/>
          <w:szCs w:val="21"/>
        </w:rPr>
        <w:t>本授权委托书声明：我（姓名）系（投标供应商名称）的法定代表人</w:t>
      </w:r>
      <w:r>
        <w:rPr>
          <w:rFonts w:hint="eastAsia" w:ascii="新宋体" w:hAnsi="新宋体" w:eastAsia="新宋体"/>
          <w:b/>
          <w:kern w:val="0"/>
          <w:szCs w:val="21"/>
        </w:rPr>
        <w:t>（负责人）</w:t>
      </w:r>
      <w:r>
        <w:rPr>
          <w:rFonts w:hint="eastAsia" w:ascii="新宋体" w:hAnsi="新宋体" w:eastAsia="新宋体"/>
          <w:szCs w:val="21"/>
        </w:rPr>
        <w:t>，现授权委托（姓名）为我公司签署本项目已递交的投标文件的法定代表人</w:t>
      </w:r>
      <w:r>
        <w:rPr>
          <w:rFonts w:hint="eastAsia" w:ascii="新宋体" w:hAnsi="新宋体" w:eastAsia="新宋体"/>
          <w:b/>
          <w:kern w:val="0"/>
          <w:szCs w:val="21"/>
        </w:rPr>
        <w:t>（负责人）</w:t>
      </w:r>
      <w:r>
        <w:rPr>
          <w:rFonts w:hint="eastAsia" w:ascii="新宋体" w:hAnsi="新宋体" w:eastAsia="新宋体"/>
          <w:szCs w:val="21"/>
        </w:rPr>
        <w:t>的授权委托代理人，代理人全权代表我所签署的本项目已递交的投标文件内容我均承认。代理人无转委托权，特此委托。</w:t>
      </w:r>
    </w:p>
    <w:p w14:paraId="2A515369">
      <w:pPr>
        <w:spacing w:line="360" w:lineRule="auto"/>
        <w:rPr>
          <w:rFonts w:ascii="新宋体" w:hAnsi="新宋体" w:eastAsia="新宋体"/>
          <w:szCs w:val="21"/>
        </w:rPr>
      </w:pPr>
      <w:r>
        <w:rPr>
          <w:rFonts w:hint="eastAsia" w:ascii="新宋体" w:hAnsi="新宋体" w:eastAsia="新宋体"/>
          <w:szCs w:val="21"/>
        </w:rPr>
        <w:t>代理人：联系电话：  手机：</w:t>
      </w:r>
    </w:p>
    <w:p w14:paraId="0D2930AB">
      <w:pPr>
        <w:spacing w:line="360" w:lineRule="auto"/>
        <w:rPr>
          <w:rFonts w:ascii="新宋体" w:hAnsi="新宋体" w:eastAsia="新宋体"/>
          <w:szCs w:val="21"/>
          <w:u w:val="single"/>
        </w:rPr>
      </w:pPr>
      <w:r>
        <w:rPr>
          <w:rFonts w:hint="eastAsia" w:ascii="新宋体" w:hAnsi="新宋体" w:eastAsia="新宋体"/>
          <w:szCs w:val="21"/>
        </w:rPr>
        <w:t>身份证号码：职务：</w:t>
      </w:r>
    </w:p>
    <w:p w14:paraId="49A0B30A">
      <w:pPr>
        <w:spacing w:line="360" w:lineRule="auto"/>
        <w:rPr>
          <w:rFonts w:ascii="新宋体" w:hAnsi="新宋体" w:eastAsia="新宋体"/>
          <w:szCs w:val="21"/>
        </w:rPr>
      </w:pPr>
      <w:r>
        <w:rPr>
          <w:rFonts w:hint="eastAsia" w:ascii="新宋体" w:hAnsi="新宋体" w:eastAsia="新宋体"/>
          <w:szCs w:val="21"/>
        </w:rPr>
        <w:t>授权委托日期：年月 日</w:t>
      </w:r>
    </w:p>
    <w:p w14:paraId="7EC5853C">
      <w:pPr>
        <w:spacing w:line="360" w:lineRule="auto"/>
        <w:rPr>
          <w:rFonts w:ascii="新宋体" w:hAnsi="新宋体" w:eastAsia="新宋体"/>
          <w:szCs w:val="21"/>
        </w:rPr>
      </w:pPr>
      <w:r>
        <w:rPr>
          <w:rFonts w:hint="eastAsia" w:ascii="新宋体" w:hAnsi="新宋体" w:eastAsia="新宋体"/>
          <w:szCs w:val="21"/>
        </w:rPr>
        <w:t>单位名称：（公章）</w:t>
      </w:r>
    </w:p>
    <w:p w14:paraId="0B196F52">
      <w:pPr>
        <w:spacing w:line="360" w:lineRule="auto"/>
        <w:rPr>
          <w:rFonts w:ascii="新宋体" w:hAnsi="新宋体" w:eastAsia="新宋体"/>
          <w:szCs w:val="21"/>
        </w:rPr>
      </w:pPr>
      <w:r>
        <w:rPr>
          <w:rFonts w:hint="eastAsia" w:ascii="新宋体" w:hAnsi="新宋体" w:eastAsia="新宋体"/>
          <w:szCs w:val="21"/>
        </w:rPr>
        <w:t>法人代表：（盖章或签字）</w:t>
      </w:r>
    </w:p>
    <w:p w14:paraId="1C81C087">
      <w:pPr>
        <w:spacing w:line="360" w:lineRule="auto"/>
        <w:rPr>
          <w:rFonts w:ascii="新宋体" w:hAnsi="新宋体" w:eastAsia="新宋体"/>
          <w:b/>
          <w:color w:val="FF0000"/>
          <w:szCs w:val="21"/>
        </w:rPr>
      </w:pPr>
      <w:r>
        <w:rPr>
          <w:rFonts w:hint="eastAsia" w:ascii="新宋体" w:hAnsi="新宋体" w:eastAsia="新宋体"/>
          <w:b/>
          <w:color w:val="FF0000"/>
          <w:szCs w:val="21"/>
        </w:rPr>
        <w:t>附：要求必须提供代理人身份证（境外人员无法提供身份证的，可提供护照）扫描件（正反两面）。</w:t>
      </w:r>
    </w:p>
    <w:p w14:paraId="5C042B2F">
      <w:pPr>
        <w:spacing w:line="360" w:lineRule="auto"/>
        <w:rPr>
          <w:rFonts w:ascii="新宋体" w:hAnsi="新宋体" w:eastAsia="新宋体"/>
          <w:b/>
          <w:color w:val="FF0000"/>
          <w:szCs w:val="21"/>
        </w:rPr>
      </w:pPr>
      <w:r>
        <w:rPr>
          <w:rFonts w:hint="eastAsia" w:ascii="新宋体" w:hAnsi="新宋体" w:eastAsia="新宋体"/>
          <w:b/>
          <w:color w:val="FF0000"/>
          <w:szCs w:val="21"/>
        </w:rPr>
        <w:t>“拟派项目投标授权代表需提供社保部门出具的近 1 个月（以当地社保局能开出最近 1 个月社保证明为准）由投标人为拟派项目投标授权代表缴纳社保的清单（加盖社保部门公章）”。</w:t>
      </w:r>
    </w:p>
    <w:p w14:paraId="592A93E2">
      <w:pPr>
        <w:spacing w:line="360" w:lineRule="auto"/>
        <w:rPr>
          <w:rFonts w:ascii="新宋体" w:hAnsi="新宋体" w:eastAsia="新宋体"/>
          <w:b/>
          <w:color w:val="FF0000"/>
          <w:szCs w:val="21"/>
        </w:rPr>
      </w:pPr>
    </w:p>
    <w:p w14:paraId="10377CC3">
      <w:pPr>
        <w:spacing w:line="360" w:lineRule="auto"/>
        <w:rPr>
          <w:rFonts w:ascii="新宋体" w:hAnsi="新宋体" w:eastAsia="新宋体"/>
          <w:b/>
          <w:color w:val="FF0000"/>
          <w:szCs w:val="21"/>
        </w:rPr>
      </w:pPr>
      <w:r>
        <w:rPr>
          <w:rFonts w:hint="eastAsia" w:ascii="新宋体" w:hAnsi="新宋体" w:eastAsia="新宋体"/>
          <w:b/>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F634B63">
      <w:pPr>
        <w:widowControl/>
        <w:jc w:val="left"/>
        <w:rPr>
          <w:rFonts w:ascii="新宋体" w:hAnsi="新宋体" w:eastAsia="新宋体"/>
          <w:b/>
          <w:color w:val="FF0000"/>
          <w:szCs w:val="21"/>
        </w:rPr>
      </w:pPr>
      <w:r>
        <w:rPr>
          <w:rFonts w:ascii="新宋体" w:hAnsi="新宋体" w:eastAsia="新宋体"/>
          <w:b/>
          <w:color w:val="FF0000"/>
          <w:szCs w:val="21"/>
        </w:rPr>
        <w:br w:type="page"/>
      </w:r>
    </w:p>
    <w:p w14:paraId="169B6C88">
      <w:pPr>
        <w:spacing w:line="360" w:lineRule="auto"/>
        <w:rPr>
          <w:rFonts w:ascii="新宋体" w:hAnsi="新宋体" w:eastAsia="新宋体"/>
          <w:b/>
          <w:color w:val="FF0000"/>
          <w:szCs w:val="21"/>
        </w:rPr>
      </w:pPr>
    </w:p>
    <w:p w14:paraId="63DDBC69">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（三）、实质性条款响应情况表</w:t>
      </w:r>
    </w:p>
    <w:tbl>
      <w:tblPr>
        <w:tblStyle w:val="43"/>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3945"/>
        <w:gridCol w:w="3763"/>
      </w:tblGrid>
      <w:tr w14:paraId="3294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14:paraId="724899CB">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序号</w:t>
            </w:r>
          </w:p>
        </w:tc>
        <w:tc>
          <w:tcPr>
            <w:tcW w:w="3945" w:type="dxa"/>
            <w:vAlign w:val="center"/>
          </w:tcPr>
          <w:p w14:paraId="0FB70508">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采购人要求内容</w:t>
            </w:r>
          </w:p>
        </w:tc>
        <w:tc>
          <w:tcPr>
            <w:tcW w:w="3763" w:type="dxa"/>
            <w:vAlign w:val="center"/>
          </w:tcPr>
          <w:p w14:paraId="2B2F817F">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投标人响应情况</w:t>
            </w:r>
          </w:p>
        </w:tc>
      </w:tr>
      <w:tr w14:paraId="7484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14:paraId="17257503">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1</w:t>
            </w:r>
          </w:p>
        </w:tc>
        <w:tc>
          <w:tcPr>
            <w:tcW w:w="3945" w:type="dxa"/>
          </w:tcPr>
          <w:p w14:paraId="7DCFEF64">
            <w:pPr>
              <w:spacing w:line="276" w:lineRule="auto"/>
              <w:jc w:val="center"/>
              <w:rPr>
                <w:rFonts w:ascii="新宋体" w:hAnsi="新宋体" w:eastAsia="新宋体"/>
                <w:kern w:val="0"/>
                <w:szCs w:val="21"/>
              </w:rPr>
            </w:pPr>
            <w:r>
              <w:rPr>
                <w:rFonts w:hint="eastAsia" w:ascii="新宋体" w:hAnsi="新宋体" w:eastAsia="新宋体"/>
              </w:rPr>
              <w:t>投标文件载明的交货期不超过招标文件规定的期限</w:t>
            </w:r>
          </w:p>
        </w:tc>
        <w:tc>
          <w:tcPr>
            <w:tcW w:w="3763" w:type="dxa"/>
            <w:vAlign w:val="center"/>
          </w:tcPr>
          <w:p w14:paraId="760B9DFE">
            <w:pPr>
              <w:adjustRightInd w:val="0"/>
              <w:snapToGrid w:val="0"/>
              <w:spacing w:line="276" w:lineRule="auto"/>
              <w:jc w:val="center"/>
              <w:rPr>
                <w:rFonts w:ascii="新宋体" w:hAnsi="新宋体" w:eastAsia="新宋体"/>
                <w:kern w:val="0"/>
                <w:szCs w:val="21"/>
              </w:rPr>
            </w:pPr>
          </w:p>
        </w:tc>
      </w:tr>
      <w:tr w14:paraId="0C4F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14:paraId="2406F296">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2</w:t>
            </w:r>
          </w:p>
        </w:tc>
        <w:tc>
          <w:tcPr>
            <w:tcW w:w="3945" w:type="dxa"/>
          </w:tcPr>
          <w:p w14:paraId="56329B79">
            <w:pPr>
              <w:spacing w:line="276" w:lineRule="auto"/>
              <w:jc w:val="center"/>
              <w:rPr>
                <w:rFonts w:ascii="新宋体" w:hAnsi="新宋体" w:eastAsia="新宋体"/>
                <w:kern w:val="0"/>
                <w:szCs w:val="21"/>
              </w:rPr>
            </w:pPr>
            <w:r>
              <w:rPr>
                <w:rFonts w:hint="eastAsia" w:ascii="新宋体" w:hAnsi="新宋体" w:eastAsia="新宋体"/>
              </w:rPr>
              <w:t>投标文件载明的免费保修期不低于招标文件规定的期限</w:t>
            </w:r>
          </w:p>
        </w:tc>
        <w:tc>
          <w:tcPr>
            <w:tcW w:w="3763" w:type="dxa"/>
            <w:vAlign w:val="center"/>
          </w:tcPr>
          <w:p w14:paraId="2AE66942">
            <w:pPr>
              <w:adjustRightInd w:val="0"/>
              <w:snapToGrid w:val="0"/>
              <w:spacing w:line="276" w:lineRule="auto"/>
              <w:jc w:val="center"/>
              <w:rPr>
                <w:rFonts w:ascii="新宋体" w:hAnsi="新宋体" w:eastAsia="新宋体"/>
                <w:kern w:val="0"/>
                <w:szCs w:val="21"/>
              </w:rPr>
            </w:pPr>
          </w:p>
        </w:tc>
      </w:tr>
      <w:tr w14:paraId="08DC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14:paraId="15F1885D">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3</w:t>
            </w:r>
          </w:p>
        </w:tc>
        <w:tc>
          <w:tcPr>
            <w:tcW w:w="3945" w:type="dxa"/>
          </w:tcPr>
          <w:p w14:paraId="65C8585E">
            <w:pPr>
              <w:spacing w:line="276" w:lineRule="auto"/>
              <w:jc w:val="center"/>
              <w:rPr>
                <w:rFonts w:ascii="新宋体" w:hAnsi="新宋体" w:eastAsia="新宋体"/>
                <w:kern w:val="0"/>
                <w:szCs w:val="21"/>
              </w:rPr>
            </w:pPr>
            <w:r>
              <w:rPr>
                <w:rFonts w:hint="eastAsia" w:ascii="新宋体" w:hAnsi="新宋体" w:eastAsia="新宋体"/>
              </w:rPr>
              <w:t>具体技术要求、商务需求中带“★”要求</w:t>
            </w:r>
          </w:p>
        </w:tc>
        <w:tc>
          <w:tcPr>
            <w:tcW w:w="3763" w:type="dxa"/>
            <w:vAlign w:val="center"/>
          </w:tcPr>
          <w:p w14:paraId="01DEA753">
            <w:pPr>
              <w:adjustRightInd w:val="0"/>
              <w:snapToGrid w:val="0"/>
              <w:spacing w:line="276" w:lineRule="auto"/>
              <w:jc w:val="center"/>
              <w:rPr>
                <w:rFonts w:ascii="新宋体" w:hAnsi="新宋体" w:eastAsia="新宋体"/>
                <w:kern w:val="0"/>
                <w:szCs w:val="21"/>
              </w:rPr>
            </w:pPr>
          </w:p>
        </w:tc>
      </w:tr>
      <w:tr w14:paraId="55D5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14:paraId="194DEE1E">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w:t>
            </w:r>
          </w:p>
        </w:tc>
        <w:tc>
          <w:tcPr>
            <w:tcW w:w="3945" w:type="dxa"/>
          </w:tcPr>
          <w:p w14:paraId="78B23D57">
            <w:pPr>
              <w:spacing w:line="276" w:lineRule="auto"/>
              <w:jc w:val="center"/>
              <w:rPr>
                <w:rFonts w:ascii="新宋体" w:hAnsi="新宋体" w:eastAsia="新宋体"/>
              </w:rPr>
            </w:pPr>
          </w:p>
        </w:tc>
        <w:tc>
          <w:tcPr>
            <w:tcW w:w="3763" w:type="dxa"/>
            <w:vAlign w:val="center"/>
          </w:tcPr>
          <w:p w14:paraId="7E376CAC">
            <w:pPr>
              <w:adjustRightInd w:val="0"/>
              <w:snapToGrid w:val="0"/>
              <w:spacing w:line="276" w:lineRule="auto"/>
              <w:jc w:val="center"/>
              <w:rPr>
                <w:rFonts w:ascii="新宋体" w:hAnsi="新宋体" w:eastAsia="新宋体"/>
                <w:kern w:val="0"/>
                <w:szCs w:val="21"/>
              </w:rPr>
            </w:pPr>
          </w:p>
        </w:tc>
      </w:tr>
    </w:tbl>
    <w:p w14:paraId="439D0248">
      <w:pPr>
        <w:spacing w:line="360" w:lineRule="auto"/>
        <w:rPr>
          <w:rFonts w:ascii="新宋体" w:hAnsi="新宋体" w:eastAsia="新宋体"/>
        </w:rPr>
      </w:pPr>
      <w:r>
        <w:rPr>
          <w:rFonts w:hint="eastAsia" w:ascii="新宋体" w:hAnsi="新宋体" w:eastAsia="新宋体"/>
        </w:rPr>
        <w:t>注：1. 上表所列内容为不可负偏离条款。2.“投标人响应情况”一栏应如实填写“响应”或“不响应”。3. “实质性响应条款响应情况”与投标文件其它内容冲突的，以“实质性响应条款响应情况”为准。</w:t>
      </w:r>
    </w:p>
    <w:p w14:paraId="5802643C">
      <w:pPr>
        <w:spacing w:line="360" w:lineRule="auto"/>
        <w:rPr>
          <w:rFonts w:ascii="新宋体" w:hAnsi="新宋体" w:eastAsia="新宋体"/>
          <w:bCs/>
        </w:rPr>
      </w:pPr>
      <w:r>
        <w:rPr>
          <w:rFonts w:hint="eastAsia" w:ascii="新宋体" w:hAnsi="新宋体" w:eastAsia="新宋体"/>
          <w:bCs/>
        </w:rPr>
        <w:t xml:space="preserve">投标人：（公章）                       </w:t>
      </w:r>
    </w:p>
    <w:p w14:paraId="5439BD8C">
      <w:pPr>
        <w:spacing w:line="360" w:lineRule="auto"/>
        <w:rPr>
          <w:rFonts w:ascii="新宋体" w:hAnsi="新宋体" w:eastAsia="新宋体"/>
          <w:bCs/>
        </w:rPr>
      </w:pPr>
      <w:r>
        <w:rPr>
          <w:rFonts w:hint="eastAsia" w:ascii="新宋体" w:hAnsi="新宋体" w:eastAsia="新宋体"/>
          <w:bCs/>
        </w:rPr>
        <w:t>法定代表人或其委托代理人：（盖章或签字）</w:t>
      </w:r>
    </w:p>
    <w:p w14:paraId="54349B69">
      <w:pPr>
        <w:spacing w:line="360" w:lineRule="auto"/>
        <w:rPr>
          <w:rFonts w:ascii="新宋体" w:hAnsi="新宋体" w:eastAsia="新宋体"/>
          <w:bCs/>
        </w:rPr>
      </w:pPr>
      <w:r>
        <w:rPr>
          <w:rFonts w:hint="eastAsia" w:ascii="新宋体" w:hAnsi="新宋体" w:eastAsia="新宋体"/>
          <w:bCs/>
        </w:rPr>
        <w:t>日期：   年   月   日</w:t>
      </w:r>
    </w:p>
    <w:p w14:paraId="31AEB940">
      <w:pPr>
        <w:adjustRightInd w:val="0"/>
        <w:spacing w:line="360" w:lineRule="auto"/>
        <w:jc w:val="left"/>
        <w:textAlignment w:val="baseline"/>
        <w:rPr>
          <w:rFonts w:ascii="新宋体" w:hAnsi="新宋体" w:eastAsia="新宋体"/>
          <w:b/>
          <w:szCs w:val="21"/>
        </w:rPr>
      </w:pPr>
      <w:r>
        <w:br w:type="page"/>
      </w:r>
      <w:r>
        <w:rPr>
          <w:rFonts w:hint="eastAsia" w:ascii="华文中宋" w:hAnsi="华文中宋" w:eastAsia="华文中宋"/>
          <w:kern w:val="0"/>
          <w:sz w:val="24"/>
        </w:rPr>
        <w:t>（四）、项目实施方案</w:t>
      </w:r>
    </w:p>
    <w:p w14:paraId="170C38BD">
      <w:pPr>
        <w:spacing w:line="360" w:lineRule="auto"/>
        <w:rPr>
          <w:rFonts w:ascii="新宋体" w:hAnsi="新宋体" w:eastAsia="新宋体"/>
        </w:rPr>
      </w:pPr>
      <w:r>
        <w:rPr>
          <w:rFonts w:hint="eastAsia" w:ascii="新宋体" w:hAnsi="新宋体" w:eastAsia="新宋体"/>
        </w:rPr>
        <w:t>主要内容应包括(根据项目实际情况适当调整内容)：</w:t>
      </w:r>
    </w:p>
    <w:p w14:paraId="3A704B27">
      <w:pPr>
        <w:spacing w:line="360" w:lineRule="auto"/>
        <w:rPr>
          <w:rFonts w:ascii="新宋体" w:hAnsi="新宋体" w:eastAsia="新宋体"/>
        </w:rPr>
      </w:pPr>
      <w:r>
        <w:rPr>
          <w:rFonts w:hint="eastAsia" w:ascii="新宋体" w:hAnsi="新宋体" w:eastAsia="新宋体"/>
        </w:rPr>
        <w:t>1、项目交货期、实施进度表</w:t>
      </w:r>
    </w:p>
    <w:p w14:paraId="30E97DE3">
      <w:pPr>
        <w:spacing w:line="360" w:lineRule="auto"/>
        <w:rPr>
          <w:rFonts w:ascii="新宋体" w:hAnsi="新宋体" w:eastAsia="新宋体"/>
        </w:rPr>
      </w:pPr>
      <w:r>
        <w:rPr>
          <w:rFonts w:hint="eastAsia" w:ascii="新宋体" w:hAnsi="新宋体" w:eastAsia="新宋体"/>
        </w:rPr>
        <w:t>2、相关配套措施</w:t>
      </w:r>
    </w:p>
    <w:p w14:paraId="36CCC295">
      <w:pPr>
        <w:spacing w:line="360" w:lineRule="auto"/>
        <w:rPr>
          <w:rFonts w:ascii="新宋体" w:hAnsi="新宋体" w:eastAsia="新宋体"/>
          <w:b/>
          <w:bCs/>
          <w:color w:val="FF0000"/>
        </w:rPr>
      </w:pPr>
      <w:r>
        <w:rPr>
          <w:rFonts w:hint="eastAsia" w:ascii="新宋体" w:hAnsi="新宋体" w:eastAsia="新宋体"/>
          <w:b/>
          <w:bCs/>
          <w:color w:val="FF0000"/>
        </w:rPr>
        <w:t>（备注：该部分须与“技术保障措施”、“施工安全保障措施”、“商务需求”等部分承诺的内容相呼应，不得前后矛盾。）</w:t>
      </w:r>
    </w:p>
    <w:p w14:paraId="27A991BC">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（五）、售后服务方案</w:t>
      </w:r>
    </w:p>
    <w:p w14:paraId="25A55CBF">
      <w:pPr>
        <w:spacing w:line="360" w:lineRule="auto"/>
        <w:rPr>
          <w:rFonts w:ascii="新宋体" w:hAnsi="新宋体" w:eastAsia="新宋体"/>
          <w:szCs w:val="21"/>
        </w:rPr>
      </w:pPr>
      <w:r>
        <w:rPr>
          <w:rFonts w:hint="eastAsia" w:ascii="新宋体" w:hAnsi="新宋体" w:eastAsia="新宋体"/>
          <w:szCs w:val="21"/>
        </w:rPr>
        <w:t>主要内容应包括(根据项目实际情况适当调整内容)：</w:t>
      </w:r>
    </w:p>
    <w:p w14:paraId="46EAE90C">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、免费保修期；</w:t>
      </w:r>
    </w:p>
    <w:p w14:paraId="4A5D0D66">
      <w:pPr>
        <w:spacing w:line="360" w:lineRule="auto"/>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、故障或技术支持响应时间；</w:t>
      </w:r>
    </w:p>
    <w:p w14:paraId="7089FD1B">
      <w:pPr>
        <w:spacing w:line="360" w:lineRule="auto"/>
        <w:rPr>
          <w:rFonts w:ascii="新宋体" w:hAnsi="新宋体" w:eastAsia="新宋体"/>
          <w:szCs w:val="21"/>
        </w:rPr>
      </w:pPr>
      <w:r>
        <w:rPr>
          <w:rFonts w:ascii="新宋体" w:hAnsi="新宋体" w:eastAsia="新宋体"/>
          <w:szCs w:val="21"/>
        </w:rPr>
        <w:t>3</w:t>
      </w:r>
      <w:r>
        <w:rPr>
          <w:rFonts w:hint="eastAsia" w:ascii="新宋体" w:hAnsi="新宋体" w:eastAsia="新宋体"/>
          <w:szCs w:val="21"/>
        </w:rPr>
        <w:t>、投标人承诺的其他维修维护方案、措施</w:t>
      </w:r>
    </w:p>
    <w:p w14:paraId="590686A4">
      <w:pPr>
        <w:spacing w:line="360" w:lineRule="auto"/>
        <w:rPr>
          <w:rFonts w:ascii="新宋体" w:hAnsi="新宋体" w:eastAsia="新宋体"/>
          <w:szCs w:val="21"/>
        </w:rPr>
      </w:pPr>
      <w:r>
        <w:rPr>
          <w:rFonts w:ascii="新宋体" w:hAnsi="新宋体" w:eastAsia="新宋体"/>
          <w:szCs w:val="21"/>
        </w:rPr>
        <w:t>4</w:t>
      </w:r>
      <w:r>
        <w:rPr>
          <w:rFonts w:hint="eastAsia" w:ascii="新宋体" w:hAnsi="新宋体" w:eastAsia="新宋体"/>
          <w:szCs w:val="21"/>
        </w:rPr>
        <w:t>、质量保证及违约承诺。</w:t>
      </w:r>
    </w:p>
    <w:p w14:paraId="69C43C4E">
      <w:pPr>
        <w:spacing w:line="360" w:lineRule="auto"/>
        <w:rPr>
          <w:rFonts w:ascii="新宋体" w:hAnsi="新宋体" w:eastAsia="新宋体"/>
          <w:b/>
          <w:color w:val="FF0000"/>
          <w:szCs w:val="21"/>
        </w:rPr>
      </w:pPr>
      <w:r>
        <w:rPr>
          <w:rFonts w:hint="eastAsia" w:ascii="新宋体" w:hAnsi="新宋体" w:eastAsia="新宋体"/>
          <w:b/>
          <w:color w:val="FF0000"/>
          <w:szCs w:val="21"/>
        </w:rPr>
        <w:t>（备注：该部分须与“商务需求”承诺的内容相呼应，不得前后矛盾。）</w:t>
      </w:r>
    </w:p>
    <w:p w14:paraId="7908C4A4">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（六）招标服务费承诺书</w:t>
      </w:r>
    </w:p>
    <w:p w14:paraId="640BADC7">
      <w:pPr>
        <w:spacing w:line="360" w:lineRule="auto"/>
        <w:rPr>
          <w:rFonts w:ascii="新宋体" w:hAnsi="新宋体" w:eastAsia="新宋体"/>
        </w:rPr>
      </w:pPr>
      <w:r>
        <w:rPr>
          <w:rFonts w:hint="eastAsia" w:ascii="新宋体" w:hAnsi="新宋体" w:eastAsia="新宋体"/>
        </w:rPr>
        <w:t>深圳市瑞凝信招标咨询有限公司：</w:t>
      </w:r>
    </w:p>
    <w:p w14:paraId="137FDFB6">
      <w:pPr>
        <w:spacing w:line="360" w:lineRule="auto"/>
        <w:ind w:firstLine="424" w:firstLineChars="202"/>
        <w:rPr>
          <w:rFonts w:ascii="新宋体" w:hAnsi="新宋体" w:eastAsia="新宋体"/>
        </w:rPr>
      </w:pPr>
      <w:r>
        <w:rPr>
          <w:rFonts w:hint="eastAsia" w:ascii="新宋体" w:hAnsi="新宋体" w:eastAsia="新宋体"/>
        </w:rPr>
        <w:t>本公司( 投标人名称) 在参加《###项目名称（招标编号： ）》的招标中如获中标，我公司保证按照招标文件的规定缴纳“中标服务费”后，凭领取人身份证复印件并加盖公章领取《中标通知书》。如采用电汇或银行转账，我公司将同时递交中标服务费缴费凭证复印件并加盖公章。在领取中标通知书后，由于被质疑、投诉而导致中标结果改变，我方将放弃对已缴纳的中标服务费追还的一切权利。如我司未及时缴纳可从我方提交的投标保证金中扣除。</w:t>
      </w:r>
    </w:p>
    <w:p w14:paraId="76E3D95F">
      <w:pPr>
        <w:spacing w:line="360" w:lineRule="auto"/>
        <w:rPr>
          <w:rFonts w:ascii="新宋体" w:hAnsi="新宋体" w:eastAsia="新宋体"/>
        </w:rPr>
      </w:pPr>
      <w:r>
        <w:rPr>
          <w:rFonts w:hint="eastAsia" w:ascii="新宋体" w:hAnsi="新宋体" w:eastAsia="新宋体"/>
        </w:rPr>
        <w:t xml:space="preserve">如我公司违反上款承诺,愿承担由此引起的一切法律责任。特此承诺!    </w:t>
      </w:r>
    </w:p>
    <w:p w14:paraId="43C9D4F5">
      <w:pPr>
        <w:spacing w:line="360" w:lineRule="auto"/>
        <w:rPr>
          <w:rFonts w:ascii="新宋体" w:hAnsi="新宋体" w:eastAsia="新宋体"/>
        </w:rPr>
      </w:pPr>
      <w:r>
        <w:rPr>
          <w:rFonts w:hint="eastAsia" w:ascii="新宋体" w:hAnsi="新宋体" w:eastAsia="新宋体"/>
        </w:rPr>
        <w:t>投标人名称：     （公章）</w:t>
      </w:r>
    </w:p>
    <w:p w14:paraId="35178DB4">
      <w:pPr>
        <w:spacing w:line="360" w:lineRule="auto"/>
        <w:rPr>
          <w:rFonts w:ascii="新宋体" w:hAnsi="新宋体" w:eastAsia="新宋体"/>
        </w:rPr>
      </w:pPr>
      <w:r>
        <w:rPr>
          <w:rFonts w:hint="eastAsia" w:ascii="新宋体" w:hAnsi="新宋体" w:eastAsia="新宋体"/>
        </w:rPr>
        <w:t xml:space="preserve">投标代表签名：                 </w:t>
      </w:r>
    </w:p>
    <w:p w14:paraId="0FB9B27A">
      <w:pPr>
        <w:spacing w:line="360" w:lineRule="auto"/>
        <w:rPr>
          <w:rFonts w:ascii="新宋体" w:hAnsi="新宋体" w:eastAsia="新宋体"/>
        </w:rPr>
      </w:pPr>
      <w:r>
        <w:rPr>
          <w:rFonts w:hint="eastAsia" w:ascii="新宋体" w:hAnsi="新宋体" w:eastAsia="新宋体"/>
        </w:rPr>
        <w:t>日期：______年____月____日</w:t>
      </w:r>
    </w:p>
    <w:p w14:paraId="407B41BE"/>
    <w:p w14:paraId="4599195D"/>
    <w:p w14:paraId="1611338D"/>
    <w:p w14:paraId="460D4222"/>
    <w:p w14:paraId="12EBD61A"/>
    <w:p w14:paraId="34156EC5"/>
    <w:p w14:paraId="497C03E9"/>
    <w:p w14:paraId="0D249C6D"/>
    <w:p w14:paraId="2FB8A7AB"/>
    <w:p w14:paraId="2685B553"/>
    <w:p w14:paraId="3AC137DA"/>
    <w:p w14:paraId="7D5232C6"/>
    <w:p w14:paraId="3C7FCFFF"/>
    <w:p w14:paraId="547C5B42"/>
    <w:p w14:paraId="50FE0906"/>
    <w:p w14:paraId="48CBD84C">
      <w:pPr>
        <w:pStyle w:val="6"/>
        <w:rPr>
          <w:rFonts w:ascii="新宋体" w:hAnsi="新宋体" w:eastAsia="新宋体"/>
          <w:kern w:val="44"/>
          <w:sz w:val="30"/>
          <w:szCs w:val="30"/>
        </w:rPr>
      </w:pPr>
      <w:r>
        <w:rPr>
          <w:rFonts w:hint="eastAsia" w:ascii="新宋体" w:hAnsi="新宋体" w:eastAsia="新宋体"/>
          <w:kern w:val="44"/>
          <w:sz w:val="30"/>
          <w:szCs w:val="30"/>
        </w:rPr>
        <w:t>第四章  合同及履约情况反馈格式</w:t>
      </w:r>
    </w:p>
    <w:p w14:paraId="36B01162">
      <w:pPr>
        <w:ind w:firstLine="411" w:firstLineChars="196"/>
      </w:pPr>
    </w:p>
    <w:p w14:paraId="6D5E8729">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一、合同条款及格式（仅供参考）</w:t>
      </w:r>
    </w:p>
    <w:p w14:paraId="14F3C175">
      <w:pPr>
        <w:jc w:val="center"/>
      </w:pPr>
      <w:bookmarkStart w:id="20" w:name="_Toc84303603"/>
      <w:bookmarkStart w:id="21" w:name="_Toc101074886"/>
      <w:bookmarkStart w:id="22" w:name="_Toc73517685"/>
      <w:bookmarkStart w:id="23" w:name="_Toc100052414"/>
      <w:bookmarkStart w:id="24" w:name="_Toc73521592"/>
      <w:bookmarkStart w:id="25" w:name="_Toc73518163"/>
      <w:bookmarkStart w:id="26" w:name="_Toc73521680"/>
      <w:r>
        <w:rPr>
          <w:rFonts w:hint="eastAsia"/>
          <w:b/>
          <w:sz w:val="24"/>
        </w:rPr>
        <w:t>合同条款</w:t>
      </w:r>
      <w:bookmarkEnd w:id="20"/>
      <w:bookmarkEnd w:id="21"/>
      <w:bookmarkEnd w:id="22"/>
      <w:bookmarkEnd w:id="23"/>
      <w:bookmarkEnd w:id="24"/>
      <w:bookmarkEnd w:id="25"/>
      <w:bookmarkEnd w:id="26"/>
      <w:r>
        <w:rPr>
          <w:rFonts w:hint="eastAsia"/>
          <w:b/>
          <w:sz w:val="24"/>
        </w:rPr>
        <w:t>（仅供参考，项目具体要求以招标项目需求为准）</w:t>
      </w:r>
    </w:p>
    <w:p w14:paraId="7689DDB5">
      <w:pPr>
        <w:rPr>
          <w:rFonts w:ascii="宋体" w:hAnsi="宋体"/>
          <w:b/>
          <w:bCs/>
          <w:szCs w:val="21"/>
        </w:rPr>
      </w:pPr>
      <w:r>
        <w:rPr>
          <w:rFonts w:hint="eastAsia" w:ascii="宋体" w:hAnsi="宋体"/>
          <w:b/>
          <w:bCs/>
          <w:szCs w:val="21"/>
        </w:rPr>
        <w:t>甲方：</w:t>
      </w:r>
    </w:p>
    <w:p w14:paraId="35C833DB">
      <w:pPr>
        <w:rPr>
          <w:rFonts w:ascii="宋体" w:hAnsi="宋体"/>
          <w:b/>
          <w:bCs/>
          <w:szCs w:val="21"/>
        </w:rPr>
      </w:pPr>
      <w:r>
        <w:rPr>
          <w:rFonts w:hint="eastAsia" w:ascii="宋体" w:hAnsi="宋体"/>
          <w:b/>
          <w:bCs/>
          <w:szCs w:val="21"/>
        </w:rPr>
        <w:t>乙方：</w:t>
      </w:r>
    </w:p>
    <w:p w14:paraId="16E5D0E8">
      <w:pPr>
        <w:rPr>
          <w:rFonts w:ascii="宋体" w:hAnsi="宋体"/>
          <w:szCs w:val="21"/>
        </w:rPr>
      </w:pPr>
    </w:p>
    <w:p w14:paraId="189A64EB">
      <w:pPr>
        <w:spacing w:line="360" w:lineRule="auto"/>
        <w:ind w:firstLine="560"/>
        <w:jc w:val="left"/>
        <w:rPr>
          <w:rFonts w:ascii="新宋体" w:hAnsi="新宋体" w:eastAsia="新宋体"/>
          <w:szCs w:val="21"/>
        </w:rPr>
      </w:pPr>
      <w:r>
        <w:rPr>
          <w:rFonts w:hint="eastAsia" w:ascii="新宋体" w:hAnsi="新宋体" w:eastAsia="新宋体"/>
          <w:szCs w:val="21"/>
        </w:rPr>
        <w:t>根据深圳市瑞凝信招标咨询有限公司号招标项目的投标结果，由单位为中标方。按照《中华人民共和国民法典》和《深圳经济特区政府采购条例》，经深圳市（以下简称甲方）和单位（以下简称乙方）协商，达成以下合同条款：</w:t>
      </w:r>
    </w:p>
    <w:p w14:paraId="34C0F3AD">
      <w:pPr>
        <w:spacing w:line="360" w:lineRule="auto"/>
        <w:ind w:firstLine="560"/>
        <w:jc w:val="left"/>
        <w:rPr>
          <w:rFonts w:ascii="新宋体" w:hAnsi="新宋体" w:eastAsia="新宋体"/>
          <w:b/>
          <w:szCs w:val="21"/>
        </w:rPr>
      </w:pPr>
      <w:r>
        <w:rPr>
          <w:rFonts w:hint="eastAsia" w:ascii="新宋体" w:hAnsi="新宋体" w:eastAsia="新宋体"/>
          <w:b/>
          <w:szCs w:val="21"/>
        </w:rPr>
        <w:t>第一条  合同标的</w:t>
      </w:r>
    </w:p>
    <w:p w14:paraId="66658503">
      <w:pPr>
        <w:spacing w:line="360" w:lineRule="auto"/>
        <w:ind w:firstLine="560"/>
        <w:jc w:val="left"/>
        <w:rPr>
          <w:rFonts w:ascii="新宋体" w:hAnsi="新宋体" w:eastAsia="新宋体"/>
          <w:szCs w:val="21"/>
        </w:rPr>
      </w:pPr>
      <w:r>
        <w:rPr>
          <w:rFonts w:hint="eastAsia" w:ascii="新宋体" w:hAnsi="新宋体" w:eastAsia="新宋体"/>
          <w:szCs w:val="21"/>
        </w:rPr>
        <w:t>乙方根据甲方需求提供下列货物：</w:t>
      </w:r>
    </w:p>
    <w:p w14:paraId="125C80A9">
      <w:pPr>
        <w:spacing w:line="360" w:lineRule="auto"/>
        <w:ind w:firstLine="560"/>
        <w:jc w:val="left"/>
        <w:rPr>
          <w:rFonts w:ascii="新宋体" w:hAnsi="新宋体" w:eastAsia="新宋体"/>
          <w:szCs w:val="21"/>
        </w:rPr>
      </w:pPr>
      <w:r>
        <w:rPr>
          <w:rFonts w:hint="eastAsia" w:ascii="新宋体" w:hAnsi="新宋体" w:eastAsia="新宋体"/>
          <w:szCs w:val="21"/>
        </w:rPr>
        <w:t>货物名称、规格及数量详见。</w:t>
      </w:r>
    </w:p>
    <w:p w14:paraId="103D114F">
      <w:pPr>
        <w:spacing w:line="360" w:lineRule="auto"/>
        <w:ind w:firstLine="560"/>
        <w:jc w:val="left"/>
        <w:rPr>
          <w:rFonts w:ascii="新宋体" w:hAnsi="新宋体" w:eastAsia="新宋体"/>
          <w:b/>
          <w:szCs w:val="21"/>
        </w:rPr>
      </w:pPr>
      <w:r>
        <w:rPr>
          <w:rFonts w:hint="eastAsia" w:ascii="新宋体" w:hAnsi="新宋体" w:eastAsia="新宋体"/>
          <w:b/>
          <w:szCs w:val="21"/>
        </w:rPr>
        <w:t>第二条  合同价款</w:t>
      </w:r>
    </w:p>
    <w:p w14:paraId="7DA2B690">
      <w:pPr>
        <w:spacing w:line="360" w:lineRule="auto"/>
        <w:ind w:firstLine="560"/>
        <w:jc w:val="left"/>
        <w:rPr>
          <w:rFonts w:ascii="新宋体" w:hAnsi="新宋体" w:eastAsia="新宋体"/>
          <w:szCs w:val="21"/>
        </w:rPr>
      </w:pPr>
      <w:r>
        <w:rPr>
          <w:rFonts w:hint="eastAsia" w:ascii="新宋体" w:hAnsi="新宋体" w:eastAsia="新宋体"/>
          <w:szCs w:val="21"/>
        </w:rPr>
        <w:t>本合同项下总价款为（大写）人民币，分项价款详见。本合同总价款已包括乙方为履行本合同义务所发生的一切费用，系固定不变价格，且不随通货膨胀的影响而波动。</w:t>
      </w:r>
    </w:p>
    <w:p w14:paraId="0ED08779">
      <w:pPr>
        <w:spacing w:line="360" w:lineRule="auto"/>
        <w:ind w:firstLine="560"/>
        <w:jc w:val="left"/>
        <w:rPr>
          <w:rFonts w:ascii="新宋体" w:hAnsi="新宋体" w:eastAsia="新宋体"/>
          <w:b/>
          <w:szCs w:val="21"/>
        </w:rPr>
      </w:pPr>
      <w:r>
        <w:rPr>
          <w:rFonts w:hint="eastAsia" w:ascii="新宋体" w:hAnsi="新宋体" w:eastAsia="新宋体"/>
          <w:b/>
          <w:szCs w:val="21"/>
        </w:rPr>
        <w:t>第三条  权利保证</w:t>
      </w:r>
    </w:p>
    <w:p w14:paraId="11BB64D5">
      <w:pPr>
        <w:spacing w:line="360" w:lineRule="auto"/>
        <w:ind w:firstLine="560"/>
        <w:jc w:val="left"/>
        <w:rPr>
          <w:rFonts w:ascii="新宋体" w:hAnsi="新宋体" w:eastAsia="新宋体"/>
          <w:szCs w:val="21"/>
        </w:rPr>
      </w:pPr>
      <w:r>
        <w:rPr>
          <w:rFonts w:hint="eastAsia" w:ascii="新宋体" w:hAnsi="新宋体" w:eastAsia="新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05B6AF74">
      <w:pPr>
        <w:spacing w:line="360" w:lineRule="auto"/>
        <w:ind w:firstLine="560"/>
        <w:jc w:val="left"/>
        <w:rPr>
          <w:rFonts w:ascii="新宋体" w:hAnsi="新宋体" w:eastAsia="新宋体"/>
          <w:b/>
          <w:szCs w:val="21"/>
        </w:rPr>
      </w:pPr>
      <w:r>
        <w:rPr>
          <w:rFonts w:hint="eastAsia" w:ascii="新宋体" w:hAnsi="新宋体" w:eastAsia="新宋体"/>
          <w:b/>
          <w:szCs w:val="21"/>
        </w:rPr>
        <w:t>第四条  质量保证</w:t>
      </w:r>
    </w:p>
    <w:p w14:paraId="4C81E5B7">
      <w:pPr>
        <w:spacing w:line="360" w:lineRule="auto"/>
        <w:ind w:firstLine="560"/>
        <w:jc w:val="left"/>
        <w:rPr>
          <w:rFonts w:ascii="新宋体" w:hAnsi="新宋体" w:eastAsia="新宋体"/>
          <w:szCs w:val="21"/>
        </w:rPr>
      </w:pPr>
      <w:r>
        <w:rPr>
          <w:rFonts w:hint="eastAsia" w:ascii="新宋体" w:hAnsi="新宋体" w:eastAsia="新宋体"/>
          <w:szCs w:val="21"/>
        </w:rPr>
        <w:t>1、乙方所提供的货物的技术规格符合招标文件规定的技术规格，货物符合中华人民共和国的设计和制造生产标准或行业标准。</w:t>
      </w:r>
    </w:p>
    <w:p w14:paraId="56BADBCC">
      <w:pPr>
        <w:spacing w:line="360" w:lineRule="auto"/>
        <w:ind w:firstLine="560"/>
        <w:jc w:val="left"/>
        <w:rPr>
          <w:rFonts w:ascii="新宋体" w:hAnsi="新宋体" w:eastAsia="新宋体"/>
          <w:szCs w:val="21"/>
        </w:rPr>
      </w:pPr>
      <w:r>
        <w:rPr>
          <w:rFonts w:hint="eastAsia" w:ascii="新宋体" w:hAnsi="新宋体" w:eastAsia="新宋体"/>
          <w:szCs w:val="21"/>
        </w:rPr>
        <w:t>2、乙方应保证货物是全新、未使用过的原装合格正品（包括零部件），并完全符合甲方要求的质量、规格和性能的要求。如货物安装或配置了软件的，乙方保证相关软件均为正版软件。</w:t>
      </w:r>
    </w:p>
    <w:p w14:paraId="6E2BADEE">
      <w:pPr>
        <w:spacing w:line="360" w:lineRule="auto"/>
        <w:ind w:firstLine="560"/>
        <w:jc w:val="left"/>
        <w:rPr>
          <w:rFonts w:ascii="新宋体" w:hAnsi="新宋体" w:eastAsia="新宋体"/>
          <w:szCs w:val="21"/>
        </w:rPr>
      </w:pPr>
      <w:r>
        <w:rPr>
          <w:rFonts w:hint="eastAsia" w:ascii="新宋体" w:hAnsi="新宋体" w:eastAsia="新宋体"/>
          <w:szCs w:val="21"/>
        </w:rPr>
        <w:t>3、乙方保证交货时一并提供货物的质量合格凭证或文件。</w:t>
      </w:r>
    </w:p>
    <w:p w14:paraId="6306406E">
      <w:pPr>
        <w:spacing w:line="360" w:lineRule="auto"/>
        <w:ind w:firstLine="560"/>
        <w:jc w:val="left"/>
        <w:rPr>
          <w:rFonts w:ascii="新宋体" w:hAnsi="新宋体" w:eastAsia="新宋体"/>
          <w:szCs w:val="21"/>
        </w:rPr>
      </w:pPr>
    </w:p>
    <w:p w14:paraId="3D6AACF4">
      <w:pPr>
        <w:spacing w:line="360" w:lineRule="auto"/>
        <w:ind w:firstLine="560"/>
        <w:jc w:val="left"/>
        <w:rPr>
          <w:rFonts w:ascii="新宋体" w:hAnsi="新宋体" w:eastAsia="新宋体"/>
          <w:b/>
          <w:szCs w:val="21"/>
        </w:rPr>
      </w:pPr>
      <w:r>
        <w:rPr>
          <w:rFonts w:hint="eastAsia" w:ascii="新宋体" w:hAnsi="新宋体" w:eastAsia="新宋体"/>
          <w:b/>
          <w:szCs w:val="21"/>
        </w:rPr>
        <w:t>第五条  交货和验收</w:t>
      </w:r>
    </w:p>
    <w:p w14:paraId="3B122AF3">
      <w:pPr>
        <w:spacing w:line="360" w:lineRule="auto"/>
        <w:ind w:firstLine="560"/>
        <w:jc w:val="left"/>
        <w:rPr>
          <w:rFonts w:ascii="新宋体" w:hAnsi="新宋体" w:eastAsia="新宋体"/>
          <w:szCs w:val="21"/>
        </w:rPr>
      </w:pPr>
      <w:r>
        <w:rPr>
          <w:rFonts w:hint="eastAsia" w:ascii="新宋体" w:hAnsi="新宋体" w:eastAsia="新宋体"/>
          <w:szCs w:val="21"/>
        </w:rPr>
        <w:t>1、乙方应按照本合同或招投标文件规定的时间和方式向甲方交付货物，交货地点由甲方指定。因交货产生的费用由乙方自行承担。</w:t>
      </w:r>
    </w:p>
    <w:p w14:paraId="7592F793">
      <w:pPr>
        <w:spacing w:line="360" w:lineRule="auto"/>
        <w:ind w:firstLine="560"/>
        <w:jc w:val="left"/>
        <w:rPr>
          <w:rFonts w:ascii="新宋体" w:hAnsi="新宋体" w:eastAsia="新宋体"/>
          <w:szCs w:val="21"/>
        </w:rPr>
      </w:pPr>
      <w:r>
        <w:rPr>
          <w:rFonts w:hint="eastAsia" w:ascii="新宋体" w:hAnsi="新宋体" w:eastAsia="新宋体"/>
          <w:szCs w:val="21"/>
        </w:rPr>
        <w:t>2、乙方交付的货物应当完全符合招投标文件所规定的货物、数量、质量和规格要求。乙方提供的货物不符合招投标文件和合同规定的，甲方有权拒收货物，由此引起的风险，由乙方承担。</w:t>
      </w:r>
    </w:p>
    <w:p w14:paraId="1BAC42E1">
      <w:pPr>
        <w:spacing w:line="360" w:lineRule="auto"/>
        <w:ind w:firstLine="560"/>
        <w:jc w:val="left"/>
        <w:rPr>
          <w:rFonts w:ascii="新宋体" w:hAnsi="新宋体" w:eastAsia="新宋体"/>
          <w:szCs w:val="21"/>
        </w:rPr>
      </w:pPr>
      <w:r>
        <w:rPr>
          <w:rFonts w:hint="eastAsia" w:ascii="新宋体" w:hAnsi="新宋体" w:eastAsia="新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4E64E5DB">
      <w:pPr>
        <w:spacing w:line="360" w:lineRule="auto"/>
        <w:ind w:firstLine="560"/>
        <w:jc w:val="left"/>
        <w:rPr>
          <w:rFonts w:ascii="新宋体" w:hAnsi="新宋体" w:eastAsia="新宋体"/>
          <w:szCs w:val="21"/>
        </w:rPr>
      </w:pPr>
      <w:r>
        <w:rPr>
          <w:rFonts w:hint="eastAsia" w:ascii="新宋体" w:hAnsi="新宋体" w:eastAsia="新宋体"/>
          <w:szCs w:val="21"/>
        </w:rPr>
        <w:t>4、甲方应当在到货后的个工作日内对货物进行验收；需要乙方对货物或系统进行安装调试的，甲方应在货物安装调试完毕后的个工作日内进行质量验收。</w:t>
      </w:r>
    </w:p>
    <w:p w14:paraId="5484E793">
      <w:pPr>
        <w:spacing w:line="360" w:lineRule="auto"/>
        <w:ind w:firstLine="560"/>
        <w:jc w:val="left"/>
        <w:rPr>
          <w:rFonts w:ascii="新宋体" w:hAnsi="新宋体" w:eastAsia="新宋体"/>
          <w:b/>
          <w:szCs w:val="21"/>
        </w:rPr>
      </w:pPr>
      <w:r>
        <w:rPr>
          <w:rFonts w:hint="eastAsia" w:ascii="新宋体" w:hAnsi="新宋体" w:eastAsia="新宋体"/>
          <w:b/>
          <w:szCs w:val="21"/>
        </w:rPr>
        <w:t>第六条  保修及其他服务</w:t>
      </w:r>
    </w:p>
    <w:p w14:paraId="466AE834">
      <w:pPr>
        <w:spacing w:line="360" w:lineRule="auto"/>
        <w:ind w:firstLine="560"/>
        <w:jc w:val="left"/>
        <w:rPr>
          <w:rFonts w:ascii="新宋体" w:hAnsi="新宋体" w:eastAsia="新宋体"/>
          <w:szCs w:val="21"/>
        </w:rPr>
      </w:pPr>
      <w:r>
        <w:rPr>
          <w:rFonts w:hint="eastAsia" w:ascii="新宋体" w:hAnsi="新宋体" w:eastAsia="新宋体"/>
          <w:szCs w:val="21"/>
        </w:rPr>
        <w:t>1、乙方应按照国家有关法律法规规章和“三包”规定和招标文件的要求及乙方在投标文件的相关承诺提供保修及其他服务。</w:t>
      </w:r>
    </w:p>
    <w:p w14:paraId="6908D67F">
      <w:pPr>
        <w:spacing w:line="360" w:lineRule="auto"/>
        <w:ind w:firstLine="560"/>
        <w:jc w:val="left"/>
        <w:rPr>
          <w:rFonts w:ascii="新宋体" w:hAnsi="新宋体" w:eastAsia="新宋体"/>
          <w:szCs w:val="21"/>
        </w:rPr>
      </w:pPr>
      <w:r>
        <w:rPr>
          <w:rFonts w:hint="eastAsia" w:ascii="新宋体" w:hAnsi="新宋体" w:eastAsia="新宋体"/>
          <w:szCs w:val="21"/>
        </w:rPr>
        <w:t>2、</w:t>
      </w:r>
      <w:r>
        <w:rPr>
          <w:rFonts w:ascii="新宋体" w:hAnsi="新宋体" w:eastAsia="新宋体"/>
          <w:szCs w:val="21"/>
        </w:rPr>
        <w:t>保修期内，乙方负责对其提供的货物进行维修和系统维护，不再收取任何费用。</w:t>
      </w:r>
      <w:r>
        <w:rPr>
          <w:rFonts w:hint="eastAsia" w:ascii="新宋体" w:hAnsi="新宋体" w:eastAsia="新宋体"/>
          <w:szCs w:val="21"/>
        </w:rPr>
        <w:t>所有货物保修服务方式均为乙方上门保修，即由乙方派员到货物使用现场维修，由此产生的一切费用均由乙方承担。保修期后的货物维护另行协商。</w:t>
      </w:r>
    </w:p>
    <w:p w14:paraId="261BB548">
      <w:pPr>
        <w:spacing w:line="360" w:lineRule="auto"/>
        <w:ind w:firstLine="560"/>
        <w:jc w:val="left"/>
        <w:rPr>
          <w:rFonts w:ascii="新宋体" w:hAnsi="新宋体" w:eastAsia="新宋体"/>
          <w:b/>
          <w:szCs w:val="21"/>
        </w:rPr>
      </w:pPr>
      <w:r>
        <w:rPr>
          <w:rFonts w:hint="eastAsia" w:ascii="新宋体" w:hAnsi="新宋体" w:eastAsia="新宋体"/>
          <w:b/>
          <w:szCs w:val="21"/>
        </w:rPr>
        <w:t>第七条  履约保证金</w:t>
      </w:r>
    </w:p>
    <w:p w14:paraId="5DFE80AC">
      <w:pPr>
        <w:spacing w:line="360" w:lineRule="auto"/>
        <w:ind w:firstLine="560"/>
        <w:jc w:val="left"/>
        <w:rPr>
          <w:rFonts w:ascii="新宋体" w:hAnsi="新宋体" w:eastAsia="新宋体"/>
          <w:szCs w:val="21"/>
        </w:rPr>
      </w:pPr>
      <w:r>
        <w:rPr>
          <w:rFonts w:hint="eastAsia" w:ascii="新宋体" w:hAnsi="新宋体" w:eastAsia="新宋体"/>
          <w:szCs w:val="21"/>
        </w:rPr>
        <w:t>1、乙方应在签订本合同之日，向甲方或甲方指定的机构提交履约保证金_________元。</w:t>
      </w:r>
    </w:p>
    <w:p w14:paraId="42192BD0">
      <w:pPr>
        <w:spacing w:line="360" w:lineRule="auto"/>
        <w:ind w:firstLine="560"/>
        <w:jc w:val="left"/>
        <w:rPr>
          <w:rFonts w:ascii="新宋体" w:hAnsi="新宋体" w:eastAsia="新宋体"/>
          <w:szCs w:val="21"/>
        </w:rPr>
      </w:pPr>
      <w:r>
        <w:rPr>
          <w:rFonts w:hint="eastAsia" w:ascii="新宋体" w:hAnsi="新宋体" w:eastAsia="新宋体"/>
          <w:szCs w:val="21"/>
        </w:rPr>
        <w:t>2、如乙方未能履行合同规定的义务，甲方有权从履约保证金中取得补偿。</w:t>
      </w:r>
    </w:p>
    <w:p w14:paraId="737907C2">
      <w:pPr>
        <w:spacing w:line="360" w:lineRule="auto"/>
        <w:ind w:firstLine="560"/>
        <w:jc w:val="left"/>
        <w:rPr>
          <w:rFonts w:ascii="新宋体" w:hAnsi="新宋体" w:eastAsia="新宋体"/>
          <w:szCs w:val="21"/>
        </w:rPr>
      </w:pPr>
      <w:r>
        <w:rPr>
          <w:rFonts w:hint="eastAsia" w:ascii="新宋体" w:hAnsi="新宋体" w:eastAsia="新宋体"/>
          <w:szCs w:val="21"/>
        </w:rPr>
        <w:t>3、甲方在乙方履行完毕本合同项下全部义务后______天内无息退还乙方。</w:t>
      </w:r>
    </w:p>
    <w:p w14:paraId="68F6DDC7">
      <w:pPr>
        <w:spacing w:line="360" w:lineRule="auto"/>
        <w:ind w:firstLine="560"/>
        <w:jc w:val="left"/>
        <w:rPr>
          <w:rFonts w:ascii="新宋体" w:hAnsi="新宋体" w:eastAsia="新宋体"/>
          <w:b/>
          <w:szCs w:val="21"/>
        </w:rPr>
      </w:pPr>
      <w:r>
        <w:rPr>
          <w:rFonts w:hint="eastAsia" w:ascii="新宋体" w:hAnsi="新宋体" w:eastAsia="新宋体"/>
          <w:b/>
          <w:szCs w:val="21"/>
        </w:rPr>
        <w:t>第八条   货款支付</w:t>
      </w:r>
    </w:p>
    <w:p w14:paraId="673D3D85">
      <w:pPr>
        <w:spacing w:line="360" w:lineRule="auto"/>
        <w:ind w:firstLine="560"/>
        <w:jc w:val="left"/>
        <w:rPr>
          <w:rFonts w:ascii="新宋体" w:hAnsi="新宋体" w:eastAsia="新宋体"/>
          <w:szCs w:val="21"/>
        </w:rPr>
      </w:pPr>
    </w:p>
    <w:p w14:paraId="4A340866">
      <w:pPr>
        <w:spacing w:line="360" w:lineRule="auto"/>
        <w:ind w:firstLine="560"/>
        <w:jc w:val="left"/>
        <w:rPr>
          <w:rFonts w:ascii="新宋体" w:hAnsi="新宋体" w:eastAsia="新宋体"/>
          <w:b/>
          <w:szCs w:val="21"/>
        </w:rPr>
      </w:pPr>
      <w:r>
        <w:rPr>
          <w:rFonts w:hint="eastAsia" w:ascii="新宋体" w:hAnsi="新宋体" w:eastAsia="新宋体"/>
          <w:b/>
          <w:szCs w:val="21"/>
        </w:rPr>
        <w:t>第九条    违约责任</w:t>
      </w:r>
    </w:p>
    <w:p w14:paraId="06D7104E">
      <w:pPr>
        <w:spacing w:line="360" w:lineRule="auto"/>
        <w:ind w:firstLine="560"/>
        <w:jc w:val="left"/>
        <w:rPr>
          <w:rFonts w:ascii="新宋体" w:hAnsi="新宋体" w:eastAsia="新宋体"/>
          <w:szCs w:val="21"/>
        </w:rPr>
      </w:pPr>
      <w:r>
        <w:rPr>
          <w:rFonts w:hint="eastAsia" w:ascii="新宋体" w:hAnsi="新宋体" w:eastAsia="新宋体"/>
          <w:szCs w:val="21"/>
        </w:rPr>
        <w:t>１、甲方无正当理由拒收货物、拒付货物款的，由甲方向乙方偿付合同总价的【】%违约金。</w:t>
      </w:r>
    </w:p>
    <w:p w14:paraId="5834BB42">
      <w:pPr>
        <w:spacing w:line="360" w:lineRule="auto"/>
        <w:ind w:firstLine="560"/>
        <w:jc w:val="left"/>
        <w:rPr>
          <w:rFonts w:ascii="新宋体" w:hAnsi="新宋体" w:eastAsia="新宋体"/>
          <w:szCs w:val="21"/>
        </w:rPr>
      </w:pPr>
      <w:r>
        <w:rPr>
          <w:rFonts w:hint="eastAsia" w:ascii="新宋体" w:hAnsi="新宋体" w:eastAsia="新宋体"/>
          <w:szCs w:val="21"/>
        </w:rPr>
        <w:t>２、甲方未按合同规定的期限向乙方支付货款的，每逾期1天甲方向乙方偿付欠款总额的【】‰滞纳金，但累计滞纳金总额不超过欠款总额的【】% 。</w:t>
      </w:r>
    </w:p>
    <w:p w14:paraId="5C000FC6">
      <w:pPr>
        <w:spacing w:line="360" w:lineRule="auto"/>
        <w:ind w:firstLine="560"/>
        <w:jc w:val="left"/>
        <w:rPr>
          <w:rFonts w:ascii="新宋体" w:hAnsi="新宋体" w:eastAsia="新宋体"/>
          <w:szCs w:val="21"/>
        </w:rPr>
      </w:pPr>
      <w:r>
        <w:rPr>
          <w:rFonts w:hint="eastAsia" w:ascii="新宋体" w:hAnsi="新宋体" w:eastAsia="新宋体"/>
          <w:szCs w:val="21"/>
        </w:rPr>
        <w:t>３、</w:t>
      </w:r>
      <w:r>
        <w:rPr>
          <w:rFonts w:ascii="新宋体" w:hAnsi="新宋体" w:eastAsia="新宋体"/>
          <w:szCs w:val="21"/>
        </w:rPr>
        <w:t>乙方逾期交付货物的，每逾期1天，乙方向甲方偿付逾期交货部分货款总额的</w:t>
      </w:r>
      <w:r>
        <w:rPr>
          <w:rFonts w:hint="eastAsia" w:ascii="新宋体" w:hAnsi="新宋体" w:eastAsia="新宋体"/>
          <w:szCs w:val="21"/>
        </w:rPr>
        <w:t>【】</w:t>
      </w:r>
      <w:r>
        <w:rPr>
          <w:rFonts w:ascii="新宋体" w:hAnsi="新宋体" w:eastAsia="新宋体"/>
          <w:szCs w:val="21"/>
        </w:rPr>
        <w:t>‰的滞纳金</w:t>
      </w:r>
      <w:r>
        <w:rPr>
          <w:rFonts w:hint="eastAsia" w:ascii="新宋体" w:hAnsi="新宋体" w:eastAsia="新宋体"/>
          <w:szCs w:val="21"/>
        </w:rPr>
        <w:t>。如乙方逾期交货达天，甲方有权解除合同，履约保证金不予退回，同时乙方应向甲方支付合同总价【】％的违约金。</w:t>
      </w:r>
    </w:p>
    <w:p w14:paraId="68681E58">
      <w:pPr>
        <w:spacing w:line="360" w:lineRule="auto"/>
        <w:ind w:firstLine="560"/>
        <w:jc w:val="left"/>
        <w:rPr>
          <w:rFonts w:ascii="新宋体" w:hAnsi="新宋体" w:eastAsia="新宋体"/>
          <w:szCs w:val="21"/>
        </w:rPr>
      </w:pPr>
      <w:r>
        <w:rPr>
          <w:rFonts w:hint="eastAsia" w:ascii="新宋体" w:hAnsi="新宋体" w:eastAsia="新宋体"/>
          <w:szCs w:val="21"/>
        </w:rPr>
        <w:t>4、乙方所交付的货物品种、型号、规格不符合合同规定的，甲方有权拒收。甲方拒收的，乙方应向甲方支付货款总额【】%的违约金。</w:t>
      </w:r>
    </w:p>
    <w:p w14:paraId="50D77C99">
      <w:pPr>
        <w:spacing w:line="360" w:lineRule="auto"/>
        <w:ind w:firstLine="560"/>
        <w:jc w:val="left"/>
        <w:rPr>
          <w:rFonts w:ascii="新宋体" w:hAnsi="新宋体" w:eastAsia="新宋体"/>
          <w:szCs w:val="21"/>
        </w:rPr>
      </w:pPr>
      <w:r>
        <w:rPr>
          <w:rFonts w:hint="eastAsia" w:ascii="新宋体" w:hAnsi="新宋体" w:eastAsia="新宋体"/>
          <w:szCs w:val="21"/>
        </w:rPr>
        <w:t>5、在乙方承诺的或国家规定的质量保证期内（取两者中最长的期限），</w:t>
      </w:r>
      <w:r>
        <w:rPr>
          <w:rFonts w:ascii="新宋体" w:hAnsi="新宋体" w:eastAsia="新宋体"/>
          <w:szCs w:val="21"/>
        </w:rPr>
        <w:t>如经乙方两次维修</w:t>
      </w:r>
      <w:r>
        <w:rPr>
          <w:rFonts w:hint="eastAsia" w:ascii="新宋体" w:hAnsi="新宋体" w:eastAsia="新宋体"/>
          <w:szCs w:val="21"/>
        </w:rPr>
        <w:t>或更换</w:t>
      </w:r>
      <w:r>
        <w:rPr>
          <w:rFonts w:ascii="新宋体" w:hAnsi="新宋体" w:eastAsia="新宋体"/>
          <w:szCs w:val="21"/>
        </w:rPr>
        <w:t>，货物仍不能达到合同约定</w:t>
      </w:r>
      <w:r>
        <w:rPr>
          <w:rFonts w:hint="eastAsia" w:ascii="新宋体" w:hAnsi="新宋体" w:eastAsia="新宋体"/>
          <w:szCs w:val="21"/>
        </w:rPr>
        <w:t>的</w:t>
      </w:r>
      <w:r>
        <w:rPr>
          <w:rFonts w:ascii="新宋体" w:hAnsi="新宋体" w:eastAsia="新宋体"/>
          <w:szCs w:val="21"/>
        </w:rPr>
        <w:t>质量标准，甲方有权退货，乙方</w:t>
      </w:r>
      <w:r>
        <w:rPr>
          <w:rFonts w:hint="eastAsia" w:ascii="新宋体" w:hAnsi="新宋体" w:eastAsia="新宋体"/>
          <w:szCs w:val="21"/>
        </w:rPr>
        <w:t>应</w:t>
      </w:r>
      <w:r>
        <w:rPr>
          <w:rFonts w:ascii="新宋体" w:hAnsi="新宋体" w:eastAsia="新宋体"/>
          <w:szCs w:val="21"/>
        </w:rPr>
        <w:t>退回全部货款</w:t>
      </w:r>
      <w:r>
        <w:rPr>
          <w:rFonts w:hint="eastAsia" w:ascii="新宋体" w:hAnsi="新宋体" w:eastAsia="新宋体"/>
          <w:szCs w:val="21"/>
        </w:rPr>
        <w:t>并</w:t>
      </w:r>
      <w:r>
        <w:rPr>
          <w:rFonts w:ascii="新宋体" w:hAnsi="新宋体" w:eastAsia="新宋体"/>
          <w:szCs w:val="21"/>
        </w:rPr>
        <w:t>赔偿甲方因此遭受的损失。</w:t>
      </w:r>
    </w:p>
    <w:p w14:paraId="23BAD80A">
      <w:pPr>
        <w:spacing w:line="360" w:lineRule="auto"/>
        <w:ind w:firstLine="560"/>
        <w:jc w:val="left"/>
        <w:rPr>
          <w:rFonts w:ascii="新宋体" w:hAnsi="新宋体" w:eastAsia="新宋体"/>
          <w:szCs w:val="21"/>
        </w:rPr>
      </w:pPr>
      <w:r>
        <w:rPr>
          <w:rFonts w:hint="eastAsia" w:ascii="新宋体" w:hAnsi="新宋体" w:eastAsia="新宋体"/>
          <w:szCs w:val="21"/>
        </w:rPr>
        <w:t>6、乙方未履行本合同项下的其他义务或违反其在投标文件中的相关承诺的，应按合同总价款的【】%向甲方承担违约责任。</w:t>
      </w:r>
    </w:p>
    <w:p w14:paraId="25B214C0">
      <w:pPr>
        <w:spacing w:line="360" w:lineRule="auto"/>
        <w:ind w:firstLine="560"/>
        <w:jc w:val="left"/>
        <w:rPr>
          <w:rFonts w:ascii="新宋体" w:hAnsi="新宋体" w:eastAsia="新宋体"/>
          <w:szCs w:val="21"/>
        </w:rPr>
      </w:pPr>
      <w:r>
        <w:rPr>
          <w:rFonts w:hint="eastAsia" w:ascii="新宋体" w:hAnsi="新宋体" w:eastAsia="新宋体"/>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5B559FB7">
      <w:pPr>
        <w:spacing w:line="360" w:lineRule="auto"/>
        <w:ind w:firstLine="560"/>
        <w:jc w:val="left"/>
        <w:rPr>
          <w:rFonts w:ascii="新宋体" w:hAnsi="新宋体" w:eastAsia="新宋体"/>
          <w:b/>
          <w:szCs w:val="21"/>
        </w:rPr>
      </w:pPr>
      <w:r>
        <w:rPr>
          <w:rFonts w:hint="eastAsia" w:ascii="新宋体" w:hAnsi="新宋体" w:eastAsia="新宋体"/>
          <w:b/>
          <w:szCs w:val="21"/>
        </w:rPr>
        <w:t>第十条    合同的变更和终止</w:t>
      </w:r>
    </w:p>
    <w:p w14:paraId="6AC66C92">
      <w:pPr>
        <w:spacing w:line="360" w:lineRule="auto"/>
        <w:ind w:firstLine="560"/>
        <w:jc w:val="left"/>
        <w:rPr>
          <w:rFonts w:ascii="新宋体" w:hAnsi="新宋体" w:eastAsia="新宋体"/>
          <w:szCs w:val="21"/>
        </w:rPr>
      </w:pPr>
      <w:r>
        <w:rPr>
          <w:rFonts w:hint="eastAsia" w:ascii="新宋体" w:hAnsi="新宋体" w:eastAsia="新宋体"/>
          <w:szCs w:val="21"/>
        </w:rPr>
        <w:t>除《中华人民共和国政府采购法》第４９条、第５０条第二款规定的情形外，本合同一经签订，甲乙双方不得擅自变更、中止或终止合同。</w:t>
      </w:r>
    </w:p>
    <w:p w14:paraId="09CD098E">
      <w:pPr>
        <w:spacing w:line="360" w:lineRule="auto"/>
        <w:ind w:firstLine="560"/>
        <w:jc w:val="left"/>
        <w:rPr>
          <w:rFonts w:ascii="新宋体" w:hAnsi="新宋体" w:eastAsia="新宋体"/>
          <w:b/>
          <w:szCs w:val="21"/>
        </w:rPr>
      </w:pPr>
      <w:r>
        <w:rPr>
          <w:rFonts w:hint="eastAsia" w:ascii="新宋体" w:hAnsi="新宋体" w:eastAsia="新宋体"/>
          <w:b/>
          <w:szCs w:val="21"/>
        </w:rPr>
        <w:t>第十一条   争议的解决</w:t>
      </w:r>
    </w:p>
    <w:p w14:paraId="16D00993">
      <w:pPr>
        <w:spacing w:line="360" w:lineRule="auto"/>
        <w:ind w:firstLine="560"/>
        <w:jc w:val="left"/>
        <w:rPr>
          <w:rFonts w:ascii="新宋体" w:hAnsi="新宋体" w:eastAsia="新宋体"/>
          <w:szCs w:val="21"/>
        </w:rPr>
      </w:pPr>
      <w:r>
        <w:rPr>
          <w:rFonts w:hint="eastAsia" w:ascii="新宋体" w:hAnsi="新宋体" w:eastAsia="新宋体"/>
          <w:szCs w:val="21"/>
        </w:rPr>
        <w:t>1、因货物的质量问题发生争议的，应当邀请国家认可的质量检测机构对货物质量进行鉴定。货物符合标准的，鉴定费由甲方承担；货物不符合质量标准的，鉴定费由乙方承担。</w:t>
      </w:r>
    </w:p>
    <w:p w14:paraId="46D29608">
      <w:pPr>
        <w:spacing w:line="360" w:lineRule="auto"/>
        <w:ind w:firstLine="560"/>
        <w:jc w:val="left"/>
        <w:rPr>
          <w:rFonts w:ascii="新宋体" w:hAnsi="新宋体" w:eastAsia="新宋体"/>
          <w:szCs w:val="21"/>
        </w:rPr>
      </w:pPr>
      <w:r>
        <w:rPr>
          <w:rFonts w:hint="eastAsia" w:ascii="新宋体" w:hAnsi="新宋体" w:eastAsia="新宋体"/>
          <w:szCs w:val="21"/>
        </w:rPr>
        <w:t>2、因履行本合同引起的或与本合同有关的争议，甲、乙双方应首先通过友好协商解决，如果协商不能解决争议，则向甲方所在地有管辖权的人民法院提起诉讼；</w:t>
      </w:r>
    </w:p>
    <w:p w14:paraId="3AC10518">
      <w:pPr>
        <w:spacing w:line="360" w:lineRule="auto"/>
        <w:ind w:firstLine="560"/>
        <w:jc w:val="left"/>
        <w:rPr>
          <w:rFonts w:ascii="新宋体" w:hAnsi="新宋体" w:eastAsia="新宋体"/>
          <w:b/>
          <w:szCs w:val="21"/>
        </w:rPr>
      </w:pPr>
      <w:r>
        <w:rPr>
          <w:rFonts w:hint="eastAsia" w:ascii="新宋体" w:hAnsi="新宋体" w:eastAsia="新宋体"/>
          <w:b/>
          <w:szCs w:val="21"/>
        </w:rPr>
        <w:t>第十二条   合同生效及其他</w:t>
      </w:r>
    </w:p>
    <w:p w14:paraId="32F7CF91">
      <w:pPr>
        <w:spacing w:line="360" w:lineRule="auto"/>
        <w:ind w:firstLine="560"/>
        <w:jc w:val="left"/>
        <w:rPr>
          <w:rFonts w:ascii="新宋体" w:hAnsi="新宋体" w:eastAsia="新宋体"/>
          <w:szCs w:val="21"/>
        </w:rPr>
      </w:pPr>
      <w:r>
        <w:rPr>
          <w:rFonts w:hint="eastAsia" w:ascii="新宋体" w:hAnsi="新宋体" w:eastAsia="新宋体"/>
          <w:szCs w:val="21"/>
        </w:rPr>
        <w:t>1、下列文件均为本合同的组成部分：</w:t>
      </w:r>
    </w:p>
    <w:p w14:paraId="7D4ADD07">
      <w:pPr>
        <w:spacing w:line="360" w:lineRule="auto"/>
        <w:ind w:firstLine="560"/>
        <w:jc w:val="left"/>
        <w:rPr>
          <w:rFonts w:ascii="新宋体" w:hAnsi="新宋体" w:eastAsia="新宋体"/>
          <w:szCs w:val="21"/>
        </w:rPr>
      </w:pPr>
      <w:r>
        <w:rPr>
          <w:rFonts w:hint="eastAsia" w:ascii="新宋体" w:hAnsi="新宋体" w:eastAsia="新宋体"/>
          <w:szCs w:val="21"/>
        </w:rPr>
        <w:t>（1）号招标文件、答疑及补充通知；</w:t>
      </w:r>
    </w:p>
    <w:p w14:paraId="4D49F22F">
      <w:pPr>
        <w:spacing w:line="360" w:lineRule="auto"/>
        <w:ind w:firstLine="560"/>
        <w:jc w:val="left"/>
        <w:rPr>
          <w:rFonts w:ascii="新宋体" w:hAnsi="新宋体" w:eastAsia="新宋体"/>
          <w:szCs w:val="21"/>
        </w:rPr>
      </w:pPr>
      <w:r>
        <w:rPr>
          <w:rFonts w:hint="eastAsia" w:ascii="新宋体" w:hAnsi="新宋体" w:eastAsia="新宋体"/>
          <w:szCs w:val="21"/>
        </w:rPr>
        <w:t>（2）乙方的投标文件；</w:t>
      </w:r>
    </w:p>
    <w:p w14:paraId="413EF811">
      <w:pPr>
        <w:spacing w:line="360" w:lineRule="auto"/>
        <w:ind w:firstLine="560"/>
        <w:jc w:val="left"/>
        <w:rPr>
          <w:rFonts w:ascii="新宋体" w:hAnsi="新宋体" w:eastAsia="新宋体"/>
          <w:szCs w:val="21"/>
        </w:rPr>
      </w:pPr>
      <w:r>
        <w:rPr>
          <w:rFonts w:hint="eastAsia" w:ascii="新宋体" w:hAnsi="新宋体" w:eastAsia="新宋体"/>
          <w:szCs w:val="21"/>
        </w:rPr>
        <w:t>（3）本合同执行中甲乙双方共同签署的补充与修正文件。</w:t>
      </w:r>
    </w:p>
    <w:p w14:paraId="63B54A4F">
      <w:pPr>
        <w:spacing w:line="360" w:lineRule="auto"/>
        <w:ind w:firstLine="560"/>
        <w:jc w:val="left"/>
        <w:rPr>
          <w:rFonts w:ascii="新宋体" w:hAnsi="新宋体" w:eastAsia="新宋体"/>
          <w:szCs w:val="21"/>
        </w:rPr>
      </w:pPr>
      <w:r>
        <w:rPr>
          <w:rFonts w:hint="eastAsia" w:ascii="新宋体" w:hAnsi="新宋体" w:eastAsia="新宋体"/>
          <w:szCs w:val="21"/>
        </w:rPr>
        <w:t>2、本合同一式份，甲、乙方双方各执份，具有同等法律效力。本合同自双方法定代表人（或授权代表）签字并盖章之日起生效。</w:t>
      </w:r>
    </w:p>
    <w:p w14:paraId="1D544487">
      <w:pPr>
        <w:spacing w:line="360" w:lineRule="auto"/>
        <w:ind w:firstLine="560"/>
        <w:jc w:val="left"/>
        <w:rPr>
          <w:rFonts w:ascii="新宋体" w:hAnsi="新宋体" w:eastAsia="新宋体"/>
          <w:szCs w:val="21"/>
        </w:rPr>
      </w:pPr>
    </w:p>
    <w:p w14:paraId="1F4DBD6F">
      <w:pPr>
        <w:spacing w:line="360" w:lineRule="auto"/>
        <w:ind w:firstLine="560"/>
        <w:jc w:val="left"/>
        <w:rPr>
          <w:rFonts w:ascii="新宋体" w:hAnsi="新宋体" w:eastAsia="新宋体"/>
          <w:szCs w:val="21"/>
        </w:rPr>
      </w:pPr>
    </w:p>
    <w:p w14:paraId="2F4ACF7F">
      <w:pPr>
        <w:spacing w:line="360" w:lineRule="auto"/>
        <w:ind w:firstLine="560"/>
        <w:jc w:val="left"/>
        <w:rPr>
          <w:rFonts w:ascii="新宋体" w:hAnsi="新宋体" w:eastAsia="新宋体"/>
          <w:szCs w:val="21"/>
        </w:rPr>
      </w:pPr>
      <w:r>
        <w:rPr>
          <w:rFonts w:hint="eastAsia" w:ascii="新宋体" w:hAnsi="新宋体" w:eastAsia="新宋体"/>
          <w:szCs w:val="21"/>
        </w:rPr>
        <w:t>甲方（采购人）：   （盖章）       乙方（供应商）：    （盖章）</w:t>
      </w:r>
    </w:p>
    <w:p w14:paraId="2F5AABFC">
      <w:pPr>
        <w:spacing w:line="360" w:lineRule="auto"/>
        <w:ind w:firstLine="560"/>
        <w:jc w:val="left"/>
        <w:rPr>
          <w:rFonts w:ascii="新宋体" w:hAnsi="新宋体" w:eastAsia="新宋体"/>
          <w:szCs w:val="21"/>
        </w:rPr>
      </w:pPr>
      <w:r>
        <w:rPr>
          <w:rFonts w:hint="eastAsia" w:ascii="新宋体" w:hAnsi="新宋体" w:eastAsia="新宋体"/>
          <w:szCs w:val="21"/>
        </w:rPr>
        <w:t xml:space="preserve">法定代表人：                     法定代表人： </w:t>
      </w:r>
    </w:p>
    <w:p w14:paraId="053A3DD1">
      <w:pPr>
        <w:spacing w:line="360" w:lineRule="auto"/>
        <w:ind w:firstLine="560"/>
        <w:jc w:val="left"/>
        <w:rPr>
          <w:rFonts w:ascii="新宋体" w:hAnsi="新宋体" w:eastAsia="新宋体"/>
          <w:szCs w:val="21"/>
        </w:rPr>
      </w:pPr>
      <w:r>
        <w:rPr>
          <w:rFonts w:hint="eastAsia" w:ascii="新宋体" w:hAnsi="新宋体" w:eastAsia="新宋体"/>
          <w:szCs w:val="21"/>
        </w:rPr>
        <w:t>委托代理人：                     委托代理人：</w:t>
      </w:r>
    </w:p>
    <w:p w14:paraId="13BB0585">
      <w:pPr>
        <w:spacing w:line="360" w:lineRule="auto"/>
        <w:ind w:firstLine="525" w:firstLineChars="250"/>
        <w:rPr>
          <w:rFonts w:ascii="新宋体" w:hAnsi="新宋体" w:eastAsia="新宋体"/>
          <w:b/>
          <w:szCs w:val="21"/>
        </w:rPr>
      </w:pPr>
      <w:r>
        <w:rPr>
          <w:rFonts w:hint="eastAsia" w:ascii="新宋体" w:hAnsi="新宋体" w:eastAsia="新宋体"/>
          <w:szCs w:val="21"/>
        </w:rPr>
        <w:t>日期：   年     月    日         日期：   年     月    日</w:t>
      </w:r>
    </w:p>
    <w:p w14:paraId="51134E52"/>
    <w:p w14:paraId="5A84BE54">
      <w:pPr>
        <w:rPr>
          <w:rFonts w:ascii="宋体" w:hAnsi="宋体"/>
          <w:szCs w:val="21"/>
        </w:rPr>
      </w:pPr>
    </w:p>
    <w:p w14:paraId="5063614C">
      <w:pPr>
        <w:rPr>
          <w:rFonts w:ascii="宋体" w:hAnsi="宋体"/>
          <w:szCs w:val="21"/>
        </w:rPr>
      </w:pPr>
    </w:p>
    <w:p w14:paraId="280B85FE">
      <w:pPr>
        <w:rPr>
          <w:rFonts w:ascii="宋体" w:hAnsi="宋体"/>
          <w:szCs w:val="21"/>
        </w:rPr>
      </w:pPr>
    </w:p>
    <w:p w14:paraId="64F78BC2">
      <w:pPr>
        <w:rPr>
          <w:rFonts w:ascii="宋体" w:hAnsi="宋体"/>
          <w:szCs w:val="21"/>
        </w:rPr>
      </w:pPr>
    </w:p>
    <w:p w14:paraId="0914624E">
      <w:pPr>
        <w:rPr>
          <w:rFonts w:ascii="宋体" w:hAnsi="宋体"/>
          <w:szCs w:val="21"/>
        </w:rPr>
      </w:pPr>
    </w:p>
    <w:p w14:paraId="1AEE0CC4">
      <w:pPr>
        <w:rPr>
          <w:rFonts w:ascii="宋体" w:hAnsi="宋体"/>
          <w:szCs w:val="21"/>
        </w:rPr>
      </w:pPr>
    </w:p>
    <w:p w14:paraId="35B3FC90">
      <w:pPr>
        <w:rPr>
          <w:rFonts w:ascii="宋体" w:hAnsi="宋体"/>
          <w:szCs w:val="21"/>
        </w:rPr>
      </w:pPr>
    </w:p>
    <w:p w14:paraId="4DADBE70">
      <w:pPr>
        <w:rPr>
          <w:rFonts w:ascii="宋体" w:hAnsi="宋体"/>
          <w:szCs w:val="21"/>
        </w:rPr>
      </w:pPr>
    </w:p>
    <w:p w14:paraId="59C1F1AF">
      <w:pPr>
        <w:rPr>
          <w:rFonts w:ascii="宋体" w:hAnsi="宋体"/>
          <w:szCs w:val="21"/>
        </w:rPr>
      </w:pPr>
    </w:p>
    <w:p w14:paraId="74459CD5">
      <w:pPr>
        <w:rPr>
          <w:rFonts w:ascii="宋体" w:hAnsi="宋体"/>
          <w:szCs w:val="21"/>
        </w:rPr>
      </w:pPr>
    </w:p>
    <w:p w14:paraId="4F9C4430">
      <w:pPr>
        <w:rPr>
          <w:rFonts w:ascii="宋体" w:hAnsi="宋体"/>
          <w:szCs w:val="21"/>
        </w:rPr>
      </w:pPr>
    </w:p>
    <w:p w14:paraId="56EF50C0">
      <w:pPr>
        <w:rPr>
          <w:rFonts w:ascii="宋体" w:hAnsi="宋体"/>
          <w:szCs w:val="21"/>
        </w:rPr>
      </w:pPr>
    </w:p>
    <w:p w14:paraId="188F8DA2">
      <w:pPr>
        <w:rPr>
          <w:rFonts w:ascii="宋体" w:hAnsi="宋体"/>
          <w:szCs w:val="21"/>
        </w:rPr>
      </w:pPr>
    </w:p>
    <w:p w14:paraId="3EA2D352">
      <w:pPr>
        <w:rPr>
          <w:rFonts w:ascii="宋体" w:hAnsi="宋体"/>
          <w:szCs w:val="21"/>
        </w:rPr>
      </w:pPr>
    </w:p>
    <w:p w14:paraId="599EE156">
      <w:pPr>
        <w:rPr>
          <w:rFonts w:ascii="宋体" w:hAnsi="宋体"/>
          <w:szCs w:val="21"/>
        </w:rPr>
      </w:pPr>
    </w:p>
    <w:p w14:paraId="20B383D2">
      <w:pPr>
        <w:rPr>
          <w:rFonts w:ascii="宋体" w:hAnsi="宋体"/>
          <w:szCs w:val="21"/>
        </w:rPr>
      </w:pPr>
    </w:p>
    <w:p w14:paraId="675E6A2A">
      <w:pPr>
        <w:rPr>
          <w:rFonts w:ascii="宋体" w:hAnsi="宋体"/>
          <w:szCs w:val="21"/>
        </w:rPr>
      </w:pPr>
    </w:p>
    <w:p w14:paraId="759DA369">
      <w:pPr>
        <w:rPr>
          <w:rFonts w:ascii="宋体" w:hAnsi="宋体"/>
          <w:szCs w:val="21"/>
        </w:rPr>
      </w:pPr>
    </w:p>
    <w:p w14:paraId="58E70608">
      <w:pPr>
        <w:rPr>
          <w:rFonts w:ascii="宋体" w:hAnsi="宋体"/>
          <w:szCs w:val="21"/>
        </w:rPr>
      </w:pPr>
    </w:p>
    <w:p w14:paraId="68EA84E4">
      <w:pPr>
        <w:rPr>
          <w:rFonts w:ascii="宋体" w:hAnsi="宋体"/>
          <w:szCs w:val="21"/>
        </w:rPr>
      </w:pPr>
    </w:p>
    <w:p w14:paraId="10F736C7">
      <w:pPr>
        <w:rPr>
          <w:rFonts w:ascii="宋体" w:hAnsi="宋体"/>
          <w:szCs w:val="21"/>
        </w:rPr>
      </w:pPr>
    </w:p>
    <w:p w14:paraId="14EADA12">
      <w:pPr>
        <w:rPr>
          <w:rFonts w:ascii="宋体" w:hAnsi="宋体"/>
          <w:szCs w:val="21"/>
        </w:rPr>
      </w:pPr>
    </w:p>
    <w:p w14:paraId="166A068E">
      <w:pPr>
        <w:rPr>
          <w:rFonts w:ascii="宋体" w:hAnsi="宋体"/>
          <w:szCs w:val="21"/>
        </w:rPr>
      </w:pPr>
    </w:p>
    <w:p w14:paraId="4CCAA424">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二、政府采购履约情况反馈表</w:t>
      </w:r>
    </w:p>
    <w:p w14:paraId="38F3B980">
      <w:pPr>
        <w:rPr>
          <w:rFonts w:ascii="新宋体" w:hAnsi="新宋体" w:eastAsia="新宋体"/>
          <w:b/>
          <w:szCs w:val="21"/>
        </w:rPr>
      </w:pPr>
      <w:r>
        <w:rPr>
          <w:rFonts w:hint="eastAsia" w:ascii="新宋体" w:hAnsi="新宋体" w:eastAsia="新宋体"/>
          <w:b/>
          <w:szCs w:val="21"/>
        </w:rPr>
        <w:t>采购人名称：                      联系人及电话：</w:t>
      </w:r>
    </w:p>
    <w:tbl>
      <w:tblPr>
        <w:tblStyle w:val="43"/>
        <w:tblW w:w="89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1140"/>
        <w:gridCol w:w="2100"/>
        <w:gridCol w:w="1980"/>
        <w:gridCol w:w="2135"/>
      </w:tblGrid>
      <w:tr w14:paraId="552453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702" w:type="dxa"/>
            <w:gridSpan w:val="3"/>
            <w:vAlign w:val="center"/>
          </w:tcPr>
          <w:p w14:paraId="0D647A24">
            <w:pPr>
              <w:spacing w:line="276" w:lineRule="auto"/>
              <w:jc w:val="center"/>
              <w:rPr>
                <w:rFonts w:ascii="新宋体" w:hAnsi="新宋体" w:eastAsia="新宋体"/>
                <w:szCs w:val="21"/>
              </w:rPr>
            </w:pPr>
            <w:r>
              <w:rPr>
                <w:rFonts w:hint="eastAsia" w:ascii="新宋体" w:hAnsi="新宋体" w:eastAsia="新宋体"/>
                <w:szCs w:val="21"/>
              </w:rPr>
              <w:t>采购项目名称</w:t>
            </w:r>
          </w:p>
        </w:tc>
        <w:tc>
          <w:tcPr>
            <w:tcW w:w="2100" w:type="dxa"/>
            <w:vAlign w:val="center"/>
          </w:tcPr>
          <w:p w14:paraId="112E8020">
            <w:pPr>
              <w:spacing w:line="276" w:lineRule="auto"/>
              <w:jc w:val="center"/>
              <w:rPr>
                <w:rFonts w:ascii="新宋体" w:hAnsi="新宋体" w:eastAsia="新宋体"/>
                <w:szCs w:val="21"/>
              </w:rPr>
            </w:pPr>
          </w:p>
        </w:tc>
        <w:tc>
          <w:tcPr>
            <w:tcW w:w="1980" w:type="dxa"/>
            <w:vAlign w:val="center"/>
          </w:tcPr>
          <w:p w14:paraId="3AB8B779">
            <w:pPr>
              <w:spacing w:line="276" w:lineRule="auto"/>
              <w:jc w:val="center"/>
              <w:rPr>
                <w:rFonts w:ascii="新宋体" w:hAnsi="新宋体" w:eastAsia="新宋体"/>
                <w:szCs w:val="21"/>
              </w:rPr>
            </w:pPr>
            <w:r>
              <w:rPr>
                <w:rFonts w:hint="eastAsia" w:ascii="新宋体" w:hAnsi="新宋体" w:eastAsia="新宋体"/>
                <w:szCs w:val="21"/>
              </w:rPr>
              <w:t>项目编号</w:t>
            </w:r>
          </w:p>
        </w:tc>
        <w:tc>
          <w:tcPr>
            <w:tcW w:w="2135" w:type="dxa"/>
            <w:vAlign w:val="center"/>
          </w:tcPr>
          <w:p w14:paraId="53ACB94C">
            <w:pPr>
              <w:spacing w:line="276" w:lineRule="auto"/>
              <w:jc w:val="center"/>
              <w:rPr>
                <w:rFonts w:ascii="新宋体" w:hAnsi="新宋体" w:eastAsia="新宋体"/>
                <w:szCs w:val="21"/>
              </w:rPr>
            </w:pPr>
          </w:p>
        </w:tc>
      </w:tr>
      <w:tr w14:paraId="13AFA4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702" w:type="dxa"/>
            <w:gridSpan w:val="3"/>
            <w:vAlign w:val="center"/>
          </w:tcPr>
          <w:p w14:paraId="217416B8">
            <w:pPr>
              <w:spacing w:line="276" w:lineRule="auto"/>
              <w:jc w:val="center"/>
              <w:rPr>
                <w:rFonts w:ascii="新宋体" w:hAnsi="新宋体" w:eastAsia="新宋体"/>
                <w:szCs w:val="21"/>
              </w:rPr>
            </w:pPr>
            <w:r>
              <w:rPr>
                <w:rFonts w:hint="eastAsia" w:ascii="新宋体" w:hAnsi="新宋体" w:eastAsia="新宋体"/>
                <w:szCs w:val="21"/>
              </w:rPr>
              <w:t>中标供应商名称</w:t>
            </w:r>
          </w:p>
        </w:tc>
        <w:tc>
          <w:tcPr>
            <w:tcW w:w="2100" w:type="dxa"/>
            <w:vAlign w:val="center"/>
          </w:tcPr>
          <w:p w14:paraId="2C1F9B66">
            <w:pPr>
              <w:spacing w:line="276" w:lineRule="auto"/>
              <w:jc w:val="center"/>
              <w:rPr>
                <w:rFonts w:ascii="新宋体" w:hAnsi="新宋体" w:eastAsia="新宋体"/>
                <w:szCs w:val="21"/>
              </w:rPr>
            </w:pPr>
          </w:p>
        </w:tc>
        <w:tc>
          <w:tcPr>
            <w:tcW w:w="1980" w:type="dxa"/>
            <w:vAlign w:val="center"/>
          </w:tcPr>
          <w:p w14:paraId="4EF6C045">
            <w:pPr>
              <w:spacing w:line="276" w:lineRule="auto"/>
              <w:jc w:val="center"/>
              <w:rPr>
                <w:rFonts w:ascii="新宋体" w:hAnsi="新宋体" w:eastAsia="新宋体"/>
                <w:szCs w:val="21"/>
              </w:rPr>
            </w:pPr>
            <w:r>
              <w:rPr>
                <w:rFonts w:hint="eastAsia" w:ascii="新宋体" w:hAnsi="新宋体" w:eastAsia="新宋体"/>
                <w:szCs w:val="21"/>
              </w:rPr>
              <w:t>供应商</w:t>
            </w:r>
          </w:p>
          <w:p w14:paraId="0DA0FC07">
            <w:pPr>
              <w:spacing w:line="276" w:lineRule="auto"/>
              <w:jc w:val="center"/>
              <w:rPr>
                <w:rFonts w:ascii="新宋体" w:hAnsi="新宋体" w:eastAsia="新宋体"/>
                <w:szCs w:val="21"/>
              </w:rPr>
            </w:pPr>
            <w:r>
              <w:rPr>
                <w:rFonts w:hint="eastAsia" w:ascii="新宋体" w:hAnsi="新宋体" w:eastAsia="新宋体"/>
                <w:szCs w:val="21"/>
              </w:rPr>
              <w:t>联系人及电话</w:t>
            </w:r>
          </w:p>
        </w:tc>
        <w:tc>
          <w:tcPr>
            <w:tcW w:w="2135" w:type="dxa"/>
            <w:vAlign w:val="center"/>
          </w:tcPr>
          <w:p w14:paraId="318CD805">
            <w:pPr>
              <w:spacing w:line="276" w:lineRule="auto"/>
              <w:jc w:val="center"/>
              <w:rPr>
                <w:rFonts w:ascii="新宋体" w:hAnsi="新宋体" w:eastAsia="新宋体"/>
                <w:szCs w:val="21"/>
              </w:rPr>
            </w:pPr>
          </w:p>
        </w:tc>
      </w:tr>
      <w:tr w14:paraId="17536B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702" w:type="dxa"/>
            <w:gridSpan w:val="3"/>
            <w:vAlign w:val="center"/>
          </w:tcPr>
          <w:p w14:paraId="1820B677">
            <w:pPr>
              <w:spacing w:line="276" w:lineRule="auto"/>
              <w:jc w:val="center"/>
              <w:rPr>
                <w:rFonts w:ascii="新宋体" w:hAnsi="新宋体" w:eastAsia="新宋体"/>
                <w:szCs w:val="21"/>
              </w:rPr>
            </w:pPr>
            <w:r>
              <w:rPr>
                <w:rFonts w:hint="eastAsia" w:ascii="新宋体" w:hAnsi="新宋体" w:eastAsia="新宋体"/>
                <w:szCs w:val="21"/>
              </w:rPr>
              <w:t>中标金额</w:t>
            </w:r>
          </w:p>
        </w:tc>
        <w:tc>
          <w:tcPr>
            <w:tcW w:w="2100" w:type="dxa"/>
            <w:vAlign w:val="center"/>
          </w:tcPr>
          <w:p w14:paraId="51F7A7A9">
            <w:pPr>
              <w:spacing w:line="276" w:lineRule="auto"/>
              <w:jc w:val="center"/>
              <w:rPr>
                <w:rFonts w:ascii="新宋体" w:hAnsi="新宋体" w:eastAsia="新宋体"/>
                <w:szCs w:val="21"/>
              </w:rPr>
            </w:pPr>
          </w:p>
        </w:tc>
        <w:tc>
          <w:tcPr>
            <w:tcW w:w="1980" w:type="dxa"/>
            <w:vAlign w:val="center"/>
          </w:tcPr>
          <w:p w14:paraId="0589D706">
            <w:pPr>
              <w:spacing w:line="276" w:lineRule="auto"/>
              <w:jc w:val="center"/>
              <w:rPr>
                <w:rFonts w:ascii="新宋体" w:hAnsi="新宋体" w:eastAsia="新宋体"/>
                <w:szCs w:val="21"/>
              </w:rPr>
            </w:pPr>
            <w:r>
              <w:rPr>
                <w:rFonts w:hint="eastAsia" w:ascii="新宋体" w:hAnsi="新宋体" w:eastAsia="新宋体"/>
                <w:szCs w:val="21"/>
              </w:rPr>
              <w:t>合同履约时间</w:t>
            </w:r>
          </w:p>
        </w:tc>
        <w:tc>
          <w:tcPr>
            <w:tcW w:w="2135" w:type="dxa"/>
            <w:vAlign w:val="center"/>
          </w:tcPr>
          <w:p w14:paraId="392CE8AA">
            <w:pPr>
              <w:spacing w:line="276" w:lineRule="auto"/>
              <w:rPr>
                <w:rFonts w:ascii="新宋体" w:hAnsi="新宋体" w:eastAsia="新宋体"/>
                <w:szCs w:val="21"/>
              </w:rPr>
            </w:pPr>
            <w:r>
              <w:rPr>
                <w:rFonts w:hint="eastAsia" w:ascii="新宋体" w:hAnsi="新宋体" w:eastAsia="新宋体"/>
                <w:szCs w:val="21"/>
              </w:rPr>
              <w:t>自       至</w:t>
            </w:r>
          </w:p>
        </w:tc>
      </w:tr>
      <w:tr w14:paraId="63D4F7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14:paraId="5AEE1D1F">
            <w:pPr>
              <w:spacing w:line="276" w:lineRule="auto"/>
              <w:jc w:val="center"/>
              <w:rPr>
                <w:rFonts w:ascii="新宋体" w:hAnsi="新宋体" w:eastAsia="新宋体"/>
                <w:b/>
                <w:szCs w:val="21"/>
              </w:rPr>
            </w:pPr>
            <w:r>
              <w:rPr>
                <w:rFonts w:hint="eastAsia" w:ascii="新宋体" w:hAnsi="新宋体" w:eastAsia="新宋体"/>
                <w:b/>
                <w:szCs w:val="21"/>
              </w:rPr>
              <w:t>履约情况评价</w:t>
            </w:r>
          </w:p>
        </w:tc>
        <w:tc>
          <w:tcPr>
            <w:tcW w:w="1860" w:type="dxa"/>
            <w:gridSpan w:val="2"/>
            <w:tcBorders>
              <w:right w:val="single" w:color="auto" w:sz="4" w:space="0"/>
            </w:tcBorders>
            <w:vAlign w:val="center"/>
          </w:tcPr>
          <w:p w14:paraId="1AEF5746">
            <w:pPr>
              <w:spacing w:line="276" w:lineRule="auto"/>
              <w:jc w:val="center"/>
              <w:rPr>
                <w:rFonts w:ascii="新宋体" w:hAnsi="新宋体" w:eastAsia="新宋体"/>
                <w:szCs w:val="21"/>
              </w:rPr>
            </w:pPr>
            <w:r>
              <w:rPr>
                <w:rFonts w:hint="eastAsia" w:ascii="新宋体" w:hAnsi="新宋体" w:eastAsia="新宋体"/>
                <w:szCs w:val="21"/>
              </w:rPr>
              <w:t>总体评价</w:t>
            </w:r>
          </w:p>
        </w:tc>
        <w:tc>
          <w:tcPr>
            <w:tcW w:w="6215" w:type="dxa"/>
            <w:gridSpan w:val="3"/>
            <w:tcBorders>
              <w:left w:val="single" w:color="auto" w:sz="4" w:space="0"/>
            </w:tcBorders>
            <w:vAlign w:val="center"/>
          </w:tcPr>
          <w:p w14:paraId="44FE6839">
            <w:pPr>
              <w:spacing w:line="276" w:lineRule="auto"/>
              <w:ind w:firstLine="105" w:firstLineChars="50"/>
              <w:jc w:val="center"/>
              <w:rPr>
                <w:rFonts w:ascii="新宋体" w:hAnsi="新宋体" w:eastAsia="新宋体"/>
                <w:szCs w:val="21"/>
              </w:rPr>
            </w:pPr>
            <w:r>
              <w:rPr>
                <w:rFonts w:hint="eastAsia" w:ascii="新宋体" w:hAnsi="新宋体" w:eastAsia="新宋体"/>
                <w:szCs w:val="21"/>
              </w:rPr>
              <w:t>□ 优          □ 良          □ 中           □ 差</w:t>
            </w:r>
          </w:p>
        </w:tc>
      </w:tr>
      <w:tr w14:paraId="28644C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10F38057">
            <w:pPr>
              <w:spacing w:line="276" w:lineRule="auto"/>
              <w:jc w:val="center"/>
              <w:rPr>
                <w:rFonts w:ascii="新宋体" w:hAnsi="新宋体" w:eastAsia="新宋体"/>
                <w:szCs w:val="21"/>
              </w:rPr>
            </w:pPr>
          </w:p>
        </w:tc>
        <w:tc>
          <w:tcPr>
            <w:tcW w:w="720" w:type="dxa"/>
            <w:vMerge w:val="restart"/>
            <w:tcBorders>
              <w:right w:val="single" w:color="auto" w:sz="4" w:space="0"/>
            </w:tcBorders>
            <w:vAlign w:val="center"/>
          </w:tcPr>
          <w:p w14:paraId="501C8A78">
            <w:pPr>
              <w:spacing w:line="276" w:lineRule="auto"/>
              <w:jc w:val="center"/>
              <w:rPr>
                <w:rFonts w:ascii="新宋体" w:hAnsi="新宋体" w:eastAsia="新宋体"/>
                <w:szCs w:val="21"/>
              </w:rPr>
            </w:pPr>
            <w:r>
              <w:rPr>
                <w:rFonts w:hint="eastAsia" w:ascii="新宋体" w:hAnsi="新宋体" w:eastAsia="新宋体"/>
                <w:szCs w:val="21"/>
              </w:rPr>
              <w:t>分项评价</w:t>
            </w:r>
          </w:p>
        </w:tc>
        <w:tc>
          <w:tcPr>
            <w:tcW w:w="1140" w:type="dxa"/>
            <w:tcBorders>
              <w:left w:val="single" w:color="auto" w:sz="4" w:space="0"/>
              <w:right w:val="single" w:color="auto" w:sz="4" w:space="0"/>
            </w:tcBorders>
            <w:vAlign w:val="center"/>
          </w:tcPr>
          <w:p w14:paraId="3FF9096D">
            <w:pPr>
              <w:spacing w:line="276" w:lineRule="auto"/>
              <w:jc w:val="center"/>
              <w:rPr>
                <w:rFonts w:ascii="新宋体" w:hAnsi="新宋体" w:eastAsia="新宋体"/>
                <w:szCs w:val="21"/>
              </w:rPr>
            </w:pPr>
            <w:r>
              <w:rPr>
                <w:rFonts w:hint="eastAsia" w:ascii="新宋体" w:hAnsi="新宋体" w:eastAsia="新宋体"/>
                <w:szCs w:val="21"/>
              </w:rPr>
              <w:t>质量方面</w:t>
            </w:r>
          </w:p>
        </w:tc>
        <w:tc>
          <w:tcPr>
            <w:tcW w:w="6215" w:type="dxa"/>
            <w:gridSpan w:val="3"/>
            <w:tcBorders>
              <w:left w:val="single" w:color="auto" w:sz="4" w:space="0"/>
            </w:tcBorders>
            <w:vAlign w:val="center"/>
          </w:tcPr>
          <w:p w14:paraId="471EB91D">
            <w:pPr>
              <w:spacing w:line="276" w:lineRule="auto"/>
              <w:jc w:val="center"/>
              <w:rPr>
                <w:rFonts w:ascii="新宋体" w:hAnsi="新宋体" w:eastAsia="新宋体"/>
                <w:szCs w:val="21"/>
              </w:rPr>
            </w:pPr>
            <w:r>
              <w:rPr>
                <w:rFonts w:hint="eastAsia" w:ascii="新宋体" w:hAnsi="新宋体" w:eastAsia="新宋体"/>
                <w:szCs w:val="21"/>
              </w:rPr>
              <w:t xml:space="preserve"> □ 优          □ 良          □ 中           □ 差</w:t>
            </w:r>
          </w:p>
        </w:tc>
      </w:tr>
      <w:tr w14:paraId="2DCC0F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3340E194">
            <w:pPr>
              <w:spacing w:line="276" w:lineRule="auto"/>
              <w:jc w:val="center"/>
              <w:rPr>
                <w:rFonts w:ascii="新宋体" w:hAnsi="新宋体" w:eastAsia="新宋体"/>
                <w:szCs w:val="21"/>
              </w:rPr>
            </w:pPr>
          </w:p>
        </w:tc>
        <w:tc>
          <w:tcPr>
            <w:tcW w:w="720" w:type="dxa"/>
            <w:vMerge w:val="continue"/>
            <w:tcBorders>
              <w:right w:val="single" w:color="auto" w:sz="4" w:space="0"/>
            </w:tcBorders>
            <w:vAlign w:val="center"/>
          </w:tcPr>
          <w:p w14:paraId="7E4B833D">
            <w:pPr>
              <w:spacing w:line="276" w:lineRule="auto"/>
              <w:jc w:val="center"/>
              <w:rPr>
                <w:rFonts w:ascii="新宋体" w:hAnsi="新宋体" w:eastAsia="新宋体"/>
                <w:szCs w:val="21"/>
              </w:rPr>
            </w:pPr>
          </w:p>
        </w:tc>
        <w:tc>
          <w:tcPr>
            <w:tcW w:w="1140" w:type="dxa"/>
            <w:tcBorders>
              <w:left w:val="single" w:color="auto" w:sz="4" w:space="0"/>
              <w:right w:val="single" w:color="auto" w:sz="4" w:space="0"/>
            </w:tcBorders>
            <w:vAlign w:val="center"/>
          </w:tcPr>
          <w:p w14:paraId="3C830E55">
            <w:pPr>
              <w:spacing w:line="276" w:lineRule="auto"/>
              <w:jc w:val="center"/>
              <w:rPr>
                <w:rFonts w:ascii="新宋体" w:hAnsi="新宋体" w:eastAsia="新宋体"/>
                <w:szCs w:val="21"/>
              </w:rPr>
            </w:pPr>
            <w:r>
              <w:rPr>
                <w:rFonts w:hint="eastAsia" w:ascii="新宋体" w:hAnsi="新宋体" w:eastAsia="新宋体"/>
                <w:szCs w:val="21"/>
              </w:rPr>
              <w:t>价格方面</w:t>
            </w:r>
          </w:p>
        </w:tc>
        <w:tc>
          <w:tcPr>
            <w:tcW w:w="6215" w:type="dxa"/>
            <w:gridSpan w:val="3"/>
            <w:tcBorders>
              <w:left w:val="single" w:color="auto" w:sz="4" w:space="0"/>
            </w:tcBorders>
            <w:vAlign w:val="center"/>
          </w:tcPr>
          <w:p w14:paraId="2BBCCFD8">
            <w:pPr>
              <w:spacing w:line="276" w:lineRule="auto"/>
              <w:jc w:val="center"/>
              <w:rPr>
                <w:rFonts w:ascii="新宋体" w:hAnsi="新宋体" w:eastAsia="新宋体"/>
                <w:szCs w:val="21"/>
              </w:rPr>
            </w:pPr>
            <w:r>
              <w:rPr>
                <w:rFonts w:hint="eastAsia" w:ascii="新宋体" w:hAnsi="新宋体" w:eastAsia="新宋体"/>
                <w:szCs w:val="21"/>
              </w:rPr>
              <w:t xml:space="preserve"> □ 优          □ 良          □ 中           □ 差</w:t>
            </w:r>
          </w:p>
        </w:tc>
      </w:tr>
      <w:tr w14:paraId="677881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5D852160">
            <w:pPr>
              <w:spacing w:line="276" w:lineRule="auto"/>
              <w:jc w:val="center"/>
              <w:rPr>
                <w:rFonts w:ascii="新宋体" w:hAnsi="新宋体" w:eastAsia="新宋体"/>
                <w:szCs w:val="21"/>
              </w:rPr>
            </w:pPr>
          </w:p>
        </w:tc>
        <w:tc>
          <w:tcPr>
            <w:tcW w:w="720" w:type="dxa"/>
            <w:vMerge w:val="continue"/>
            <w:tcBorders>
              <w:right w:val="single" w:color="auto" w:sz="4" w:space="0"/>
            </w:tcBorders>
            <w:vAlign w:val="center"/>
          </w:tcPr>
          <w:p w14:paraId="2E9672C5">
            <w:pPr>
              <w:spacing w:line="276" w:lineRule="auto"/>
              <w:jc w:val="center"/>
              <w:rPr>
                <w:rFonts w:ascii="新宋体" w:hAnsi="新宋体" w:eastAsia="新宋体"/>
                <w:szCs w:val="21"/>
              </w:rPr>
            </w:pPr>
          </w:p>
        </w:tc>
        <w:tc>
          <w:tcPr>
            <w:tcW w:w="1140" w:type="dxa"/>
            <w:tcBorders>
              <w:left w:val="single" w:color="auto" w:sz="4" w:space="0"/>
              <w:right w:val="single" w:color="auto" w:sz="4" w:space="0"/>
            </w:tcBorders>
            <w:vAlign w:val="center"/>
          </w:tcPr>
          <w:p w14:paraId="59222983">
            <w:pPr>
              <w:spacing w:line="276" w:lineRule="auto"/>
              <w:jc w:val="center"/>
              <w:rPr>
                <w:rFonts w:ascii="新宋体" w:hAnsi="新宋体" w:eastAsia="新宋体"/>
                <w:szCs w:val="21"/>
              </w:rPr>
            </w:pPr>
            <w:r>
              <w:rPr>
                <w:rFonts w:hint="eastAsia" w:ascii="新宋体" w:hAnsi="新宋体" w:eastAsia="新宋体"/>
                <w:szCs w:val="21"/>
              </w:rPr>
              <w:t>服务方面</w:t>
            </w:r>
          </w:p>
        </w:tc>
        <w:tc>
          <w:tcPr>
            <w:tcW w:w="6215" w:type="dxa"/>
            <w:gridSpan w:val="3"/>
            <w:tcBorders>
              <w:left w:val="single" w:color="auto" w:sz="4" w:space="0"/>
            </w:tcBorders>
            <w:vAlign w:val="center"/>
          </w:tcPr>
          <w:p w14:paraId="4110EE91">
            <w:pPr>
              <w:spacing w:line="276" w:lineRule="auto"/>
              <w:jc w:val="center"/>
              <w:rPr>
                <w:rFonts w:ascii="新宋体" w:hAnsi="新宋体" w:eastAsia="新宋体"/>
                <w:szCs w:val="21"/>
              </w:rPr>
            </w:pPr>
            <w:r>
              <w:rPr>
                <w:rFonts w:hint="eastAsia" w:ascii="新宋体" w:hAnsi="新宋体" w:eastAsia="新宋体"/>
                <w:szCs w:val="21"/>
              </w:rPr>
              <w:t xml:space="preserve"> □ 优          □ 良          □ 中           □ 差</w:t>
            </w:r>
          </w:p>
        </w:tc>
      </w:tr>
      <w:tr w14:paraId="2B471F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6CC90159">
            <w:pPr>
              <w:spacing w:line="276" w:lineRule="auto"/>
              <w:jc w:val="center"/>
              <w:rPr>
                <w:rFonts w:ascii="新宋体" w:hAnsi="新宋体" w:eastAsia="新宋体"/>
                <w:szCs w:val="21"/>
              </w:rPr>
            </w:pPr>
          </w:p>
        </w:tc>
        <w:tc>
          <w:tcPr>
            <w:tcW w:w="720" w:type="dxa"/>
            <w:vMerge w:val="continue"/>
            <w:tcBorders>
              <w:right w:val="single" w:color="auto" w:sz="4" w:space="0"/>
            </w:tcBorders>
            <w:vAlign w:val="center"/>
          </w:tcPr>
          <w:p w14:paraId="08CF22AB">
            <w:pPr>
              <w:spacing w:line="276" w:lineRule="auto"/>
              <w:jc w:val="center"/>
              <w:rPr>
                <w:rFonts w:ascii="新宋体" w:hAnsi="新宋体" w:eastAsia="新宋体"/>
                <w:szCs w:val="21"/>
              </w:rPr>
            </w:pPr>
          </w:p>
        </w:tc>
        <w:tc>
          <w:tcPr>
            <w:tcW w:w="1140" w:type="dxa"/>
            <w:tcBorders>
              <w:left w:val="single" w:color="auto" w:sz="4" w:space="0"/>
              <w:right w:val="single" w:color="auto" w:sz="4" w:space="0"/>
            </w:tcBorders>
            <w:vAlign w:val="center"/>
          </w:tcPr>
          <w:p w14:paraId="26A61278">
            <w:pPr>
              <w:spacing w:line="276" w:lineRule="auto"/>
              <w:jc w:val="center"/>
              <w:rPr>
                <w:rFonts w:ascii="新宋体" w:hAnsi="新宋体" w:eastAsia="新宋体"/>
                <w:szCs w:val="21"/>
              </w:rPr>
            </w:pPr>
            <w:r>
              <w:rPr>
                <w:rFonts w:hint="eastAsia" w:ascii="新宋体" w:hAnsi="新宋体" w:eastAsia="新宋体"/>
                <w:szCs w:val="21"/>
              </w:rPr>
              <w:t>时间方面</w:t>
            </w:r>
          </w:p>
        </w:tc>
        <w:tc>
          <w:tcPr>
            <w:tcW w:w="6215" w:type="dxa"/>
            <w:gridSpan w:val="3"/>
            <w:tcBorders>
              <w:left w:val="single" w:color="auto" w:sz="4" w:space="0"/>
            </w:tcBorders>
            <w:vAlign w:val="center"/>
          </w:tcPr>
          <w:p w14:paraId="0366D831">
            <w:pPr>
              <w:spacing w:line="276" w:lineRule="auto"/>
              <w:jc w:val="center"/>
              <w:rPr>
                <w:rFonts w:ascii="新宋体" w:hAnsi="新宋体" w:eastAsia="新宋体"/>
                <w:szCs w:val="21"/>
              </w:rPr>
            </w:pPr>
            <w:r>
              <w:rPr>
                <w:rFonts w:hint="eastAsia" w:ascii="新宋体" w:hAnsi="新宋体" w:eastAsia="新宋体"/>
                <w:szCs w:val="21"/>
              </w:rPr>
              <w:t xml:space="preserve"> □ 优          □ 良          □ 中           □ 差</w:t>
            </w:r>
          </w:p>
        </w:tc>
      </w:tr>
      <w:tr w14:paraId="4AB730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47F7CFCF">
            <w:pPr>
              <w:spacing w:line="276" w:lineRule="auto"/>
              <w:jc w:val="center"/>
              <w:rPr>
                <w:rFonts w:ascii="新宋体" w:hAnsi="新宋体" w:eastAsia="新宋体"/>
                <w:szCs w:val="21"/>
              </w:rPr>
            </w:pPr>
          </w:p>
        </w:tc>
        <w:tc>
          <w:tcPr>
            <w:tcW w:w="720" w:type="dxa"/>
            <w:vMerge w:val="continue"/>
            <w:tcBorders>
              <w:right w:val="single" w:color="auto" w:sz="4" w:space="0"/>
            </w:tcBorders>
            <w:vAlign w:val="center"/>
          </w:tcPr>
          <w:p w14:paraId="2C92EC08">
            <w:pPr>
              <w:spacing w:line="276" w:lineRule="auto"/>
              <w:jc w:val="center"/>
              <w:rPr>
                <w:rFonts w:ascii="新宋体" w:hAnsi="新宋体" w:eastAsia="新宋体"/>
                <w:szCs w:val="21"/>
              </w:rPr>
            </w:pPr>
          </w:p>
        </w:tc>
        <w:tc>
          <w:tcPr>
            <w:tcW w:w="1140" w:type="dxa"/>
            <w:tcBorders>
              <w:left w:val="single" w:color="auto" w:sz="4" w:space="0"/>
              <w:right w:val="single" w:color="auto" w:sz="4" w:space="0"/>
            </w:tcBorders>
            <w:vAlign w:val="center"/>
          </w:tcPr>
          <w:p w14:paraId="11A1334E">
            <w:pPr>
              <w:spacing w:line="276" w:lineRule="auto"/>
              <w:jc w:val="center"/>
              <w:rPr>
                <w:rFonts w:ascii="新宋体" w:hAnsi="新宋体" w:eastAsia="新宋体"/>
                <w:szCs w:val="21"/>
              </w:rPr>
            </w:pPr>
            <w:r>
              <w:rPr>
                <w:rFonts w:hint="eastAsia" w:ascii="新宋体" w:hAnsi="新宋体" w:eastAsia="新宋体"/>
                <w:szCs w:val="21"/>
              </w:rPr>
              <w:t>环境保护</w:t>
            </w:r>
          </w:p>
        </w:tc>
        <w:tc>
          <w:tcPr>
            <w:tcW w:w="6215" w:type="dxa"/>
            <w:gridSpan w:val="3"/>
            <w:tcBorders>
              <w:left w:val="single" w:color="auto" w:sz="4" w:space="0"/>
            </w:tcBorders>
            <w:vAlign w:val="center"/>
          </w:tcPr>
          <w:p w14:paraId="5B6C5E98">
            <w:pPr>
              <w:spacing w:line="276" w:lineRule="auto"/>
              <w:jc w:val="center"/>
              <w:rPr>
                <w:rFonts w:ascii="新宋体" w:hAnsi="新宋体" w:eastAsia="新宋体"/>
                <w:szCs w:val="21"/>
              </w:rPr>
            </w:pPr>
            <w:r>
              <w:rPr>
                <w:rFonts w:hint="eastAsia" w:ascii="新宋体" w:hAnsi="新宋体" w:eastAsia="新宋体"/>
                <w:szCs w:val="21"/>
              </w:rPr>
              <w:t xml:space="preserve"> □ 优          □ 良          □ 中           □ 差</w:t>
            </w:r>
          </w:p>
        </w:tc>
      </w:tr>
      <w:tr w14:paraId="183371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6DCE8080">
            <w:pPr>
              <w:spacing w:line="276" w:lineRule="auto"/>
              <w:jc w:val="center"/>
              <w:rPr>
                <w:rFonts w:ascii="新宋体" w:hAnsi="新宋体" w:eastAsia="新宋体"/>
                <w:szCs w:val="21"/>
              </w:rPr>
            </w:pPr>
          </w:p>
        </w:tc>
        <w:tc>
          <w:tcPr>
            <w:tcW w:w="720" w:type="dxa"/>
            <w:vMerge w:val="continue"/>
            <w:tcBorders>
              <w:right w:val="single" w:color="auto" w:sz="4" w:space="0"/>
            </w:tcBorders>
            <w:vAlign w:val="center"/>
          </w:tcPr>
          <w:p w14:paraId="530A21DB">
            <w:pPr>
              <w:spacing w:line="276" w:lineRule="auto"/>
              <w:jc w:val="center"/>
              <w:rPr>
                <w:rFonts w:ascii="新宋体" w:hAnsi="新宋体" w:eastAsia="新宋体"/>
                <w:szCs w:val="21"/>
              </w:rPr>
            </w:pPr>
          </w:p>
        </w:tc>
        <w:tc>
          <w:tcPr>
            <w:tcW w:w="1140" w:type="dxa"/>
            <w:tcBorders>
              <w:left w:val="single" w:color="auto" w:sz="4" w:space="0"/>
              <w:right w:val="single" w:color="auto" w:sz="4" w:space="0"/>
            </w:tcBorders>
            <w:vAlign w:val="center"/>
          </w:tcPr>
          <w:p w14:paraId="26FC7405">
            <w:pPr>
              <w:spacing w:line="276" w:lineRule="auto"/>
              <w:jc w:val="center"/>
              <w:rPr>
                <w:rFonts w:ascii="新宋体" w:hAnsi="新宋体" w:eastAsia="新宋体"/>
                <w:szCs w:val="21"/>
              </w:rPr>
            </w:pPr>
            <w:r>
              <w:rPr>
                <w:rFonts w:hint="eastAsia" w:ascii="新宋体" w:hAnsi="新宋体" w:eastAsia="新宋体"/>
                <w:szCs w:val="21"/>
              </w:rPr>
              <w:t>其他</w:t>
            </w:r>
          </w:p>
        </w:tc>
        <w:tc>
          <w:tcPr>
            <w:tcW w:w="6215" w:type="dxa"/>
            <w:gridSpan w:val="3"/>
            <w:tcBorders>
              <w:left w:val="single" w:color="auto" w:sz="4" w:space="0"/>
            </w:tcBorders>
            <w:vAlign w:val="center"/>
          </w:tcPr>
          <w:p w14:paraId="7D6E6939">
            <w:pPr>
              <w:spacing w:before="120" w:beforeLines="50" w:after="120" w:afterLines="50" w:line="276" w:lineRule="auto"/>
              <w:rPr>
                <w:rFonts w:ascii="新宋体" w:hAnsi="新宋体" w:eastAsia="新宋体"/>
                <w:szCs w:val="21"/>
                <w:u w:val="single"/>
              </w:rPr>
            </w:pPr>
            <w:r>
              <w:rPr>
                <w:rFonts w:hint="eastAsia" w:ascii="新宋体" w:hAnsi="新宋体" w:eastAsia="新宋体"/>
                <w:szCs w:val="21"/>
              </w:rPr>
              <w:t>评价内容为：</w:t>
            </w:r>
          </w:p>
          <w:p w14:paraId="6D34B36A">
            <w:pPr>
              <w:spacing w:before="120" w:beforeLines="50" w:after="120" w:afterLines="50" w:line="276" w:lineRule="auto"/>
              <w:rPr>
                <w:rFonts w:ascii="新宋体" w:hAnsi="新宋体" w:eastAsia="新宋体"/>
                <w:szCs w:val="21"/>
              </w:rPr>
            </w:pPr>
            <w:r>
              <w:rPr>
                <w:rFonts w:hint="eastAsia" w:ascii="新宋体" w:hAnsi="新宋体" w:eastAsia="新宋体"/>
                <w:szCs w:val="21"/>
              </w:rPr>
              <w:t>评价等级为：  □ 优       □ 良        □ 中         □ 差</w:t>
            </w:r>
          </w:p>
        </w:tc>
      </w:tr>
      <w:tr w14:paraId="43B0B1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61" w:hRule="atLeast"/>
          <w:jc w:val="center"/>
        </w:trPr>
        <w:tc>
          <w:tcPr>
            <w:tcW w:w="1562" w:type="dxa"/>
            <w:gridSpan w:val="2"/>
            <w:vAlign w:val="center"/>
          </w:tcPr>
          <w:p w14:paraId="63F9004B">
            <w:pPr>
              <w:spacing w:line="276" w:lineRule="auto"/>
              <w:jc w:val="center"/>
              <w:rPr>
                <w:rFonts w:ascii="新宋体" w:hAnsi="新宋体" w:eastAsia="新宋体"/>
                <w:szCs w:val="21"/>
              </w:rPr>
            </w:pPr>
            <w:r>
              <w:rPr>
                <w:rFonts w:hint="eastAsia" w:ascii="新宋体" w:hAnsi="新宋体" w:eastAsia="新宋体"/>
                <w:szCs w:val="21"/>
              </w:rPr>
              <w:t>具体情况说明</w:t>
            </w:r>
          </w:p>
        </w:tc>
        <w:tc>
          <w:tcPr>
            <w:tcW w:w="7355" w:type="dxa"/>
            <w:gridSpan w:val="4"/>
          </w:tcPr>
          <w:p w14:paraId="39D1BC35">
            <w:pPr>
              <w:spacing w:line="276" w:lineRule="auto"/>
              <w:rPr>
                <w:rFonts w:ascii="新宋体" w:hAnsi="新宋体" w:eastAsia="新宋体"/>
                <w:szCs w:val="21"/>
              </w:rPr>
            </w:pPr>
          </w:p>
          <w:p w14:paraId="7C3B6D1D">
            <w:pPr>
              <w:spacing w:line="276" w:lineRule="auto"/>
              <w:rPr>
                <w:rFonts w:ascii="新宋体" w:hAnsi="新宋体" w:eastAsia="新宋体"/>
                <w:szCs w:val="21"/>
              </w:rPr>
            </w:pPr>
          </w:p>
          <w:p w14:paraId="213A2EB1">
            <w:pPr>
              <w:spacing w:line="276" w:lineRule="auto"/>
              <w:rPr>
                <w:rFonts w:ascii="新宋体" w:hAnsi="新宋体" w:eastAsia="新宋体"/>
                <w:szCs w:val="21"/>
              </w:rPr>
            </w:pPr>
          </w:p>
          <w:p w14:paraId="6A244CBD">
            <w:pPr>
              <w:spacing w:line="276" w:lineRule="auto"/>
              <w:rPr>
                <w:rFonts w:ascii="新宋体" w:hAnsi="新宋体" w:eastAsia="新宋体"/>
                <w:szCs w:val="21"/>
              </w:rPr>
            </w:pPr>
          </w:p>
          <w:p w14:paraId="29D40B76">
            <w:pPr>
              <w:spacing w:line="276" w:lineRule="auto"/>
              <w:rPr>
                <w:rFonts w:ascii="新宋体" w:hAnsi="新宋体" w:eastAsia="新宋体"/>
                <w:szCs w:val="21"/>
              </w:rPr>
            </w:pPr>
          </w:p>
          <w:p w14:paraId="721506F9">
            <w:pPr>
              <w:spacing w:line="276" w:lineRule="auto"/>
              <w:rPr>
                <w:rFonts w:ascii="新宋体" w:hAnsi="新宋体" w:eastAsia="新宋体"/>
                <w:szCs w:val="21"/>
              </w:rPr>
            </w:pPr>
          </w:p>
        </w:tc>
      </w:tr>
      <w:tr w14:paraId="0541F4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10" w:hRule="atLeast"/>
          <w:jc w:val="center"/>
        </w:trPr>
        <w:tc>
          <w:tcPr>
            <w:tcW w:w="1562" w:type="dxa"/>
            <w:gridSpan w:val="2"/>
            <w:vAlign w:val="center"/>
          </w:tcPr>
          <w:p w14:paraId="1FF52F26">
            <w:pPr>
              <w:spacing w:line="276" w:lineRule="auto"/>
              <w:jc w:val="center"/>
              <w:rPr>
                <w:rFonts w:ascii="新宋体" w:hAnsi="新宋体" w:eastAsia="新宋体"/>
                <w:szCs w:val="21"/>
              </w:rPr>
            </w:pPr>
            <w:r>
              <w:rPr>
                <w:rFonts w:hint="eastAsia" w:ascii="新宋体" w:hAnsi="新宋体" w:eastAsia="新宋体"/>
                <w:szCs w:val="21"/>
              </w:rPr>
              <w:t>采购人意见</w:t>
            </w:r>
          </w:p>
          <w:p w14:paraId="60FD41ED">
            <w:pPr>
              <w:spacing w:line="276" w:lineRule="auto"/>
              <w:jc w:val="center"/>
              <w:rPr>
                <w:rFonts w:ascii="新宋体" w:hAnsi="新宋体" w:eastAsia="新宋体"/>
                <w:szCs w:val="21"/>
              </w:rPr>
            </w:pPr>
            <w:r>
              <w:rPr>
                <w:rFonts w:hint="eastAsia" w:ascii="新宋体" w:hAnsi="新宋体" w:eastAsia="新宋体"/>
                <w:szCs w:val="21"/>
              </w:rPr>
              <w:t>（公章）</w:t>
            </w:r>
          </w:p>
        </w:tc>
        <w:tc>
          <w:tcPr>
            <w:tcW w:w="7355" w:type="dxa"/>
            <w:gridSpan w:val="4"/>
            <w:vAlign w:val="center"/>
          </w:tcPr>
          <w:p w14:paraId="1A267395">
            <w:pPr>
              <w:spacing w:line="276" w:lineRule="auto"/>
              <w:rPr>
                <w:rFonts w:ascii="新宋体" w:hAnsi="新宋体" w:eastAsia="新宋体"/>
                <w:szCs w:val="21"/>
              </w:rPr>
            </w:pPr>
          </w:p>
          <w:p w14:paraId="533D7251">
            <w:pPr>
              <w:spacing w:line="276" w:lineRule="auto"/>
              <w:rPr>
                <w:rFonts w:ascii="新宋体" w:hAnsi="新宋体" w:eastAsia="新宋体"/>
                <w:szCs w:val="21"/>
              </w:rPr>
            </w:pPr>
          </w:p>
          <w:p w14:paraId="10801C4A">
            <w:pPr>
              <w:spacing w:line="276" w:lineRule="auto"/>
              <w:rPr>
                <w:rFonts w:ascii="新宋体" w:hAnsi="新宋体" w:eastAsia="新宋体"/>
                <w:szCs w:val="21"/>
              </w:rPr>
            </w:pPr>
          </w:p>
          <w:p w14:paraId="0A372C3E">
            <w:pPr>
              <w:spacing w:line="276" w:lineRule="auto"/>
              <w:ind w:firstLine="3780" w:firstLineChars="1800"/>
              <w:rPr>
                <w:rFonts w:ascii="新宋体" w:hAnsi="新宋体" w:eastAsia="新宋体"/>
                <w:szCs w:val="21"/>
              </w:rPr>
            </w:pPr>
          </w:p>
          <w:p w14:paraId="4588CBD1">
            <w:pPr>
              <w:spacing w:line="276" w:lineRule="auto"/>
              <w:ind w:firstLine="3780" w:firstLineChars="1800"/>
              <w:rPr>
                <w:rFonts w:ascii="新宋体" w:hAnsi="新宋体" w:eastAsia="新宋体"/>
                <w:szCs w:val="21"/>
              </w:rPr>
            </w:pPr>
            <w:r>
              <w:rPr>
                <w:rFonts w:hint="eastAsia" w:ascii="新宋体" w:hAnsi="新宋体" w:eastAsia="新宋体"/>
                <w:szCs w:val="21"/>
              </w:rPr>
              <w:t>日期：   年   月   日</w:t>
            </w:r>
          </w:p>
        </w:tc>
      </w:tr>
    </w:tbl>
    <w:p w14:paraId="75BF6EF6">
      <w:pPr>
        <w:spacing w:line="276" w:lineRule="auto"/>
        <w:rPr>
          <w:rFonts w:ascii="新宋体" w:hAnsi="新宋体" w:eastAsia="新宋体"/>
          <w:szCs w:val="21"/>
        </w:rPr>
      </w:pPr>
      <w:r>
        <w:rPr>
          <w:rFonts w:hint="eastAsia" w:ascii="新宋体" w:hAnsi="新宋体" w:eastAsia="新宋体"/>
          <w:szCs w:val="21"/>
        </w:rPr>
        <w:t>说明：</w:t>
      </w:r>
    </w:p>
    <w:p w14:paraId="0C3FA7BA">
      <w:pPr>
        <w:spacing w:line="276" w:lineRule="auto"/>
        <w:rPr>
          <w:rFonts w:ascii="新宋体" w:hAnsi="新宋体" w:eastAsia="新宋体"/>
          <w:szCs w:val="21"/>
        </w:rPr>
      </w:pPr>
      <w:r>
        <w:rPr>
          <w:rFonts w:hint="eastAsia" w:ascii="新宋体" w:hAnsi="新宋体" w:eastAsia="新宋体"/>
          <w:szCs w:val="21"/>
        </w:rPr>
        <w:t>1、本表为采购人向深圳代理机构反映政府采购项目履约情况时所用；</w:t>
      </w:r>
    </w:p>
    <w:p w14:paraId="4332376C">
      <w:pPr>
        <w:spacing w:line="276" w:lineRule="auto"/>
        <w:rPr>
          <w:rFonts w:ascii="新宋体" w:hAnsi="新宋体" w:eastAsia="新宋体"/>
          <w:szCs w:val="21"/>
        </w:rPr>
      </w:pPr>
      <w:r>
        <w:rPr>
          <w:rFonts w:hint="eastAsia" w:ascii="新宋体" w:hAnsi="新宋体" w:eastAsia="新宋体"/>
          <w:szCs w:val="21"/>
        </w:rPr>
        <w:t>2、履约情况评价分为优、良、中、差四个等级，请在对应的框前打“√”，然后在“具体情况说明”一栏详细说明有关情况。</w:t>
      </w:r>
    </w:p>
    <w:p w14:paraId="55855DC6">
      <w:pPr>
        <w:rPr>
          <w:rFonts w:ascii="宋体" w:hAnsi="宋体"/>
          <w:szCs w:val="21"/>
        </w:rPr>
      </w:pPr>
    </w:p>
    <w:p w14:paraId="229DDA0E">
      <w:pPr>
        <w:rPr>
          <w:rFonts w:ascii="宋体" w:hAnsi="宋体"/>
          <w:szCs w:val="21"/>
        </w:rPr>
      </w:pPr>
    </w:p>
    <w:p w14:paraId="0660B5C8">
      <w:pPr>
        <w:pStyle w:val="3"/>
        <w:rPr>
          <w:rFonts w:ascii="新宋体" w:hAnsi="新宋体" w:eastAsia="新宋体"/>
          <w:sz w:val="30"/>
          <w:szCs w:val="30"/>
        </w:rPr>
      </w:pPr>
      <w:r>
        <w:rPr>
          <w:rFonts w:hint="eastAsia" w:ascii="新宋体" w:hAnsi="新宋体" w:eastAsia="新宋体"/>
          <w:sz w:val="30"/>
          <w:szCs w:val="30"/>
        </w:rPr>
        <w:t>第二册  通用条款（公开招标）</w:t>
      </w:r>
    </w:p>
    <w:p w14:paraId="3CC5A2AD">
      <w:pPr>
        <w:pStyle w:val="6"/>
        <w:rPr>
          <w:rFonts w:ascii="新宋体" w:hAnsi="新宋体" w:eastAsia="新宋体"/>
          <w:kern w:val="44"/>
          <w:sz w:val="30"/>
          <w:szCs w:val="30"/>
        </w:rPr>
      </w:pPr>
      <w:r>
        <w:rPr>
          <w:rFonts w:hint="eastAsia" w:ascii="新宋体" w:hAnsi="新宋体" w:eastAsia="新宋体"/>
          <w:kern w:val="44"/>
          <w:sz w:val="30"/>
          <w:szCs w:val="30"/>
        </w:rPr>
        <w:t>第一章   总则</w:t>
      </w:r>
    </w:p>
    <w:p w14:paraId="57E40958">
      <w:pPr>
        <w:spacing w:line="360" w:lineRule="auto"/>
        <w:rPr>
          <w:rFonts w:ascii="新宋体" w:hAnsi="新宋体" w:eastAsia="新宋体"/>
          <w:szCs w:val="21"/>
        </w:rPr>
      </w:pPr>
      <w:r>
        <w:rPr>
          <w:rFonts w:hint="eastAsia" w:ascii="新宋体" w:hAnsi="新宋体" w:eastAsia="新宋体"/>
          <w:szCs w:val="21"/>
        </w:rPr>
        <w:t>1. 通用条款说明</w:t>
      </w:r>
    </w:p>
    <w:p w14:paraId="66DBE6DC">
      <w:pPr>
        <w:spacing w:line="360" w:lineRule="auto"/>
        <w:rPr>
          <w:rFonts w:ascii="新宋体" w:hAnsi="新宋体" w:eastAsia="新宋体"/>
          <w:szCs w:val="21"/>
        </w:rPr>
      </w:pPr>
      <w:r>
        <w:rPr>
          <w:rFonts w:hint="eastAsia" w:ascii="新宋体" w:hAnsi="新宋体" w:eastAsia="新宋体"/>
          <w:szCs w:val="21"/>
        </w:rPr>
        <w:t>1.1招标代理机构发出招标文件通用条款版本，列出深圳市政府采购项目进行招标采购所适用的通用条款内容。如有需要，招标代理机构可以对通用条款增加附录或补充内容。</w:t>
      </w:r>
    </w:p>
    <w:p w14:paraId="45BB262C">
      <w:pPr>
        <w:spacing w:line="360" w:lineRule="auto"/>
        <w:rPr>
          <w:rFonts w:ascii="新宋体" w:hAnsi="新宋体" w:eastAsia="新宋体"/>
          <w:szCs w:val="21"/>
        </w:rPr>
      </w:pPr>
      <w:r>
        <w:rPr>
          <w:rFonts w:hint="eastAsia" w:ascii="新宋体" w:hAnsi="新宋体" w:eastAsia="新宋体"/>
          <w:szCs w:val="21"/>
        </w:rPr>
        <w:t>1.2招标文件分为第一册“专用条款”和第二册“通用条款”。</w:t>
      </w:r>
    </w:p>
    <w:p w14:paraId="57A7B1A1">
      <w:pPr>
        <w:spacing w:line="360" w:lineRule="auto"/>
        <w:rPr>
          <w:rFonts w:ascii="新宋体" w:hAnsi="新宋体" w:eastAsia="新宋体"/>
          <w:szCs w:val="21"/>
        </w:rPr>
      </w:pPr>
      <w:r>
        <w:rPr>
          <w:rFonts w:hint="eastAsia" w:ascii="新宋体" w:hAnsi="新宋体" w:eastAsia="新宋体"/>
          <w:szCs w:val="21"/>
        </w:rPr>
        <w:t>1.3“专用条款”是对本次采购项目的具体要求，包含投标人资格要求、招标项目需求、投标文件格式、附件等内容。</w:t>
      </w:r>
    </w:p>
    <w:p w14:paraId="1D76B725">
      <w:pPr>
        <w:spacing w:line="360" w:lineRule="auto"/>
        <w:rPr>
          <w:rFonts w:ascii="新宋体" w:hAnsi="新宋体" w:eastAsia="新宋体"/>
          <w:szCs w:val="21"/>
        </w:rPr>
      </w:pPr>
      <w:r>
        <w:rPr>
          <w:rFonts w:hint="eastAsia" w:ascii="新宋体" w:hAnsi="新宋体" w:eastAsia="新宋体"/>
          <w:szCs w:val="21"/>
        </w:rPr>
        <w:t>1.4“通用条款”是适用于政府采购项目的基础性条款，具有普遍性和通用性。</w:t>
      </w:r>
    </w:p>
    <w:p w14:paraId="46957BE6">
      <w:pPr>
        <w:spacing w:line="360" w:lineRule="auto"/>
        <w:rPr>
          <w:rFonts w:ascii="新宋体" w:hAnsi="新宋体" w:eastAsia="新宋体"/>
          <w:szCs w:val="21"/>
        </w:rPr>
      </w:pPr>
      <w:r>
        <w:rPr>
          <w:rFonts w:hint="eastAsia" w:ascii="新宋体" w:hAnsi="新宋体" w:eastAsia="新宋体"/>
          <w:szCs w:val="21"/>
        </w:rPr>
        <w:t>1.5 “专用条款”和“通用条款”表述不一致或有冲突时，以“专用条款”为准。</w:t>
      </w:r>
    </w:p>
    <w:p w14:paraId="4E9B01F6">
      <w:pPr>
        <w:spacing w:line="360" w:lineRule="auto"/>
        <w:rPr>
          <w:rFonts w:ascii="新宋体" w:hAnsi="新宋体" w:eastAsia="新宋体"/>
          <w:szCs w:val="21"/>
        </w:rPr>
      </w:pPr>
      <w:r>
        <w:rPr>
          <w:rFonts w:hint="eastAsia" w:ascii="新宋体" w:hAnsi="新宋体" w:eastAsia="新宋体"/>
          <w:szCs w:val="21"/>
        </w:rPr>
        <w:t>2</w:t>
      </w:r>
      <w:r>
        <w:rPr>
          <w:rFonts w:ascii="新宋体" w:hAnsi="新宋体" w:eastAsia="新宋体"/>
          <w:szCs w:val="21"/>
        </w:rPr>
        <w:t>．</w:t>
      </w:r>
      <w:r>
        <w:rPr>
          <w:rFonts w:hint="eastAsia" w:ascii="新宋体" w:hAnsi="新宋体" w:eastAsia="新宋体"/>
          <w:szCs w:val="21"/>
        </w:rPr>
        <w:t>招标说明</w:t>
      </w:r>
    </w:p>
    <w:p w14:paraId="4E04C75E">
      <w:pPr>
        <w:spacing w:line="360" w:lineRule="auto"/>
        <w:rPr>
          <w:rFonts w:ascii="新宋体" w:hAnsi="新宋体" w:eastAsia="新宋体"/>
          <w:szCs w:val="21"/>
        </w:rPr>
      </w:pPr>
      <w:r>
        <w:rPr>
          <w:rFonts w:hint="eastAsia" w:ascii="新宋体" w:hAnsi="新宋体" w:eastAsia="新宋体"/>
          <w:color w:val="FF0000"/>
          <w:szCs w:val="21"/>
        </w:rPr>
        <w:t>本项目按照《深圳经济特区政府采购条例》、《深圳经济特区政府采购条例实施细则》</w:t>
      </w:r>
      <w:r>
        <w:rPr>
          <w:rFonts w:hint="eastAsia" w:ascii="新宋体" w:hAnsi="新宋体" w:eastAsia="新宋体"/>
          <w:szCs w:val="21"/>
        </w:rPr>
        <w:t>等规定，并参考有关法规，通过招标方式确定中标供应商。</w:t>
      </w:r>
    </w:p>
    <w:p w14:paraId="78B1DC87">
      <w:pPr>
        <w:spacing w:line="360" w:lineRule="auto"/>
        <w:rPr>
          <w:rFonts w:ascii="新宋体" w:hAnsi="新宋体" w:eastAsia="新宋体"/>
          <w:szCs w:val="21"/>
        </w:rPr>
      </w:pPr>
      <w:r>
        <w:rPr>
          <w:rFonts w:hint="eastAsia" w:ascii="新宋体" w:hAnsi="新宋体" w:eastAsia="新宋体"/>
          <w:szCs w:val="21"/>
        </w:rPr>
        <w:t>3．定义</w:t>
      </w:r>
    </w:p>
    <w:p w14:paraId="62192661">
      <w:pPr>
        <w:spacing w:line="360" w:lineRule="auto"/>
        <w:rPr>
          <w:rFonts w:ascii="新宋体" w:hAnsi="新宋体" w:eastAsia="新宋体"/>
          <w:szCs w:val="21"/>
        </w:rPr>
      </w:pPr>
      <w:r>
        <w:rPr>
          <w:rFonts w:ascii="新宋体" w:hAnsi="新宋体" w:eastAsia="新宋体"/>
          <w:szCs w:val="21"/>
        </w:rPr>
        <w:t>招标文件中下列术语应解释为：</w:t>
      </w:r>
    </w:p>
    <w:p w14:paraId="47A18782">
      <w:pPr>
        <w:spacing w:line="360" w:lineRule="auto"/>
        <w:rPr>
          <w:rFonts w:ascii="新宋体" w:hAnsi="新宋体" w:eastAsia="新宋体"/>
          <w:szCs w:val="21"/>
        </w:rPr>
      </w:pPr>
      <w:r>
        <w:rPr>
          <w:rFonts w:hint="eastAsia" w:ascii="新宋体" w:hAnsi="新宋体" w:eastAsia="新宋体"/>
          <w:szCs w:val="21"/>
        </w:rPr>
        <w:t>3.</w:t>
      </w:r>
      <w:r>
        <w:rPr>
          <w:rFonts w:ascii="新宋体" w:hAnsi="新宋体" w:eastAsia="新宋体"/>
          <w:szCs w:val="21"/>
        </w:rPr>
        <w:t>1</w:t>
      </w:r>
      <w:r>
        <w:rPr>
          <w:rFonts w:hint="eastAsia" w:ascii="新宋体" w:hAnsi="新宋体" w:eastAsia="新宋体"/>
          <w:szCs w:val="21"/>
        </w:rPr>
        <w:t>“招标代理机构”是指已获得深圳市财政局的批复，已成为深圳市政府招标代理采购机构的，并对政府采购活动提供服务的专门机构；本文件所述的“招标代理机构”</w:t>
      </w:r>
      <w:r>
        <w:rPr>
          <w:rFonts w:ascii="新宋体" w:hAnsi="新宋体" w:eastAsia="新宋体"/>
          <w:szCs w:val="21"/>
        </w:rPr>
        <w:t>指</w:t>
      </w:r>
      <w:r>
        <w:rPr>
          <w:rFonts w:hint="eastAsia" w:ascii="新宋体" w:hAnsi="新宋体" w:eastAsia="新宋体"/>
          <w:color w:val="FF0000"/>
          <w:szCs w:val="21"/>
        </w:rPr>
        <w:t>深圳市瑞凝信招标咨询有限公司；</w:t>
      </w:r>
    </w:p>
    <w:p w14:paraId="2952595A">
      <w:pPr>
        <w:spacing w:line="360" w:lineRule="auto"/>
        <w:rPr>
          <w:rFonts w:ascii="新宋体" w:hAnsi="新宋体" w:eastAsia="新宋体"/>
          <w:szCs w:val="21"/>
        </w:rPr>
      </w:pPr>
      <w:r>
        <w:rPr>
          <w:rFonts w:hint="eastAsia" w:ascii="新宋体" w:hAnsi="新宋体" w:eastAsia="新宋体"/>
          <w:szCs w:val="21"/>
        </w:rPr>
        <w:t xml:space="preserve">3.2“采购人”或“招标人”：指利用财政性资金依法进行政府采购的国家机关、事业单位、团体组织； </w:t>
      </w:r>
    </w:p>
    <w:p w14:paraId="04B0B456">
      <w:pPr>
        <w:spacing w:line="360" w:lineRule="auto"/>
        <w:rPr>
          <w:rFonts w:ascii="新宋体" w:hAnsi="新宋体" w:eastAsia="新宋体"/>
          <w:szCs w:val="21"/>
        </w:rPr>
      </w:pPr>
      <w:r>
        <w:rPr>
          <w:rFonts w:hint="eastAsia" w:ascii="新宋体" w:hAnsi="新宋体" w:eastAsia="新宋体"/>
          <w:szCs w:val="21"/>
        </w:rPr>
        <w:t>3.3“投标人”或“投标方”，即供应商，指参加投标竞争并愿意按照招标文件要求向采购人提供货物、工程或者服务的依法成立的法人、其他组织或者自然人；</w:t>
      </w:r>
    </w:p>
    <w:p w14:paraId="3D06F9B2">
      <w:pPr>
        <w:spacing w:line="360" w:lineRule="auto"/>
        <w:rPr>
          <w:rFonts w:ascii="新宋体" w:hAnsi="新宋体" w:eastAsia="新宋体"/>
          <w:szCs w:val="21"/>
        </w:rPr>
      </w:pPr>
      <w:r>
        <w:rPr>
          <w:rFonts w:hint="eastAsia" w:ascii="新宋体" w:hAnsi="新宋体" w:eastAsia="新宋体"/>
          <w:szCs w:val="21"/>
        </w:rPr>
        <w:t>3.4“评审委员会”和“谈判小组”是依据《深圳经济特区政府采购条例》、《深圳经济特区政府采购条例实施细则》等有关规定组建的专门负责本次招标其评标（谈判）工作的临时性机构；</w:t>
      </w:r>
    </w:p>
    <w:p w14:paraId="7FF28B67">
      <w:pPr>
        <w:spacing w:line="360" w:lineRule="auto"/>
        <w:rPr>
          <w:rFonts w:ascii="新宋体" w:hAnsi="新宋体" w:eastAsia="新宋体"/>
          <w:szCs w:val="21"/>
        </w:rPr>
      </w:pPr>
      <w:r>
        <w:rPr>
          <w:rFonts w:hint="eastAsia" w:ascii="新宋体" w:hAnsi="新宋体" w:eastAsia="新宋体"/>
          <w:szCs w:val="21"/>
        </w:rPr>
        <w:t>3.5“日期”</w:t>
      </w:r>
      <w:r>
        <w:rPr>
          <w:rFonts w:ascii="新宋体" w:hAnsi="新宋体" w:eastAsia="新宋体"/>
          <w:szCs w:val="21"/>
        </w:rPr>
        <w:t>指</w:t>
      </w:r>
      <w:r>
        <w:rPr>
          <w:rFonts w:hint="eastAsia" w:ascii="新宋体" w:hAnsi="新宋体" w:eastAsia="新宋体"/>
          <w:szCs w:val="21"/>
        </w:rPr>
        <w:t>公历日；</w:t>
      </w:r>
    </w:p>
    <w:p w14:paraId="116DA401">
      <w:pPr>
        <w:spacing w:line="360" w:lineRule="auto"/>
        <w:rPr>
          <w:rFonts w:ascii="新宋体" w:hAnsi="新宋体" w:eastAsia="新宋体"/>
          <w:szCs w:val="21"/>
        </w:rPr>
      </w:pPr>
      <w:r>
        <w:rPr>
          <w:rFonts w:hint="eastAsia" w:ascii="新宋体" w:hAnsi="新宋体" w:eastAsia="新宋体"/>
          <w:szCs w:val="21"/>
        </w:rPr>
        <w:t>3.6“合同”指由本次招标所产生的合同或合约文件；</w:t>
      </w:r>
    </w:p>
    <w:p w14:paraId="036D0F8D">
      <w:pPr>
        <w:spacing w:line="360" w:lineRule="auto"/>
        <w:rPr>
          <w:rFonts w:ascii="新宋体" w:hAnsi="新宋体" w:eastAsia="新宋体"/>
          <w:szCs w:val="21"/>
        </w:rPr>
      </w:pPr>
      <w:r>
        <w:rPr>
          <w:rFonts w:hint="eastAsia" w:ascii="新宋体" w:hAnsi="新宋体" w:eastAsia="新宋体"/>
          <w:szCs w:val="21"/>
        </w:rPr>
        <w:t>3.7“网上投标”指通过深圳市政府采购网上传电子投标文件；</w:t>
      </w:r>
    </w:p>
    <w:p w14:paraId="7963CBDB">
      <w:pPr>
        <w:spacing w:line="360" w:lineRule="auto"/>
        <w:rPr>
          <w:rFonts w:ascii="新宋体" w:hAnsi="新宋体" w:eastAsia="新宋体"/>
          <w:szCs w:val="21"/>
        </w:rPr>
      </w:pPr>
      <w:r>
        <w:rPr>
          <w:rFonts w:hint="eastAsia" w:ascii="新宋体" w:hAnsi="新宋体" w:eastAsia="新宋体"/>
          <w:szCs w:val="21"/>
        </w:rPr>
        <w:t>3.8招标文件中的标题或题名仅起引导作用，而不应视为对招标文件内容的理解和解释。</w:t>
      </w:r>
    </w:p>
    <w:p w14:paraId="396C89CA">
      <w:pPr>
        <w:spacing w:line="360" w:lineRule="auto"/>
        <w:rPr>
          <w:rFonts w:ascii="新宋体" w:hAnsi="新宋体" w:eastAsia="新宋体"/>
          <w:szCs w:val="21"/>
        </w:rPr>
      </w:pPr>
      <w:r>
        <w:rPr>
          <w:rFonts w:hint="eastAsia" w:ascii="新宋体" w:hAnsi="新宋体" w:eastAsia="新宋体"/>
          <w:szCs w:val="21"/>
        </w:rPr>
        <w:t>4. 政府采购供应商责任</w:t>
      </w:r>
    </w:p>
    <w:p w14:paraId="338607B8">
      <w:pPr>
        <w:spacing w:line="360" w:lineRule="auto"/>
        <w:rPr>
          <w:rFonts w:ascii="新宋体" w:hAnsi="新宋体" w:eastAsia="新宋体"/>
          <w:szCs w:val="21"/>
        </w:rPr>
      </w:pPr>
      <w:r>
        <w:rPr>
          <w:rFonts w:hint="eastAsia" w:ascii="新宋体" w:hAnsi="新宋体" w:eastAsia="新宋体"/>
          <w:szCs w:val="21"/>
        </w:rPr>
        <w:t>4.1欢迎诚信、有实力和有社会责任心的供应商参与政府采购事业。</w:t>
      </w:r>
    </w:p>
    <w:p w14:paraId="269CFCBC">
      <w:pPr>
        <w:spacing w:line="360" w:lineRule="auto"/>
        <w:rPr>
          <w:rFonts w:ascii="新宋体" w:hAnsi="新宋体" w:eastAsia="新宋体"/>
          <w:szCs w:val="21"/>
        </w:rPr>
      </w:pPr>
      <w:r>
        <w:rPr>
          <w:rFonts w:hint="eastAsia" w:ascii="新宋体" w:hAnsi="新宋体" w:eastAsia="新宋体"/>
          <w:szCs w:val="21"/>
        </w:rPr>
        <w:t>4.2投标人应当遵循公平竞争的原则，不得恶意串通，不得妨碍其他投标人的竞争行为，不得损害采购人或者其他投标人的合法权益。如违反上述要求，经核实后，供应商的投标无效。</w:t>
      </w:r>
    </w:p>
    <w:p w14:paraId="7E430BD9">
      <w:pPr>
        <w:spacing w:line="360" w:lineRule="auto"/>
        <w:rPr>
          <w:rFonts w:ascii="新宋体" w:hAnsi="新宋体" w:eastAsia="新宋体"/>
          <w:szCs w:val="21"/>
        </w:rPr>
      </w:pPr>
      <w:r>
        <w:rPr>
          <w:rFonts w:hint="eastAsia" w:ascii="新宋体" w:hAnsi="新宋体" w:eastAsia="新宋体"/>
          <w:szCs w:val="21"/>
        </w:rPr>
        <w:t>5．投标人参加政府采购的条件</w:t>
      </w:r>
    </w:p>
    <w:p w14:paraId="68F9A9B6">
      <w:pPr>
        <w:spacing w:line="360" w:lineRule="auto"/>
        <w:rPr>
          <w:rFonts w:ascii="新宋体" w:hAnsi="新宋体" w:eastAsia="新宋体"/>
          <w:szCs w:val="21"/>
        </w:rPr>
      </w:pPr>
      <w:r>
        <w:rPr>
          <w:rFonts w:hint="eastAsia" w:ascii="新宋体" w:hAnsi="新宋体" w:eastAsia="新宋体"/>
          <w:szCs w:val="21"/>
        </w:rPr>
        <w:t>5.1投标人的资格要求</w:t>
      </w:r>
    </w:p>
    <w:p w14:paraId="04C301AF">
      <w:pPr>
        <w:spacing w:line="360" w:lineRule="auto"/>
        <w:rPr>
          <w:rFonts w:ascii="新宋体" w:hAnsi="新宋体" w:eastAsia="新宋体"/>
          <w:szCs w:val="21"/>
        </w:rPr>
      </w:pPr>
      <w:r>
        <w:rPr>
          <w:rFonts w:hint="eastAsia" w:ascii="新宋体" w:hAnsi="新宋体" w:eastAsia="新宋体"/>
          <w:szCs w:val="21"/>
        </w:rPr>
        <w:t>参加本项目的投标人应具备的资格条件详见本项目招标公告中 “投标人资格要求”的内容。</w:t>
      </w:r>
    </w:p>
    <w:p w14:paraId="0C11E241">
      <w:pPr>
        <w:spacing w:line="360" w:lineRule="auto"/>
        <w:rPr>
          <w:rFonts w:ascii="新宋体" w:hAnsi="新宋体" w:eastAsia="新宋体"/>
          <w:szCs w:val="21"/>
        </w:rPr>
      </w:pPr>
      <w:r>
        <w:rPr>
          <w:rFonts w:hint="eastAsia" w:ascii="新宋体" w:hAnsi="新宋体" w:eastAsia="新宋体"/>
          <w:szCs w:val="21"/>
        </w:rPr>
        <w:t>5.2联合体投标</w:t>
      </w:r>
    </w:p>
    <w:p w14:paraId="719163EE">
      <w:pPr>
        <w:spacing w:line="360" w:lineRule="auto"/>
        <w:rPr>
          <w:rFonts w:ascii="新宋体" w:hAnsi="新宋体" w:eastAsia="新宋体"/>
          <w:szCs w:val="21"/>
        </w:rPr>
      </w:pPr>
      <w:r>
        <w:rPr>
          <w:rFonts w:hint="eastAsia" w:ascii="新宋体" w:hAnsi="新宋体" w:eastAsia="新宋体"/>
          <w:szCs w:val="21"/>
        </w:rPr>
        <w:t>5.2.1　以下有关联合体投标的条款仅适用于允许投标人组成联合体投标的项目。</w:t>
      </w:r>
    </w:p>
    <w:p w14:paraId="63FE341F">
      <w:pPr>
        <w:spacing w:line="360" w:lineRule="auto"/>
        <w:rPr>
          <w:rFonts w:ascii="新宋体" w:hAnsi="新宋体" w:eastAsia="新宋体"/>
          <w:szCs w:val="21"/>
        </w:rPr>
      </w:pPr>
      <w:r>
        <w:rPr>
          <w:rFonts w:hint="eastAsia" w:ascii="新宋体" w:hAnsi="新宋体" w:eastAsia="新宋体"/>
          <w:szCs w:val="21"/>
        </w:rPr>
        <w:t>5.2.2  由两个或两个以上的自然人、法人或者其他组织可以组成一个联合体，以一个供应商的身份共同投标时，应符合以下原则：</w:t>
      </w:r>
    </w:p>
    <w:p w14:paraId="2D849878">
      <w:pPr>
        <w:spacing w:line="360" w:lineRule="auto"/>
        <w:rPr>
          <w:rFonts w:ascii="新宋体" w:hAnsi="新宋体" w:eastAsia="新宋体"/>
          <w:szCs w:val="21"/>
        </w:rPr>
      </w:pPr>
      <w:r>
        <w:rPr>
          <w:rFonts w:hint="eastAsia" w:ascii="新宋体" w:hAnsi="新宋体" w:eastAsia="新宋体"/>
          <w:szCs w:val="21"/>
        </w:rPr>
        <w:t>（1）投标联合体各方参加政府采购活动应当具备下列条件：</w:t>
      </w:r>
    </w:p>
    <w:p w14:paraId="2ADC3C0E">
      <w:pPr>
        <w:spacing w:line="360" w:lineRule="auto"/>
        <w:rPr>
          <w:rFonts w:ascii="新宋体" w:hAnsi="新宋体" w:eastAsia="新宋体"/>
          <w:szCs w:val="21"/>
        </w:rPr>
      </w:pPr>
      <w:r>
        <w:rPr>
          <w:rFonts w:hint="eastAsia" w:ascii="新宋体" w:hAnsi="新宋体" w:eastAsia="新宋体"/>
          <w:szCs w:val="21"/>
        </w:rPr>
        <w:t>1、具有独立承担民事责任的能力；</w:t>
      </w:r>
    </w:p>
    <w:p w14:paraId="02291B1E">
      <w:pPr>
        <w:spacing w:line="360" w:lineRule="auto"/>
        <w:rPr>
          <w:rFonts w:ascii="新宋体" w:hAnsi="新宋体" w:eastAsia="新宋体"/>
          <w:szCs w:val="21"/>
        </w:rPr>
      </w:pPr>
      <w:r>
        <w:rPr>
          <w:rFonts w:hint="eastAsia" w:ascii="新宋体" w:hAnsi="新宋体" w:eastAsia="新宋体"/>
          <w:szCs w:val="21"/>
        </w:rPr>
        <w:t>2、有良好的商业信誉和健全的财务会计制度；</w:t>
      </w:r>
    </w:p>
    <w:p w14:paraId="2107607C">
      <w:pPr>
        <w:spacing w:line="360" w:lineRule="auto"/>
        <w:rPr>
          <w:rFonts w:ascii="新宋体" w:hAnsi="新宋体" w:eastAsia="新宋体"/>
          <w:szCs w:val="21"/>
        </w:rPr>
      </w:pPr>
      <w:r>
        <w:rPr>
          <w:rFonts w:hint="eastAsia" w:ascii="新宋体" w:hAnsi="新宋体" w:eastAsia="新宋体"/>
          <w:szCs w:val="21"/>
        </w:rPr>
        <w:t>3、具有履行合同所必需的设备和专业技术能力；</w:t>
      </w:r>
    </w:p>
    <w:p w14:paraId="0C24A5F4">
      <w:pPr>
        <w:spacing w:line="360" w:lineRule="auto"/>
        <w:rPr>
          <w:rFonts w:ascii="新宋体" w:hAnsi="新宋体" w:eastAsia="新宋体"/>
          <w:szCs w:val="21"/>
        </w:rPr>
      </w:pPr>
      <w:r>
        <w:rPr>
          <w:rFonts w:hint="eastAsia" w:ascii="新宋体" w:hAnsi="新宋体" w:eastAsia="新宋体"/>
          <w:szCs w:val="21"/>
        </w:rPr>
        <w:t>4、有依法缴纳税收和社会保障资金的良好记录；</w:t>
      </w:r>
    </w:p>
    <w:p w14:paraId="6E63AA6A">
      <w:pPr>
        <w:spacing w:line="360" w:lineRule="auto"/>
        <w:rPr>
          <w:rFonts w:ascii="新宋体" w:hAnsi="新宋体" w:eastAsia="新宋体"/>
          <w:szCs w:val="21"/>
        </w:rPr>
      </w:pPr>
      <w:r>
        <w:rPr>
          <w:rFonts w:hint="eastAsia" w:ascii="新宋体" w:hAnsi="新宋体" w:eastAsia="新宋体"/>
          <w:szCs w:val="21"/>
        </w:rPr>
        <w:t>5、参加政府采购活动前三年内，在经营活动中没有重大违法记录；</w:t>
      </w:r>
    </w:p>
    <w:p w14:paraId="51B84BD5">
      <w:pPr>
        <w:spacing w:line="360" w:lineRule="auto"/>
        <w:rPr>
          <w:rFonts w:ascii="新宋体" w:hAnsi="新宋体" w:eastAsia="新宋体"/>
          <w:szCs w:val="21"/>
        </w:rPr>
      </w:pPr>
      <w:r>
        <w:rPr>
          <w:rFonts w:hint="eastAsia" w:ascii="新宋体" w:hAnsi="新宋体" w:eastAsia="新宋体"/>
          <w:szCs w:val="21"/>
        </w:rPr>
        <w:t>6、法律、行政法规规定的其他条件。</w:t>
      </w:r>
    </w:p>
    <w:p w14:paraId="083A8145">
      <w:pPr>
        <w:spacing w:line="360" w:lineRule="auto"/>
        <w:rPr>
          <w:rFonts w:ascii="新宋体" w:hAnsi="新宋体" w:eastAsia="新宋体"/>
          <w:szCs w:val="21"/>
        </w:rPr>
      </w:pPr>
      <w:r>
        <w:rPr>
          <w:rFonts w:hint="eastAsia" w:ascii="新宋体" w:hAnsi="新宋体" w:eastAsia="新宋体"/>
          <w:szCs w:val="21"/>
        </w:rPr>
        <w:t>（2）投标联合体各方必须有一方先行注册成深圳市政府采购中心供应商；</w:t>
      </w:r>
    </w:p>
    <w:p w14:paraId="3AF5C24C">
      <w:pPr>
        <w:spacing w:line="360" w:lineRule="auto"/>
        <w:rPr>
          <w:rFonts w:ascii="新宋体" w:hAnsi="新宋体" w:eastAsia="新宋体"/>
          <w:szCs w:val="21"/>
        </w:rPr>
      </w:pPr>
      <w:r>
        <w:rPr>
          <w:rFonts w:hint="eastAsia" w:ascii="新宋体" w:hAnsi="新宋体" w:eastAsia="新宋体"/>
          <w:szCs w:val="21"/>
        </w:rPr>
        <w:t>（3）联合体中有同类资质的供应商按照联合体分工承担相同工作的，应当按照资质等级较低的供应商确定资质等级。</w:t>
      </w:r>
    </w:p>
    <w:p w14:paraId="7AC29DD0">
      <w:pPr>
        <w:spacing w:line="360" w:lineRule="auto"/>
        <w:rPr>
          <w:rFonts w:ascii="新宋体" w:hAnsi="新宋体" w:eastAsia="新宋体"/>
          <w:szCs w:val="21"/>
        </w:rPr>
      </w:pPr>
      <w:r>
        <w:rPr>
          <w:rFonts w:hint="eastAsia" w:ascii="新宋体" w:hAnsi="新宋体" w:eastAsia="新宋体"/>
          <w:szCs w:val="21"/>
        </w:rPr>
        <w:t>（4）是否允许联合体参加投标，应当由采购人和采购代理机构根据项目的实际情况和潜在供应商的数量自主决定，如果决定接受联合体投标则应当在采购公告中明示。</w:t>
      </w:r>
    </w:p>
    <w:p w14:paraId="516AD1A5">
      <w:pPr>
        <w:spacing w:line="360" w:lineRule="auto"/>
        <w:rPr>
          <w:rFonts w:ascii="新宋体" w:hAnsi="新宋体" w:eastAsia="新宋体"/>
          <w:szCs w:val="21"/>
        </w:rPr>
      </w:pPr>
      <w:r>
        <w:rPr>
          <w:rFonts w:hint="eastAsia" w:ascii="新宋体" w:hAnsi="新宋体" w:eastAsia="新宋体"/>
          <w:szCs w:val="21"/>
        </w:rPr>
        <w:t>（5）投标人的投标文件及中标后签署的合同协议对联合体各方均具法律约束力；</w:t>
      </w:r>
    </w:p>
    <w:p w14:paraId="1CFF47BB">
      <w:pPr>
        <w:spacing w:line="360" w:lineRule="auto"/>
        <w:rPr>
          <w:rFonts w:ascii="新宋体" w:hAnsi="新宋体" w:eastAsia="新宋体"/>
          <w:szCs w:val="21"/>
        </w:rPr>
      </w:pPr>
      <w:r>
        <w:rPr>
          <w:rFonts w:hint="eastAsia" w:ascii="新宋体" w:hAnsi="新宋体" w:eastAsia="新宋体"/>
          <w:szCs w:val="21"/>
        </w:rPr>
        <w:t>（6）联合体各方应当签订共同投标协议，明确约定各方拟承担的工作和责任，并将该共同投标协议随投标文件一并递交给招标代理机构；</w:t>
      </w:r>
    </w:p>
    <w:p w14:paraId="4094C721">
      <w:pPr>
        <w:spacing w:line="360" w:lineRule="auto"/>
        <w:rPr>
          <w:rFonts w:ascii="新宋体" w:hAnsi="新宋体" w:eastAsia="新宋体"/>
          <w:szCs w:val="21"/>
        </w:rPr>
      </w:pPr>
      <w:r>
        <w:rPr>
          <w:rFonts w:hint="eastAsia" w:ascii="新宋体" w:hAnsi="新宋体" w:eastAsia="新宋体"/>
          <w:szCs w:val="21"/>
        </w:rPr>
        <w:t>（7）联合体中标后，联合体各方应当共同与采购人签订合同，就中标项目向采购人承担连带责任；</w:t>
      </w:r>
    </w:p>
    <w:p w14:paraId="2D2677C6">
      <w:pPr>
        <w:spacing w:line="360" w:lineRule="auto"/>
        <w:rPr>
          <w:rFonts w:ascii="新宋体" w:hAnsi="新宋体" w:eastAsia="新宋体"/>
          <w:szCs w:val="21"/>
        </w:rPr>
      </w:pPr>
      <w:r>
        <w:rPr>
          <w:rFonts w:hint="eastAsia" w:ascii="新宋体" w:hAnsi="新宋体" w:eastAsia="新宋体"/>
          <w:szCs w:val="21"/>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4D81449D">
      <w:pPr>
        <w:spacing w:line="360" w:lineRule="auto"/>
        <w:rPr>
          <w:rFonts w:ascii="新宋体" w:hAnsi="新宋体" w:eastAsia="新宋体"/>
          <w:szCs w:val="21"/>
        </w:rPr>
      </w:pPr>
      <w:r>
        <w:rPr>
          <w:rFonts w:hint="eastAsia" w:ascii="新宋体" w:hAnsi="新宋体" w:eastAsia="新宋体"/>
          <w:szCs w:val="21"/>
        </w:rPr>
        <w:t>（9）本通用条款中“投标人”一词亦指联合体各方，专用条款另有规定或说明的除外。</w:t>
      </w:r>
    </w:p>
    <w:p w14:paraId="0C5992B8">
      <w:pPr>
        <w:spacing w:line="360" w:lineRule="auto"/>
        <w:rPr>
          <w:rFonts w:ascii="新宋体" w:hAnsi="新宋体" w:eastAsia="新宋体"/>
          <w:szCs w:val="21"/>
        </w:rPr>
      </w:pPr>
      <w:r>
        <w:rPr>
          <w:rFonts w:hint="eastAsia" w:ascii="新宋体" w:hAnsi="新宋体" w:eastAsia="新宋体"/>
          <w:szCs w:val="21"/>
        </w:rPr>
        <w:t>6．政策导向</w:t>
      </w:r>
    </w:p>
    <w:p w14:paraId="312BC0C5">
      <w:pPr>
        <w:spacing w:line="360" w:lineRule="auto"/>
        <w:rPr>
          <w:rFonts w:ascii="新宋体" w:hAnsi="新宋体" w:eastAsia="新宋体"/>
          <w:bCs/>
          <w:szCs w:val="21"/>
        </w:rPr>
      </w:pPr>
      <w:r>
        <w:rPr>
          <w:rFonts w:hint="eastAsia" w:ascii="新宋体" w:hAnsi="新宋体" w:eastAsia="新宋体"/>
          <w:bCs/>
          <w:szCs w:val="21"/>
        </w:rPr>
        <w:t>6.1 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6B4B83C8">
      <w:pPr>
        <w:spacing w:line="360" w:lineRule="auto"/>
        <w:rPr>
          <w:rFonts w:ascii="新宋体" w:hAnsi="新宋体" w:eastAsia="新宋体"/>
          <w:szCs w:val="21"/>
        </w:rPr>
      </w:pPr>
      <w:r>
        <w:rPr>
          <w:rFonts w:hint="eastAsia" w:ascii="新宋体" w:hAnsi="新宋体" w:eastAsia="新宋体"/>
          <w:szCs w:val="21"/>
        </w:rPr>
        <w:t>6.2 根据《深圳市人民政府关于印发深圳市贯彻落实守信联合激励和失信联合惩戒制度实施方案的通知》（深府〔2017〕57号）的要求，对列入失信“黑名单”的供应商限制参与政府采购。</w:t>
      </w:r>
    </w:p>
    <w:p w14:paraId="382BD077">
      <w:pPr>
        <w:spacing w:line="360" w:lineRule="auto"/>
        <w:rPr>
          <w:rFonts w:ascii="新宋体" w:hAnsi="新宋体" w:eastAsia="新宋体"/>
          <w:szCs w:val="21"/>
        </w:rPr>
      </w:pPr>
      <w:r>
        <w:rPr>
          <w:rFonts w:hint="eastAsia" w:ascii="新宋体" w:hAnsi="新宋体" w:eastAsia="新宋体"/>
          <w:szCs w:val="21"/>
        </w:rPr>
        <w:t>7. 本项目若涉及采购货物，则合格的货物及相应服务应满足以下要求：</w:t>
      </w:r>
    </w:p>
    <w:p w14:paraId="71048DFC">
      <w:pPr>
        <w:spacing w:line="360" w:lineRule="auto"/>
        <w:rPr>
          <w:rFonts w:ascii="新宋体" w:hAnsi="新宋体" w:eastAsia="新宋体"/>
          <w:szCs w:val="21"/>
        </w:rPr>
      </w:pPr>
      <w:r>
        <w:rPr>
          <w:rFonts w:hint="eastAsia" w:ascii="新宋体" w:hAnsi="新宋体" w:eastAsia="新宋体"/>
          <w:szCs w:val="21"/>
        </w:rPr>
        <w:t>7</w:t>
      </w:r>
      <w:r>
        <w:rPr>
          <w:rFonts w:ascii="新宋体" w:hAnsi="新宋体" w:eastAsia="新宋体"/>
          <w:szCs w:val="21"/>
        </w:rPr>
        <w:t xml:space="preserve">.1  </w:t>
      </w:r>
      <w:r>
        <w:rPr>
          <w:rFonts w:hint="eastAsia" w:ascii="新宋体" w:hAnsi="新宋体" w:eastAsia="新宋体"/>
          <w:szCs w:val="21"/>
        </w:rPr>
        <w:t>必须是全新、未使用过的原装合格正品（包括零部件），如安装或配置了软件的，须为正版软件。</w:t>
      </w:r>
    </w:p>
    <w:p w14:paraId="1492F96E">
      <w:pPr>
        <w:spacing w:line="360" w:lineRule="auto"/>
        <w:rPr>
          <w:rFonts w:ascii="新宋体" w:hAnsi="新宋体" w:eastAsia="新宋体"/>
          <w:szCs w:val="21"/>
        </w:rPr>
      </w:pPr>
      <w:r>
        <w:rPr>
          <w:rFonts w:hint="eastAsia" w:ascii="新宋体" w:hAnsi="新宋体" w:eastAsia="新宋体"/>
          <w:szCs w:val="21"/>
        </w:rPr>
        <w:t>7.2  国产的货物及其有关服务必须符合中华人民共和国的设计、制造生产标准及行业标准。招标公告有其他要求的，亦应符合其要求。</w:t>
      </w:r>
    </w:p>
    <w:p w14:paraId="12BC33AF">
      <w:pPr>
        <w:spacing w:line="360" w:lineRule="auto"/>
        <w:rPr>
          <w:rFonts w:ascii="新宋体" w:hAnsi="新宋体" w:eastAsia="新宋体"/>
          <w:szCs w:val="21"/>
        </w:rPr>
      </w:pPr>
      <w:r>
        <w:rPr>
          <w:rFonts w:hint="eastAsia" w:ascii="新宋体" w:hAnsi="新宋体" w:eastAsia="新宋体"/>
          <w:szCs w:val="21"/>
        </w:rPr>
        <w:t>7</w:t>
      </w:r>
      <w:r>
        <w:rPr>
          <w:rFonts w:ascii="新宋体" w:hAnsi="新宋体" w:eastAsia="新宋体"/>
          <w:szCs w:val="21"/>
        </w:rPr>
        <w:t>.</w:t>
      </w:r>
      <w:r>
        <w:rPr>
          <w:rFonts w:hint="eastAsia" w:ascii="新宋体" w:hAnsi="新宋体" w:eastAsia="新宋体"/>
          <w:szCs w:val="21"/>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3C8CA47">
      <w:pPr>
        <w:spacing w:line="360" w:lineRule="auto"/>
        <w:rPr>
          <w:rFonts w:ascii="新宋体" w:hAnsi="新宋体" w:eastAsia="新宋体"/>
          <w:szCs w:val="21"/>
        </w:rPr>
      </w:pPr>
      <w:r>
        <w:rPr>
          <w:rFonts w:hint="eastAsia" w:ascii="新宋体" w:hAnsi="新宋体" w:eastAsia="新宋体"/>
          <w:szCs w:val="21"/>
        </w:rPr>
        <w:t>7</w:t>
      </w:r>
      <w:r>
        <w:rPr>
          <w:rFonts w:ascii="新宋体" w:hAnsi="新宋体" w:eastAsia="新宋体"/>
          <w:szCs w:val="21"/>
        </w:rPr>
        <w:t>.</w:t>
      </w:r>
      <w:r>
        <w:rPr>
          <w:rFonts w:hint="eastAsia" w:ascii="新宋体" w:hAnsi="新宋体" w:eastAsia="新宋体"/>
          <w:szCs w:val="21"/>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57439D50">
      <w:pPr>
        <w:spacing w:line="360" w:lineRule="auto"/>
        <w:rPr>
          <w:rFonts w:ascii="新宋体" w:hAnsi="新宋体" w:eastAsia="新宋体"/>
          <w:szCs w:val="21"/>
        </w:rPr>
      </w:pPr>
      <w:r>
        <w:rPr>
          <w:rFonts w:hint="eastAsia" w:ascii="新宋体" w:hAnsi="新宋体" w:eastAsia="新宋体"/>
          <w:szCs w:val="21"/>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6A3B64C0">
      <w:pPr>
        <w:spacing w:line="360" w:lineRule="auto"/>
        <w:rPr>
          <w:rFonts w:ascii="新宋体" w:hAnsi="新宋体" w:eastAsia="新宋体"/>
          <w:szCs w:val="21"/>
        </w:rPr>
      </w:pPr>
      <w:r>
        <w:rPr>
          <w:rFonts w:hint="eastAsia" w:ascii="新宋体" w:hAnsi="新宋体" w:eastAsia="新宋体"/>
          <w:szCs w:val="21"/>
        </w:rPr>
        <w:t>7.6  对工期的要求：投标人在投标时对其所投项目应提交交货进度、交货计划等，在合同规定的时间内完工验收。</w:t>
      </w:r>
    </w:p>
    <w:p w14:paraId="2F5341A5">
      <w:pPr>
        <w:spacing w:line="360" w:lineRule="auto"/>
        <w:rPr>
          <w:rFonts w:ascii="新宋体" w:hAnsi="新宋体" w:eastAsia="新宋体"/>
          <w:szCs w:val="21"/>
        </w:rPr>
      </w:pPr>
      <w:r>
        <w:rPr>
          <w:rFonts w:hint="eastAsia" w:ascii="新宋体" w:hAnsi="新宋体" w:eastAsia="新宋体"/>
          <w:szCs w:val="21"/>
        </w:rPr>
        <w:t>7.7  投标人必须承担的设备运输、安装调试、验收检测和提供设备操作说明书、图纸等其他相关及类似的义务。</w:t>
      </w:r>
    </w:p>
    <w:p w14:paraId="56904A05">
      <w:pPr>
        <w:spacing w:line="360" w:lineRule="auto"/>
        <w:rPr>
          <w:rFonts w:ascii="新宋体" w:hAnsi="新宋体" w:eastAsia="新宋体"/>
          <w:szCs w:val="21"/>
        </w:rPr>
      </w:pPr>
      <w:r>
        <w:rPr>
          <w:rFonts w:hint="eastAsia" w:ascii="新宋体" w:hAnsi="新宋体" w:eastAsia="新宋体"/>
          <w:szCs w:val="21"/>
        </w:rPr>
        <w:t>8．投标费用</w:t>
      </w:r>
    </w:p>
    <w:p w14:paraId="1C4C7E57">
      <w:pPr>
        <w:spacing w:line="360" w:lineRule="auto"/>
        <w:rPr>
          <w:rFonts w:ascii="新宋体" w:hAnsi="新宋体" w:eastAsia="新宋体"/>
          <w:szCs w:val="21"/>
        </w:rPr>
      </w:pPr>
      <w:r>
        <w:rPr>
          <w:rFonts w:hint="eastAsia" w:ascii="新宋体" w:hAnsi="新宋体" w:eastAsia="新宋体"/>
          <w:szCs w:val="21"/>
        </w:rPr>
        <w:t>不论投标结果如何，投标人应承担其编制投标文件与递交投标文件所涉及的一切费用。</w:t>
      </w:r>
    </w:p>
    <w:p w14:paraId="0633DAC3">
      <w:pPr>
        <w:spacing w:line="360" w:lineRule="auto"/>
        <w:rPr>
          <w:rFonts w:ascii="新宋体" w:hAnsi="新宋体" w:eastAsia="新宋体"/>
          <w:szCs w:val="21"/>
        </w:rPr>
      </w:pPr>
      <w:r>
        <w:rPr>
          <w:rFonts w:hint="eastAsia" w:ascii="新宋体" w:hAnsi="新宋体" w:eastAsia="新宋体"/>
          <w:szCs w:val="21"/>
        </w:rPr>
        <w:t>9．踏勘现场</w:t>
      </w:r>
    </w:p>
    <w:p w14:paraId="152CE6B3">
      <w:pPr>
        <w:spacing w:line="360" w:lineRule="auto"/>
        <w:rPr>
          <w:rFonts w:ascii="新宋体" w:hAnsi="新宋体" w:eastAsia="新宋体"/>
          <w:szCs w:val="21"/>
        </w:rPr>
      </w:pPr>
      <w:r>
        <w:rPr>
          <w:rFonts w:hint="eastAsia" w:ascii="新宋体" w:hAnsi="新宋体" w:eastAsia="新宋体"/>
          <w:szCs w:val="21"/>
        </w:rPr>
        <w:t>9.1如有需要（详见专用条款），招标代理机构或采购人将组织投标人对项目现场及周围环境进行踏勘，以便投标人获取有关编制投标文件和签署合同所需的资料。踏勘现场所发生的费用由投标人自行承担。投标人应按招标公告所约定的时间、地点踏勘现场。</w:t>
      </w:r>
    </w:p>
    <w:p w14:paraId="7058AEB2">
      <w:pPr>
        <w:spacing w:line="360" w:lineRule="auto"/>
        <w:rPr>
          <w:rFonts w:ascii="新宋体" w:hAnsi="新宋体" w:eastAsia="新宋体"/>
          <w:szCs w:val="21"/>
        </w:rPr>
      </w:pPr>
      <w:r>
        <w:rPr>
          <w:rFonts w:hint="eastAsia" w:ascii="新宋体" w:hAnsi="新宋体" w:eastAsia="新宋体"/>
          <w:szCs w:val="21"/>
        </w:rPr>
        <w:t>9.2投标人及其人员经过采购人的允许，可以进入采购人的项目现场踏勘。若招标文件要求投标人于统一时间地点踏勘现场的，投标人应当按时前往。</w:t>
      </w:r>
    </w:p>
    <w:p w14:paraId="34964B88">
      <w:pPr>
        <w:spacing w:line="360" w:lineRule="auto"/>
        <w:rPr>
          <w:rFonts w:ascii="新宋体" w:hAnsi="新宋体" w:eastAsia="新宋体"/>
          <w:szCs w:val="21"/>
        </w:rPr>
      </w:pPr>
      <w:r>
        <w:rPr>
          <w:rFonts w:hint="eastAsia" w:ascii="新宋体" w:hAnsi="新宋体" w:eastAsia="新宋体"/>
          <w:szCs w:val="21"/>
        </w:rPr>
        <w:t>9.3采购人必须通过招标代理机构向投标人提供有关现场的资料和数据。</w:t>
      </w:r>
    </w:p>
    <w:p w14:paraId="63E7C356">
      <w:pPr>
        <w:spacing w:line="360" w:lineRule="auto"/>
        <w:rPr>
          <w:rFonts w:ascii="新宋体" w:hAnsi="新宋体" w:eastAsia="新宋体"/>
          <w:szCs w:val="21"/>
        </w:rPr>
      </w:pPr>
      <w:r>
        <w:rPr>
          <w:rFonts w:hint="eastAsia" w:ascii="新宋体" w:hAnsi="新宋体" w:eastAsia="新宋体"/>
          <w:szCs w:val="21"/>
        </w:rPr>
        <w:t>9.4任何人或任何组织在踏勘现场时向投标人提交的任何书面资料或口头承诺，未经招标代理机构在网上发布或书面通知，均作无效处理。</w:t>
      </w:r>
    </w:p>
    <w:p w14:paraId="0A1D63F7">
      <w:pPr>
        <w:spacing w:line="360" w:lineRule="auto"/>
        <w:rPr>
          <w:rFonts w:ascii="新宋体" w:hAnsi="新宋体" w:eastAsia="新宋体"/>
          <w:szCs w:val="21"/>
        </w:rPr>
      </w:pPr>
      <w:r>
        <w:rPr>
          <w:rFonts w:hint="eastAsia" w:ascii="新宋体" w:hAnsi="新宋体" w:eastAsia="新宋体"/>
          <w:szCs w:val="21"/>
        </w:rPr>
        <w:t>10．招标答疑</w:t>
      </w:r>
    </w:p>
    <w:p w14:paraId="42CDC16D">
      <w:pPr>
        <w:spacing w:line="360" w:lineRule="auto"/>
        <w:rPr>
          <w:rFonts w:ascii="新宋体" w:hAnsi="新宋体" w:eastAsia="新宋体"/>
          <w:szCs w:val="21"/>
        </w:rPr>
      </w:pPr>
      <w:r>
        <w:rPr>
          <w:rFonts w:hint="eastAsia" w:ascii="新宋体" w:hAnsi="新宋体" w:eastAsia="新宋体"/>
          <w:szCs w:val="21"/>
        </w:rPr>
        <w:t>10.1招标答疑的目的是澄清、解答投标人在查阅招标文件后或现场踏勘中可能提出的与投标有关的疑问或询问。</w:t>
      </w:r>
    </w:p>
    <w:p w14:paraId="146FD1D6">
      <w:pPr>
        <w:spacing w:line="360" w:lineRule="auto"/>
        <w:rPr>
          <w:rFonts w:ascii="新宋体" w:hAnsi="新宋体" w:eastAsia="新宋体"/>
          <w:szCs w:val="21"/>
        </w:rPr>
      </w:pPr>
      <w:r>
        <w:rPr>
          <w:rFonts w:hint="eastAsia" w:ascii="新宋体" w:hAnsi="新宋体" w:eastAsia="新宋体"/>
          <w:szCs w:val="21"/>
        </w:rPr>
        <w:t>10.2投标人如对招标文件内容有疑问，必须在招标文件规定的答疑截止时间前以网上提问形式提交集中采购机构。</w:t>
      </w:r>
    </w:p>
    <w:p w14:paraId="02D699DA">
      <w:pPr>
        <w:spacing w:line="360" w:lineRule="auto"/>
        <w:rPr>
          <w:rFonts w:ascii="新宋体" w:hAnsi="新宋体" w:eastAsia="新宋体"/>
          <w:szCs w:val="21"/>
        </w:rPr>
      </w:pPr>
      <w:r>
        <w:rPr>
          <w:rFonts w:hint="eastAsia" w:ascii="新宋体" w:hAnsi="新宋体" w:eastAsia="新宋体"/>
          <w:szCs w:val="21"/>
        </w:rPr>
        <w:t>10.3招标代理机构对疑问所做出的澄清和解答，以书面答复（包括网站发布信息）为准。答疑纪要的有效性规定按照本通用条款第13</w:t>
      </w:r>
      <w:r>
        <w:rPr>
          <w:rFonts w:ascii="新宋体" w:hAnsi="新宋体" w:eastAsia="新宋体"/>
          <w:szCs w:val="21"/>
        </w:rPr>
        <w:t>.3</w:t>
      </w:r>
      <w:r>
        <w:rPr>
          <w:rFonts w:hint="eastAsia" w:ascii="新宋体" w:hAnsi="新宋体" w:eastAsia="新宋体"/>
          <w:szCs w:val="21"/>
        </w:rPr>
        <w:t>、13</w:t>
      </w:r>
      <w:r>
        <w:rPr>
          <w:rFonts w:ascii="新宋体" w:hAnsi="新宋体" w:eastAsia="新宋体"/>
          <w:szCs w:val="21"/>
        </w:rPr>
        <w:t>.4</w:t>
      </w:r>
      <w:r>
        <w:rPr>
          <w:rFonts w:hint="eastAsia" w:ascii="新宋体" w:hAnsi="新宋体" w:eastAsia="新宋体"/>
          <w:szCs w:val="21"/>
        </w:rPr>
        <w:t>款规定执行。</w:t>
      </w:r>
    </w:p>
    <w:p w14:paraId="18330E45">
      <w:pPr>
        <w:spacing w:line="360" w:lineRule="auto"/>
        <w:rPr>
          <w:rFonts w:ascii="新宋体" w:hAnsi="新宋体" w:eastAsia="新宋体"/>
          <w:szCs w:val="21"/>
        </w:rPr>
      </w:pPr>
      <w:r>
        <w:rPr>
          <w:rFonts w:hint="eastAsia" w:ascii="新宋体" w:hAnsi="新宋体" w:eastAsia="新宋体"/>
          <w:szCs w:val="21"/>
        </w:rPr>
        <w:t>10.4如招标代理机构认为有必要组织现场答疑会，投标人应按照招标文件规定的时间或集中采购机构另行书面通知（包括网站发布的通知）的时间和地点，参与现场答疑会。</w:t>
      </w:r>
    </w:p>
    <w:p w14:paraId="50A56192">
      <w:pPr>
        <w:spacing w:line="360" w:lineRule="auto"/>
        <w:rPr>
          <w:rFonts w:ascii="新宋体" w:hAnsi="新宋体" w:eastAsia="新宋体"/>
          <w:szCs w:val="21"/>
        </w:rPr>
      </w:pPr>
      <w:r>
        <w:rPr>
          <w:rFonts w:hint="eastAsia" w:ascii="新宋体" w:hAnsi="新宋体" w:eastAsia="新宋体"/>
          <w:szCs w:val="21"/>
        </w:rPr>
        <w:t>10.5未参与招标答疑不作为否定投标人资格的理由。</w:t>
      </w:r>
    </w:p>
    <w:p w14:paraId="373E7550">
      <w:pPr>
        <w:spacing w:line="360" w:lineRule="auto"/>
        <w:rPr>
          <w:rFonts w:ascii="新宋体" w:hAnsi="新宋体" w:eastAsia="新宋体"/>
          <w:szCs w:val="21"/>
        </w:rPr>
      </w:pPr>
    </w:p>
    <w:p w14:paraId="5F5E46CD">
      <w:pPr>
        <w:pStyle w:val="6"/>
        <w:rPr>
          <w:rFonts w:ascii="新宋体" w:hAnsi="新宋体" w:eastAsia="新宋体"/>
          <w:kern w:val="44"/>
          <w:sz w:val="30"/>
          <w:szCs w:val="30"/>
        </w:rPr>
      </w:pPr>
      <w:r>
        <w:rPr>
          <w:rFonts w:hint="eastAsia" w:ascii="新宋体" w:hAnsi="新宋体" w:eastAsia="新宋体"/>
          <w:kern w:val="44"/>
          <w:sz w:val="30"/>
          <w:szCs w:val="30"/>
        </w:rPr>
        <w:t>第二章  招标文件</w:t>
      </w:r>
    </w:p>
    <w:p w14:paraId="0E0621CB">
      <w:pPr>
        <w:spacing w:line="360" w:lineRule="auto"/>
        <w:rPr>
          <w:rFonts w:ascii="新宋体" w:hAnsi="新宋体" w:eastAsia="新宋体"/>
          <w:szCs w:val="21"/>
        </w:rPr>
      </w:pPr>
      <w:r>
        <w:rPr>
          <w:rFonts w:hint="eastAsia" w:ascii="新宋体" w:hAnsi="新宋体" w:eastAsia="新宋体"/>
          <w:szCs w:val="21"/>
        </w:rPr>
        <w:t>11．招标文件的编制与组成</w:t>
      </w:r>
    </w:p>
    <w:p w14:paraId="73F6AB08">
      <w:pPr>
        <w:spacing w:line="360" w:lineRule="auto"/>
        <w:rPr>
          <w:rFonts w:ascii="新宋体" w:hAnsi="新宋体" w:eastAsia="新宋体"/>
          <w:szCs w:val="21"/>
        </w:rPr>
      </w:pPr>
      <w:r>
        <w:rPr>
          <w:rFonts w:hint="eastAsia" w:ascii="新宋体" w:hAnsi="新宋体" w:eastAsia="新宋体"/>
          <w:szCs w:val="21"/>
        </w:rPr>
        <w:t>11.1招标文件除以下内容外，招标代理机构在招标（或谈判）期间发出的答疑、澄清或修改等相关公告或通知内容，均是招标文件的组成部分，对投标人起约束作用；</w:t>
      </w:r>
    </w:p>
    <w:p w14:paraId="21627AF7">
      <w:pPr>
        <w:spacing w:line="360" w:lineRule="auto"/>
        <w:rPr>
          <w:rFonts w:ascii="新宋体" w:hAnsi="新宋体" w:eastAsia="新宋体"/>
          <w:szCs w:val="21"/>
        </w:rPr>
      </w:pPr>
      <w:r>
        <w:rPr>
          <w:rFonts w:hint="eastAsia" w:ascii="新宋体" w:hAnsi="新宋体" w:eastAsia="新宋体"/>
          <w:szCs w:val="21"/>
        </w:rPr>
        <w:t>招标文件包括下列内容：</w:t>
      </w:r>
    </w:p>
    <w:p w14:paraId="67BD8583">
      <w:pPr>
        <w:spacing w:line="360" w:lineRule="auto"/>
        <w:rPr>
          <w:rFonts w:ascii="新宋体" w:hAnsi="新宋体" w:eastAsia="新宋体"/>
          <w:b/>
          <w:szCs w:val="21"/>
        </w:rPr>
      </w:pPr>
      <w:r>
        <w:rPr>
          <w:rFonts w:hint="eastAsia" w:ascii="新宋体" w:hAnsi="新宋体" w:eastAsia="新宋体"/>
          <w:b/>
          <w:szCs w:val="21"/>
        </w:rPr>
        <w:t>第一册  专用条款</w:t>
      </w:r>
    </w:p>
    <w:p w14:paraId="21406FCD">
      <w:pPr>
        <w:spacing w:line="360" w:lineRule="auto"/>
        <w:rPr>
          <w:rFonts w:ascii="新宋体" w:hAnsi="新宋体" w:eastAsia="新宋体"/>
          <w:b/>
          <w:szCs w:val="21"/>
        </w:rPr>
      </w:pPr>
      <w:r>
        <w:rPr>
          <w:rFonts w:hint="eastAsia" w:ascii="新宋体" w:hAnsi="新宋体" w:eastAsia="新宋体"/>
          <w:b/>
          <w:szCs w:val="21"/>
        </w:rPr>
        <w:t>关键信息</w:t>
      </w:r>
    </w:p>
    <w:p w14:paraId="6E12EA02">
      <w:pPr>
        <w:spacing w:line="360" w:lineRule="auto"/>
        <w:rPr>
          <w:rFonts w:ascii="新宋体" w:hAnsi="新宋体" w:eastAsia="新宋体"/>
          <w:szCs w:val="21"/>
        </w:rPr>
      </w:pPr>
      <w:r>
        <w:rPr>
          <w:rFonts w:hint="eastAsia" w:ascii="新宋体" w:hAnsi="新宋体" w:eastAsia="新宋体"/>
          <w:szCs w:val="21"/>
        </w:rPr>
        <w:t>第一章  招标公告</w:t>
      </w:r>
    </w:p>
    <w:p w14:paraId="6E4CE029">
      <w:pPr>
        <w:spacing w:line="360" w:lineRule="auto"/>
        <w:rPr>
          <w:rFonts w:ascii="新宋体" w:hAnsi="新宋体" w:eastAsia="新宋体"/>
          <w:szCs w:val="21"/>
        </w:rPr>
      </w:pPr>
      <w:r>
        <w:rPr>
          <w:rFonts w:hint="eastAsia" w:ascii="新宋体" w:hAnsi="新宋体" w:eastAsia="新宋体"/>
          <w:szCs w:val="21"/>
        </w:rPr>
        <w:t>第二章  招标项目需求</w:t>
      </w:r>
    </w:p>
    <w:p w14:paraId="6DD48034">
      <w:pPr>
        <w:spacing w:line="360" w:lineRule="auto"/>
        <w:rPr>
          <w:rFonts w:ascii="新宋体" w:hAnsi="新宋体" w:eastAsia="新宋体"/>
          <w:szCs w:val="21"/>
        </w:rPr>
      </w:pPr>
      <w:r>
        <w:rPr>
          <w:rFonts w:hint="eastAsia" w:ascii="新宋体" w:hAnsi="新宋体" w:eastAsia="新宋体"/>
          <w:szCs w:val="21"/>
        </w:rPr>
        <w:t>第三章  投标文件格式、附件</w:t>
      </w:r>
    </w:p>
    <w:p w14:paraId="5E99926D">
      <w:pPr>
        <w:spacing w:line="360" w:lineRule="auto"/>
        <w:rPr>
          <w:rFonts w:ascii="新宋体" w:hAnsi="新宋体" w:eastAsia="新宋体"/>
          <w:szCs w:val="21"/>
        </w:rPr>
      </w:pPr>
      <w:r>
        <w:rPr>
          <w:rFonts w:hint="eastAsia" w:ascii="新宋体" w:hAnsi="新宋体" w:eastAsia="新宋体"/>
          <w:szCs w:val="21"/>
        </w:rPr>
        <w:t>第四章  合同及履约情况反馈格式</w:t>
      </w:r>
    </w:p>
    <w:p w14:paraId="50054880">
      <w:pPr>
        <w:spacing w:line="360" w:lineRule="auto"/>
        <w:rPr>
          <w:rFonts w:ascii="新宋体" w:hAnsi="新宋体" w:eastAsia="新宋体"/>
          <w:b/>
          <w:szCs w:val="21"/>
        </w:rPr>
      </w:pPr>
      <w:r>
        <w:rPr>
          <w:rFonts w:hint="eastAsia" w:ascii="新宋体" w:hAnsi="新宋体" w:eastAsia="新宋体"/>
          <w:b/>
          <w:szCs w:val="21"/>
        </w:rPr>
        <w:t>第二册  通用条款</w:t>
      </w:r>
    </w:p>
    <w:p w14:paraId="3599004C">
      <w:pPr>
        <w:spacing w:line="360" w:lineRule="auto"/>
        <w:rPr>
          <w:rFonts w:ascii="新宋体" w:hAnsi="新宋体" w:eastAsia="新宋体"/>
          <w:szCs w:val="21"/>
        </w:rPr>
      </w:pPr>
      <w:r>
        <w:rPr>
          <w:rFonts w:hint="eastAsia" w:ascii="新宋体" w:hAnsi="新宋体" w:eastAsia="新宋体"/>
          <w:szCs w:val="21"/>
        </w:rPr>
        <w:t>第一章  总则</w:t>
      </w:r>
    </w:p>
    <w:p w14:paraId="0AC7919B">
      <w:pPr>
        <w:spacing w:line="360" w:lineRule="auto"/>
        <w:rPr>
          <w:rFonts w:ascii="新宋体" w:hAnsi="新宋体" w:eastAsia="新宋体"/>
          <w:szCs w:val="21"/>
        </w:rPr>
      </w:pPr>
      <w:r>
        <w:rPr>
          <w:rFonts w:hint="eastAsia" w:ascii="新宋体" w:hAnsi="新宋体" w:eastAsia="新宋体"/>
          <w:szCs w:val="21"/>
        </w:rPr>
        <w:t>第二章  招标文件</w:t>
      </w:r>
    </w:p>
    <w:p w14:paraId="02265368">
      <w:pPr>
        <w:spacing w:line="360" w:lineRule="auto"/>
        <w:rPr>
          <w:rFonts w:ascii="新宋体" w:hAnsi="新宋体" w:eastAsia="新宋体"/>
          <w:szCs w:val="21"/>
        </w:rPr>
      </w:pPr>
      <w:r>
        <w:rPr>
          <w:rFonts w:hint="eastAsia" w:ascii="新宋体" w:hAnsi="新宋体" w:eastAsia="新宋体"/>
          <w:szCs w:val="21"/>
        </w:rPr>
        <w:t>第三章  投标文件的编制</w:t>
      </w:r>
    </w:p>
    <w:p w14:paraId="125F335C">
      <w:pPr>
        <w:spacing w:line="360" w:lineRule="auto"/>
        <w:rPr>
          <w:rFonts w:ascii="新宋体" w:hAnsi="新宋体" w:eastAsia="新宋体"/>
          <w:szCs w:val="21"/>
        </w:rPr>
      </w:pPr>
      <w:r>
        <w:rPr>
          <w:rFonts w:hint="eastAsia" w:ascii="新宋体" w:hAnsi="新宋体" w:eastAsia="新宋体"/>
          <w:szCs w:val="21"/>
        </w:rPr>
        <w:t>第四章  投标文件的递交</w:t>
      </w:r>
    </w:p>
    <w:p w14:paraId="3C74F703">
      <w:pPr>
        <w:spacing w:line="360" w:lineRule="auto"/>
        <w:rPr>
          <w:rFonts w:ascii="新宋体" w:hAnsi="新宋体" w:eastAsia="新宋体"/>
          <w:szCs w:val="21"/>
        </w:rPr>
      </w:pPr>
      <w:r>
        <w:rPr>
          <w:rFonts w:hint="eastAsia" w:ascii="新宋体" w:hAnsi="新宋体" w:eastAsia="新宋体"/>
          <w:szCs w:val="21"/>
        </w:rPr>
        <w:t>第五章  开标</w:t>
      </w:r>
    </w:p>
    <w:p w14:paraId="3515CDEC">
      <w:pPr>
        <w:spacing w:line="360" w:lineRule="auto"/>
        <w:rPr>
          <w:rFonts w:ascii="新宋体" w:hAnsi="新宋体" w:eastAsia="新宋体"/>
          <w:szCs w:val="21"/>
        </w:rPr>
      </w:pPr>
      <w:r>
        <w:rPr>
          <w:rFonts w:hint="eastAsia" w:ascii="新宋体" w:hAnsi="新宋体" w:eastAsia="新宋体"/>
          <w:szCs w:val="21"/>
        </w:rPr>
        <w:t>第六章  评标要求</w:t>
      </w:r>
    </w:p>
    <w:p w14:paraId="6F311067">
      <w:pPr>
        <w:spacing w:line="360" w:lineRule="auto"/>
        <w:rPr>
          <w:rFonts w:ascii="新宋体" w:hAnsi="新宋体" w:eastAsia="新宋体"/>
          <w:szCs w:val="21"/>
        </w:rPr>
      </w:pPr>
      <w:r>
        <w:rPr>
          <w:rFonts w:hint="eastAsia" w:ascii="新宋体" w:hAnsi="新宋体" w:eastAsia="新宋体"/>
          <w:szCs w:val="21"/>
        </w:rPr>
        <w:t>第七章  评标程序及评标方法</w:t>
      </w:r>
    </w:p>
    <w:p w14:paraId="36580E29">
      <w:pPr>
        <w:spacing w:line="360" w:lineRule="auto"/>
        <w:rPr>
          <w:rFonts w:ascii="新宋体" w:hAnsi="新宋体" w:eastAsia="新宋体"/>
          <w:szCs w:val="21"/>
        </w:rPr>
      </w:pPr>
      <w:r>
        <w:rPr>
          <w:rFonts w:hint="eastAsia" w:ascii="新宋体" w:hAnsi="新宋体" w:eastAsia="新宋体"/>
          <w:szCs w:val="21"/>
        </w:rPr>
        <w:t>第八章  定标及公示</w:t>
      </w:r>
    </w:p>
    <w:p w14:paraId="1D0E083E">
      <w:pPr>
        <w:spacing w:line="360" w:lineRule="auto"/>
        <w:rPr>
          <w:rFonts w:ascii="新宋体" w:hAnsi="新宋体" w:eastAsia="新宋体"/>
          <w:szCs w:val="21"/>
        </w:rPr>
      </w:pPr>
      <w:r>
        <w:rPr>
          <w:rFonts w:hint="eastAsia" w:ascii="新宋体" w:hAnsi="新宋体" w:eastAsia="新宋体"/>
          <w:szCs w:val="21"/>
        </w:rPr>
        <w:t>第九章  公开招标失败的后续处理</w:t>
      </w:r>
    </w:p>
    <w:p w14:paraId="77C781E6">
      <w:pPr>
        <w:spacing w:line="360" w:lineRule="auto"/>
        <w:rPr>
          <w:rFonts w:ascii="新宋体" w:hAnsi="新宋体" w:eastAsia="新宋体"/>
          <w:szCs w:val="21"/>
        </w:rPr>
      </w:pPr>
      <w:r>
        <w:rPr>
          <w:rFonts w:hint="eastAsia" w:ascii="新宋体" w:hAnsi="新宋体" w:eastAsia="新宋体"/>
          <w:szCs w:val="21"/>
        </w:rPr>
        <w:t>第十章  合同的授予与备案</w:t>
      </w:r>
    </w:p>
    <w:p w14:paraId="76FFF863">
      <w:pPr>
        <w:spacing w:line="360" w:lineRule="auto"/>
        <w:rPr>
          <w:rFonts w:ascii="新宋体" w:hAnsi="新宋体" w:eastAsia="新宋体"/>
          <w:szCs w:val="21"/>
        </w:rPr>
      </w:pPr>
      <w:r>
        <w:rPr>
          <w:rFonts w:hint="eastAsia" w:ascii="新宋体" w:hAnsi="新宋体" w:eastAsia="新宋体"/>
          <w:szCs w:val="21"/>
        </w:rPr>
        <w:t>第十一章  质疑处理</w:t>
      </w:r>
    </w:p>
    <w:p w14:paraId="3A7E8DDB">
      <w:pPr>
        <w:spacing w:line="360" w:lineRule="auto"/>
        <w:rPr>
          <w:rFonts w:ascii="新宋体" w:hAnsi="新宋体" w:eastAsia="新宋体"/>
          <w:szCs w:val="21"/>
        </w:rPr>
      </w:pPr>
      <w:r>
        <w:rPr>
          <w:rFonts w:hint="eastAsia" w:ascii="新宋体" w:hAnsi="新宋体" w:eastAsia="新宋体"/>
          <w:szCs w:val="21"/>
        </w:rPr>
        <w:t>11.2 投标人获取招标文件后，应仔细检查招标文件的所有内容，如有疑问应在答疑截止时间之前向招标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52F6EB7">
      <w:pPr>
        <w:spacing w:line="360" w:lineRule="auto"/>
        <w:rPr>
          <w:rFonts w:ascii="新宋体" w:hAnsi="新宋体" w:eastAsia="新宋体"/>
          <w:szCs w:val="21"/>
        </w:rPr>
      </w:pPr>
      <w:r>
        <w:rPr>
          <w:rFonts w:hint="eastAsia" w:ascii="新宋体" w:hAnsi="新宋体" w:eastAsia="新宋体"/>
          <w:szCs w:val="21"/>
        </w:rPr>
        <w:t>11.3任何人或任何组织向投标人提交的任何书面或口头资料，未经招标代理机构在网上发布或书面通知，均作无效处理，不得作为招标文件的组成部分。招标代理机构对投标人由此而做出的推论、理解和结论概不负责。</w:t>
      </w:r>
    </w:p>
    <w:p w14:paraId="7FA061EA">
      <w:pPr>
        <w:spacing w:line="360" w:lineRule="auto"/>
        <w:rPr>
          <w:rFonts w:ascii="新宋体" w:hAnsi="新宋体" w:eastAsia="新宋体"/>
          <w:szCs w:val="21"/>
        </w:rPr>
      </w:pPr>
      <w:r>
        <w:rPr>
          <w:rFonts w:hint="eastAsia" w:ascii="新宋体" w:hAnsi="新宋体" w:eastAsia="新宋体"/>
          <w:szCs w:val="21"/>
        </w:rPr>
        <w:t>12．招标文件的澄清</w:t>
      </w:r>
    </w:p>
    <w:p w14:paraId="286EC92E">
      <w:pPr>
        <w:spacing w:line="360" w:lineRule="auto"/>
        <w:rPr>
          <w:rFonts w:ascii="新宋体" w:hAnsi="新宋体" w:eastAsia="新宋体"/>
          <w:szCs w:val="21"/>
        </w:rPr>
      </w:pPr>
      <w:r>
        <w:rPr>
          <w:rFonts w:hint="eastAsia" w:ascii="新宋体" w:hAnsi="新宋体" w:eastAsia="新宋体"/>
          <w:szCs w:val="21"/>
        </w:rPr>
        <w:t>12.1投标人如对招标文件内容有疑问，必须在招标文件规定的答疑截止时间前提交给招标代理机构。不论是招标代理机构根据需要主动对招标文件进行必要的澄清或是根据投标人的要求对招标文件做出澄清，</w:t>
      </w:r>
      <w:r>
        <w:rPr>
          <w:rFonts w:hint="eastAsia" w:ascii="新宋体" w:hAnsi="新宋体" w:eastAsia="新宋体"/>
          <w:color w:val="FF0000"/>
          <w:szCs w:val="21"/>
        </w:rPr>
        <w:t>招标代理机构都将在投标截止日期前以书面形式（包括招标代理机构网站公开发布方式）答复或发送给所有投标人。</w:t>
      </w:r>
      <w:r>
        <w:rPr>
          <w:rFonts w:hint="eastAsia" w:ascii="新宋体" w:hAnsi="新宋体" w:eastAsia="新宋体"/>
          <w:szCs w:val="21"/>
        </w:rPr>
        <w:t>澄清纪要作为招标文件的组成部分，对投标人起约束作用；</w:t>
      </w:r>
    </w:p>
    <w:p w14:paraId="5F2A371C">
      <w:pPr>
        <w:spacing w:line="360" w:lineRule="auto"/>
        <w:rPr>
          <w:rFonts w:ascii="新宋体" w:hAnsi="新宋体" w:eastAsia="新宋体"/>
          <w:szCs w:val="21"/>
        </w:rPr>
      </w:pPr>
      <w:r>
        <w:rPr>
          <w:rFonts w:hint="eastAsia" w:ascii="新宋体" w:hAnsi="新宋体" w:eastAsia="新宋体"/>
          <w:szCs w:val="21"/>
        </w:rPr>
        <w:t>12.2对于没有提出澄清又参与了该项目投标的供应商将被视为完全认同该招标文件（含澄清纪要），</w:t>
      </w:r>
      <w:r>
        <w:rPr>
          <w:rFonts w:hint="eastAsia" w:ascii="新宋体" w:hAnsi="新宋体" w:eastAsia="新宋体"/>
          <w:color w:val="FF0000"/>
          <w:szCs w:val="21"/>
        </w:rPr>
        <w:t>投标截止期后不再受理针对招标文件的相关质疑或投诉。</w:t>
      </w:r>
    </w:p>
    <w:p w14:paraId="5C28DDEA">
      <w:pPr>
        <w:spacing w:line="360" w:lineRule="auto"/>
        <w:rPr>
          <w:rFonts w:ascii="新宋体" w:hAnsi="新宋体" w:eastAsia="新宋体"/>
          <w:szCs w:val="21"/>
        </w:rPr>
      </w:pPr>
      <w:r>
        <w:rPr>
          <w:rFonts w:hint="eastAsia" w:ascii="新宋体" w:hAnsi="新宋体" w:eastAsia="新宋体"/>
          <w:szCs w:val="21"/>
        </w:rPr>
        <w:t>12.3 对招标文件中描述有歧意或前后不一致的地方，评审委员会有权进行评判，但对同一条款的评判应适用于每个投标人。</w:t>
      </w:r>
    </w:p>
    <w:p w14:paraId="2507766B">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3．招标文件的修改</w:t>
      </w:r>
    </w:p>
    <w:p w14:paraId="5B2272B0">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3.1招标文件发出后，在投标截止日期前任何时候，确需要变更招标内容的，招标代理机构可主动或在解答投标人提出的澄清问题时对招标文件进行修改；</w:t>
      </w:r>
    </w:p>
    <w:p w14:paraId="5CFB9DCC">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3.2招标文件的修改以书面形式（包括网站公开发布方式）发送给所有投标人，招标文件的修改内容作为招标文件的组成部分，并具有约束力。</w:t>
      </w:r>
    </w:p>
    <w:p w14:paraId="677D57E0">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3.3招标文件、招标文件澄清（答疑）纪要、招标文件修改补充通知内容均以书面（包括网站公开发布方式）明确的内容为准。当招标文件、修改补充通知、澄清（答疑）纪要内容相互矛盾时，以最后发出的内容为准；</w:t>
      </w:r>
    </w:p>
    <w:p w14:paraId="3E5AA886">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3.4招标代理机构保证招标文件澄清（答疑）纪要和招标文件修改补充通知在投标截止时间前以网站公开发布形式或书面形式发送给所有投标人。为使投标人在编写投标文件时有充分时间对招标文件的修改部分进行研究，招标代理机构可以酌情延长递交投标文件的截止日期，具体时间将在修改补充通知中明确。</w:t>
      </w:r>
    </w:p>
    <w:p w14:paraId="2F9F85E3">
      <w:pPr>
        <w:spacing w:line="360" w:lineRule="auto"/>
      </w:pPr>
    </w:p>
    <w:p w14:paraId="15C4A1C4">
      <w:pPr>
        <w:pStyle w:val="6"/>
        <w:rPr>
          <w:rFonts w:ascii="新宋体" w:hAnsi="新宋体" w:eastAsia="新宋体"/>
          <w:kern w:val="44"/>
          <w:sz w:val="30"/>
          <w:szCs w:val="30"/>
        </w:rPr>
      </w:pPr>
      <w:r>
        <w:rPr>
          <w:rFonts w:hint="eastAsia" w:ascii="新宋体" w:hAnsi="新宋体" w:eastAsia="新宋体"/>
          <w:kern w:val="44"/>
          <w:sz w:val="30"/>
          <w:szCs w:val="30"/>
        </w:rPr>
        <w:t>第三章  投标文件的编制</w:t>
      </w:r>
    </w:p>
    <w:p w14:paraId="115EC8F4">
      <w:pPr>
        <w:spacing w:line="360" w:lineRule="auto"/>
        <w:rPr>
          <w:rFonts w:ascii="新宋体" w:hAnsi="新宋体" w:eastAsia="新宋体"/>
          <w:szCs w:val="21"/>
        </w:rPr>
      </w:pPr>
      <w:r>
        <w:rPr>
          <w:rFonts w:hint="eastAsia" w:ascii="新宋体" w:hAnsi="新宋体" w:eastAsia="新宋体"/>
          <w:szCs w:val="21"/>
        </w:rPr>
        <w:t>14．投标文件的语言及度量单位</w:t>
      </w:r>
    </w:p>
    <w:p w14:paraId="28AE78A0">
      <w:pPr>
        <w:spacing w:line="360" w:lineRule="auto"/>
        <w:rPr>
          <w:rFonts w:ascii="新宋体" w:hAnsi="新宋体" w:eastAsia="新宋体"/>
          <w:szCs w:val="21"/>
        </w:rPr>
      </w:pPr>
      <w:r>
        <w:rPr>
          <w:rFonts w:hint="eastAsia" w:ascii="新宋体" w:hAnsi="新宋体" w:eastAsia="新宋体"/>
          <w:szCs w:val="21"/>
        </w:rPr>
        <w:t>14.1 投标人与招标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92E3C39">
      <w:pPr>
        <w:spacing w:line="360" w:lineRule="auto"/>
        <w:rPr>
          <w:rFonts w:ascii="新宋体" w:hAnsi="新宋体" w:eastAsia="新宋体"/>
          <w:szCs w:val="21"/>
        </w:rPr>
      </w:pPr>
      <w:r>
        <w:rPr>
          <w:rFonts w:hint="eastAsia" w:ascii="新宋体" w:hAnsi="新宋体" w:eastAsia="新宋体"/>
          <w:szCs w:val="21"/>
        </w:rPr>
        <w:t>14.2 除技术规范另有规定外，投标文件使用的度量单位，均采用中华人民共和国法定计量单位。</w:t>
      </w:r>
    </w:p>
    <w:p w14:paraId="058052A1">
      <w:pPr>
        <w:spacing w:line="360" w:lineRule="auto"/>
        <w:rPr>
          <w:rFonts w:ascii="新宋体" w:hAnsi="新宋体" w:eastAsia="新宋体"/>
          <w:szCs w:val="21"/>
        </w:rPr>
      </w:pPr>
      <w:r>
        <w:rPr>
          <w:rFonts w:hint="eastAsia" w:ascii="新宋体" w:hAnsi="新宋体" w:eastAsia="新宋体"/>
          <w:szCs w:val="21"/>
        </w:rPr>
        <w:t>15．投标文件的组成</w:t>
      </w:r>
    </w:p>
    <w:p w14:paraId="4101C2E3">
      <w:pPr>
        <w:spacing w:line="360" w:lineRule="auto"/>
        <w:rPr>
          <w:rFonts w:ascii="新宋体" w:hAnsi="新宋体" w:eastAsia="新宋体"/>
          <w:b/>
          <w:szCs w:val="21"/>
        </w:rPr>
      </w:pPr>
      <w:r>
        <w:rPr>
          <w:rFonts w:hint="eastAsia" w:ascii="新宋体" w:hAnsi="新宋体" w:eastAsia="新宋体"/>
          <w:b/>
          <w:szCs w:val="21"/>
        </w:rPr>
        <w:t>具体内容请详见本项目</w:t>
      </w:r>
      <w:r>
        <w:rPr>
          <w:rFonts w:hint="eastAsia" w:ascii="新宋体" w:hAnsi="新宋体" w:eastAsia="新宋体"/>
          <w:b/>
          <w:bCs/>
          <w:szCs w:val="21"/>
        </w:rPr>
        <w:t>招标文件第一册“专用条款”</w:t>
      </w:r>
      <w:r>
        <w:rPr>
          <w:rFonts w:hint="eastAsia" w:ascii="新宋体" w:hAnsi="新宋体" w:eastAsia="新宋体"/>
          <w:b/>
          <w:szCs w:val="21"/>
        </w:rPr>
        <w:t>的相关内容。</w:t>
      </w:r>
    </w:p>
    <w:p w14:paraId="3408EBF0">
      <w:pPr>
        <w:spacing w:line="360" w:lineRule="auto"/>
        <w:rPr>
          <w:rFonts w:ascii="新宋体" w:hAnsi="新宋体" w:eastAsia="新宋体"/>
          <w:szCs w:val="21"/>
        </w:rPr>
      </w:pPr>
      <w:r>
        <w:rPr>
          <w:rFonts w:hint="eastAsia" w:ascii="新宋体" w:hAnsi="新宋体" w:eastAsia="新宋体"/>
          <w:szCs w:val="21"/>
        </w:rPr>
        <w:t>16．投标文件格式</w:t>
      </w:r>
    </w:p>
    <w:p w14:paraId="783F4861">
      <w:pPr>
        <w:spacing w:line="360" w:lineRule="auto"/>
        <w:rPr>
          <w:rFonts w:ascii="新宋体" w:hAnsi="新宋体" w:eastAsia="新宋体"/>
          <w:szCs w:val="21"/>
        </w:rPr>
      </w:pPr>
      <w:r>
        <w:rPr>
          <w:rFonts w:hint="eastAsia" w:ascii="新宋体" w:hAnsi="新宋体" w:eastAsia="新宋体"/>
          <w:szCs w:val="21"/>
        </w:rPr>
        <w:t>投标文件包括本通用条款第15条中规定的内容。如招标文件提供了投标文件格式，则</w:t>
      </w:r>
      <w:r>
        <w:rPr>
          <w:rFonts w:hint="eastAsia" w:ascii="新宋体" w:hAnsi="新宋体" w:eastAsia="新宋体"/>
          <w:b/>
          <w:bCs/>
          <w:szCs w:val="21"/>
        </w:rPr>
        <w:t>投标人提交的投标文件应毫无例外地使用招标文件所提供的相应格式</w:t>
      </w:r>
      <w:r>
        <w:rPr>
          <w:rFonts w:hint="eastAsia" w:ascii="新宋体" w:hAnsi="新宋体" w:eastAsia="新宋体"/>
          <w:szCs w:val="21"/>
        </w:rPr>
        <w:t>（表格可以按同样格式扩展）。</w:t>
      </w:r>
    </w:p>
    <w:p w14:paraId="0D4EB367">
      <w:pPr>
        <w:spacing w:line="360" w:lineRule="auto"/>
        <w:rPr>
          <w:rFonts w:ascii="新宋体" w:hAnsi="新宋体" w:eastAsia="新宋体"/>
          <w:szCs w:val="21"/>
        </w:rPr>
      </w:pPr>
      <w:r>
        <w:rPr>
          <w:rFonts w:hint="eastAsia" w:ascii="新宋体" w:hAnsi="新宋体" w:eastAsia="新宋体"/>
          <w:szCs w:val="21"/>
        </w:rPr>
        <w:t>17．投标货币</w:t>
      </w:r>
    </w:p>
    <w:p w14:paraId="51ED44EF">
      <w:pPr>
        <w:spacing w:line="360" w:lineRule="auto"/>
        <w:rPr>
          <w:rFonts w:ascii="新宋体" w:hAnsi="新宋体" w:eastAsia="新宋体"/>
          <w:szCs w:val="21"/>
        </w:rPr>
      </w:pPr>
      <w:r>
        <w:rPr>
          <w:rFonts w:hint="eastAsia" w:ascii="新宋体" w:hAnsi="新宋体" w:eastAsia="新宋体"/>
          <w:szCs w:val="21"/>
        </w:rPr>
        <w:t>本项目的投标应以人民币计。</w:t>
      </w:r>
    </w:p>
    <w:p w14:paraId="288B2061">
      <w:pPr>
        <w:spacing w:line="360" w:lineRule="auto"/>
        <w:rPr>
          <w:rFonts w:ascii="新宋体" w:hAnsi="新宋体" w:eastAsia="新宋体"/>
          <w:szCs w:val="21"/>
        </w:rPr>
      </w:pPr>
      <w:r>
        <w:rPr>
          <w:rFonts w:hint="eastAsia" w:ascii="新宋体" w:hAnsi="新宋体" w:eastAsia="新宋体"/>
          <w:szCs w:val="21"/>
        </w:rPr>
        <w:t>18．证明投标文件投标技术方案的合格性和符合招标文件规定的文件要求</w:t>
      </w:r>
    </w:p>
    <w:p w14:paraId="7816B87D">
      <w:pPr>
        <w:spacing w:line="360" w:lineRule="auto"/>
        <w:rPr>
          <w:rFonts w:ascii="新宋体" w:hAnsi="新宋体" w:eastAsia="新宋体"/>
          <w:szCs w:val="21"/>
        </w:rPr>
      </w:pPr>
      <w:r>
        <w:rPr>
          <w:rFonts w:hint="eastAsia" w:ascii="新宋体" w:hAnsi="新宋体" w:eastAsia="新宋体"/>
          <w:szCs w:val="21"/>
        </w:rPr>
        <w:t>18</w:t>
      </w:r>
      <w:r>
        <w:rPr>
          <w:rFonts w:ascii="新宋体" w:hAnsi="新宋体" w:eastAsia="新宋体"/>
          <w:szCs w:val="21"/>
        </w:rPr>
        <w:t xml:space="preserve">.1 </w:t>
      </w:r>
      <w:r>
        <w:rPr>
          <w:rFonts w:hint="eastAsia" w:ascii="新宋体" w:hAnsi="新宋体" w:eastAsia="新宋体"/>
          <w:szCs w:val="21"/>
        </w:rPr>
        <w:t>投标人应提交证明文件证明其投标技术方案项下的货物、工程和服务的合格性符合招标文件规定。该投标技术方案及其证明文件作为投标文件的一部分。</w:t>
      </w:r>
    </w:p>
    <w:p w14:paraId="398029EA">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8</w:t>
      </w:r>
      <w:r>
        <w:rPr>
          <w:rFonts w:ascii="新宋体" w:hAnsi="新宋体" w:eastAsia="新宋体"/>
          <w:szCs w:val="21"/>
        </w:rPr>
        <w:t xml:space="preserve">.2 </w:t>
      </w:r>
      <w:r>
        <w:rPr>
          <w:rFonts w:hint="eastAsia" w:ascii="新宋体" w:hAnsi="新宋体" w:eastAsia="新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781CE53">
      <w:pPr>
        <w:spacing w:line="360" w:lineRule="auto"/>
        <w:rPr>
          <w:rFonts w:ascii="新宋体" w:hAnsi="新宋体" w:eastAsia="新宋体"/>
          <w:szCs w:val="21"/>
        </w:rPr>
      </w:pPr>
      <w:r>
        <w:rPr>
          <w:rFonts w:hint="eastAsia" w:ascii="新宋体" w:hAnsi="新宋体" w:eastAsia="新宋体"/>
          <w:szCs w:val="21"/>
        </w:rPr>
        <w:t>18.2.1主要技术指标和性能的详细说明。</w:t>
      </w:r>
    </w:p>
    <w:p w14:paraId="7C78FBAF">
      <w:pPr>
        <w:spacing w:line="360" w:lineRule="auto"/>
        <w:rPr>
          <w:rFonts w:ascii="新宋体" w:hAnsi="新宋体" w:eastAsia="新宋体"/>
          <w:szCs w:val="21"/>
        </w:rPr>
      </w:pPr>
      <w:r>
        <w:rPr>
          <w:rFonts w:hint="eastAsia" w:ascii="新宋体" w:hAnsi="新宋体" w:eastAsia="新宋体"/>
          <w:szCs w:val="21"/>
        </w:rPr>
        <w:t>18.2.</w:t>
      </w:r>
      <w:r>
        <w:rPr>
          <w:rFonts w:ascii="新宋体" w:hAnsi="新宋体" w:eastAsia="新宋体"/>
          <w:szCs w:val="21"/>
        </w:rPr>
        <w:t>2</w:t>
      </w:r>
      <w:r>
        <w:rPr>
          <w:rFonts w:hint="eastAsia" w:ascii="新宋体" w:hAnsi="新宋体" w:eastAsia="新宋体"/>
          <w:szCs w:val="21"/>
        </w:rPr>
        <w:t>投标产品从采购人开始使用至招标文件中规定的周期内正常、连续地使用所必须的备件和专用工具清单，包括备件和专用工具的货源及现行价格。</w:t>
      </w:r>
    </w:p>
    <w:p w14:paraId="54CA5FA8">
      <w:pPr>
        <w:spacing w:line="360" w:lineRule="auto"/>
        <w:rPr>
          <w:rFonts w:ascii="新宋体" w:hAnsi="新宋体" w:eastAsia="新宋体"/>
          <w:szCs w:val="21"/>
        </w:rPr>
      </w:pPr>
      <w:r>
        <w:rPr>
          <w:rFonts w:hint="eastAsia" w:ascii="新宋体" w:hAnsi="新宋体" w:eastAsia="新宋体"/>
          <w:szCs w:val="21"/>
        </w:rPr>
        <w:t>18.2.</w:t>
      </w:r>
      <w:r>
        <w:rPr>
          <w:rFonts w:ascii="新宋体" w:hAnsi="新宋体" w:eastAsia="新宋体"/>
          <w:szCs w:val="21"/>
        </w:rPr>
        <w:t>3</w:t>
      </w:r>
      <w:r>
        <w:rPr>
          <w:rFonts w:hint="eastAsia" w:ascii="新宋体" w:hAnsi="新宋体" w:eastAsia="新宋体"/>
          <w:szCs w:val="21"/>
        </w:rPr>
        <w:t>对照招标文件技术规格，逐条说明投标技术方案已对采购人的技术规格做出了实质性的响应，或申明与技术规格条文的偏差和例外。投标人应详细说明投标技术方案中产品的具体参数，不得照搬照抄招标文件的技术要求。</w:t>
      </w:r>
    </w:p>
    <w:p w14:paraId="469E5A0E">
      <w:pPr>
        <w:spacing w:line="360" w:lineRule="auto"/>
        <w:rPr>
          <w:rFonts w:ascii="新宋体" w:hAnsi="新宋体" w:eastAsia="新宋体"/>
          <w:szCs w:val="21"/>
        </w:rPr>
      </w:pPr>
      <w:r>
        <w:rPr>
          <w:rFonts w:hint="eastAsia" w:ascii="新宋体" w:hAnsi="新宋体" w:eastAsia="新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14:paraId="07BD3749">
      <w:pPr>
        <w:spacing w:line="360" w:lineRule="auto"/>
        <w:rPr>
          <w:rFonts w:ascii="新宋体" w:hAnsi="新宋体" w:eastAsia="新宋体"/>
          <w:szCs w:val="21"/>
        </w:rPr>
      </w:pPr>
      <w:r>
        <w:rPr>
          <w:rFonts w:hint="eastAsia" w:ascii="新宋体" w:hAnsi="新宋体" w:eastAsia="新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278426A">
      <w:pPr>
        <w:spacing w:line="360" w:lineRule="auto"/>
        <w:rPr>
          <w:rFonts w:ascii="新宋体" w:hAnsi="新宋体" w:eastAsia="新宋体"/>
          <w:szCs w:val="21"/>
        </w:rPr>
      </w:pPr>
      <w:r>
        <w:rPr>
          <w:rFonts w:hint="eastAsia" w:ascii="新宋体" w:hAnsi="新宋体" w:eastAsia="新宋体"/>
          <w:szCs w:val="21"/>
        </w:rPr>
        <w:t>18.3相关资料不符合18.2款要求的，评审委员会有权认定为投标技术方案不合格响应，其相关分数予以扣减或作投标无效处理。</w:t>
      </w:r>
    </w:p>
    <w:p w14:paraId="0B3972EB">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8</w:t>
      </w:r>
      <w:r>
        <w:rPr>
          <w:rFonts w:ascii="新宋体" w:hAnsi="新宋体" w:eastAsia="新宋体"/>
          <w:szCs w:val="21"/>
        </w:rPr>
        <w:t>.</w:t>
      </w:r>
      <w:r>
        <w:rPr>
          <w:rFonts w:hint="eastAsia" w:ascii="新宋体" w:hAnsi="新宋体" w:eastAsia="新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14:paraId="4641DC13">
      <w:pPr>
        <w:spacing w:line="360" w:lineRule="auto"/>
        <w:rPr>
          <w:rFonts w:ascii="新宋体" w:hAnsi="新宋体" w:eastAsia="新宋体"/>
          <w:szCs w:val="21"/>
        </w:rPr>
      </w:pPr>
      <w:r>
        <w:rPr>
          <w:rFonts w:hint="eastAsia" w:ascii="新宋体" w:hAnsi="新宋体" w:eastAsia="新宋体"/>
          <w:szCs w:val="21"/>
        </w:rPr>
        <w:t>18.5为保证公平公正，除非另有规定或说明，投标人对同一项目投标时，不得同时提供两套或两套以上的投标方案。</w:t>
      </w:r>
    </w:p>
    <w:p w14:paraId="1E19B4A1">
      <w:pPr>
        <w:spacing w:line="360" w:lineRule="auto"/>
        <w:rPr>
          <w:rFonts w:ascii="新宋体" w:hAnsi="新宋体" w:eastAsia="新宋体"/>
          <w:b/>
          <w:szCs w:val="21"/>
        </w:rPr>
      </w:pPr>
      <w:r>
        <w:rPr>
          <w:rFonts w:hint="eastAsia" w:ascii="新宋体" w:hAnsi="新宋体" w:eastAsia="新宋体"/>
          <w:b/>
          <w:szCs w:val="21"/>
        </w:rPr>
        <w:t>19．投标文件其他证明文件的要求</w:t>
      </w:r>
    </w:p>
    <w:p w14:paraId="350DC48F">
      <w:pPr>
        <w:spacing w:line="360" w:lineRule="auto"/>
        <w:rPr>
          <w:rFonts w:ascii="新宋体" w:hAnsi="新宋体" w:eastAsia="新宋体"/>
          <w:szCs w:val="21"/>
        </w:rPr>
      </w:pPr>
      <w:r>
        <w:rPr>
          <w:rFonts w:hint="eastAsia" w:ascii="新宋体" w:hAnsi="新宋体" w:eastAsia="新宋体"/>
          <w:szCs w:val="21"/>
        </w:rPr>
        <w:t xml:space="preserve">    19.1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w:t>
      </w:r>
    </w:p>
    <w:p w14:paraId="3FF78F9D">
      <w:pPr>
        <w:spacing w:line="360" w:lineRule="auto"/>
        <w:rPr>
          <w:rFonts w:ascii="新宋体" w:hAnsi="新宋体" w:eastAsia="新宋体"/>
          <w:szCs w:val="21"/>
        </w:rPr>
      </w:pPr>
      <w:r>
        <w:rPr>
          <w:rFonts w:hint="eastAsia" w:ascii="新宋体" w:hAnsi="新宋体" w:eastAsia="新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73A4232C">
      <w:pPr>
        <w:spacing w:line="360" w:lineRule="auto"/>
        <w:rPr>
          <w:rFonts w:ascii="新宋体" w:hAnsi="新宋体" w:eastAsia="新宋体"/>
          <w:b/>
          <w:szCs w:val="21"/>
        </w:rPr>
      </w:pPr>
      <w:r>
        <w:rPr>
          <w:rFonts w:hint="eastAsia" w:ascii="新宋体" w:hAnsi="新宋体" w:eastAsia="新宋体"/>
          <w:b/>
          <w:szCs w:val="21"/>
        </w:rPr>
        <w:t>20．投标有效期</w:t>
      </w:r>
    </w:p>
    <w:p w14:paraId="589B968B">
      <w:pPr>
        <w:spacing w:line="360" w:lineRule="auto"/>
        <w:rPr>
          <w:rFonts w:ascii="新宋体" w:hAnsi="新宋体" w:eastAsia="新宋体"/>
          <w:szCs w:val="21"/>
        </w:rPr>
      </w:pPr>
      <w:r>
        <w:rPr>
          <w:rFonts w:hint="eastAsia" w:ascii="新宋体" w:hAnsi="新宋体" w:eastAsia="新宋体"/>
          <w:szCs w:val="21"/>
        </w:rPr>
        <w:t>20.1 投标有效期为从投标截止之日算起的日历天数，具体见专用条款中投标有效期的天数要求。在此期限内，所有投标文件均保持有效；</w:t>
      </w:r>
    </w:p>
    <w:p w14:paraId="056B085D">
      <w:pPr>
        <w:spacing w:line="360" w:lineRule="auto"/>
        <w:rPr>
          <w:rFonts w:ascii="新宋体" w:hAnsi="新宋体" w:eastAsia="新宋体"/>
          <w:szCs w:val="21"/>
        </w:rPr>
      </w:pPr>
      <w:r>
        <w:rPr>
          <w:rFonts w:hint="eastAsia" w:ascii="新宋体" w:hAnsi="新宋体" w:eastAsia="新宋体"/>
          <w:szCs w:val="21"/>
        </w:rPr>
        <w:t>20.2 在特殊的情况下，招标代理机构在原定的投标有效期满之前，招标代理机构可以根据需要以书面形式（包括网站公开发布方式）向投标人提出延长投标有效期的要求，对此要求投标人须以书面形式予以答复，投标人可以拒绝招标代理机构此项要求，其投标在原投标有效期满后不再有效。同意延长投标有效期的投标人不能要求也不允许修改其投标文件，但应当相应的延长投标担保有效期；</w:t>
      </w:r>
    </w:p>
    <w:p w14:paraId="7FBD813A">
      <w:pPr>
        <w:spacing w:line="360" w:lineRule="auto"/>
        <w:rPr>
          <w:rFonts w:ascii="新宋体" w:hAnsi="新宋体" w:eastAsia="新宋体"/>
          <w:szCs w:val="21"/>
        </w:rPr>
      </w:pPr>
      <w:r>
        <w:rPr>
          <w:rFonts w:hint="eastAsia" w:ascii="新宋体" w:hAnsi="新宋体" w:eastAsia="新宋体"/>
          <w:szCs w:val="21"/>
        </w:rPr>
        <w:t>20</w:t>
      </w:r>
      <w:r>
        <w:rPr>
          <w:rFonts w:ascii="新宋体" w:hAnsi="新宋体" w:eastAsia="新宋体"/>
          <w:szCs w:val="21"/>
        </w:rPr>
        <w:t>.3</w:t>
      </w:r>
      <w:r>
        <w:rPr>
          <w:rFonts w:hint="eastAsia" w:ascii="新宋体" w:hAnsi="新宋体" w:eastAsia="新宋体"/>
          <w:szCs w:val="21"/>
        </w:rPr>
        <w:t xml:space="preserve"> 中标单位的投标书有效期，截止于完成本招标文件规定的全部项目内容，并通过竣工验收及保修结束。</w:t>
      </w:r>
    </w:p>
    <w:p w14:paraId="0733F407">
      <w:pPr>
        <w:spacing w:line="360" w:lineRule="auto"/>
        <w:rPr>
          <w:rFonts w:ascii="新宋体" w:hAnsi="新宋体" w:eastAsia="新宋体"/>
          <w:b/>
          <w:szCs w:val="21"/>
        </w:rPr>
      </w:pPr>
      <w:r>
        <w:rPr>
          <w:rFonts w:hint="eastAsia" w:ascii="新宋体" w:hAnsi="新宋体" w:eastAsia="新宋体"/>
          <w:b/>
          <w:szCs w:val="21"/>
        </w:rPr>
        <w:t xml:space="preserve">21．关于投标保证金 </w:t>
      </w:r>
    </w:p>
    <w:p w14:paraId="19E07554">
      <w:pPr>
        <w:spacing w:line="360" w:lineRule="auto"/>
        <w:rPr>
          <w:rFonts w:ascii="新宋体" w:hAnsi="新宋体" w:eastAsia="新宋体"/>
          <w:szCs w:val="21"/>
        </w:rPr>
      </w:pPr>
      <w:r>
        <w:rPr>
          <w:rFonts w:hint="eastAsia" w:ascii="新宋体" w:hAnsi="新宋体" w:eastAsia="新宋体"/>
          <w:szCs w:val="21"/>
        </w:rPr>
        <w:t xml:space="preserve">    21.1 自2019年8月15日起，招标代理机构停止收取投标保证金和履约保证金。</w:t>
      </w:r>
    </w:p>
    <w:p w14:paraId="7B485AAF">
      <w:pPr>
        <w:spacing w:line="360" w:lineRule="auto"/>
        <w:rPr>
          <w:rFonts w:ascii="新宋体" w:hAnsi="新宋体" w:eastAsia="新宋体"/>
          <w:szCs w:val="21"/>
        </w:rPr>
      </w:pPr>
      <w:r>
        <w:rPr>
          <w:rFonts w:hint="eastAsia" w:ascii="新宋体" w:hAnsi="新宋体" w:eastAsia="新宋体"/>
          <w:szCs w:val="21"/>
        </w:rPr>
        <w:t xml:space="preserve">    21.2 咨询电话：0755-83948155。</w:t>
      </w:r>
    </w:p>
    <w:p w14:paraId="75240B26">
      <w:pPr>
        <w:spacing w:line="360" w:lineRule="auto"/>
        <w:rPr>
          <w:rFonts w:ascii="新宋体" w:hAnsi="新宋体" w:eastAsia="新宋体"/>
          <w:b/>
          <w:szCs w:val="21"/>
        </w:rPr>
      </w:pPr>
      <w:r>
        <w:rPr>
          <w:rFonts w:hint="eastAsia" w:ascii="新宋体" w:hAnsi="新宋体" w:eastAsia="新宋体"/>
          <w:b/>
          <w:szCs w:val="21"/>
        </w:rPr>
        <w:t>22．投标人的替代方案</w:t>
      </w:r>
    </w:p>
    <w:p w14:paraId="50F615DE">
      <w:pPr>
        <w:spacing w:line="360" w:lineRule="auto"/>
        <w:rPr>
          <w:rFonts w:ascii="新宋体" w:hAnsi="新宋体" w:eastAsia="新宋体"/>
          <w:szCs w:val="21"/>
        </w:rPr>
      </w:pPr>
      <w:r>
        <w:rPr>
          <w:rFonts w:hint="eastAsia" w:ascii="新宋体" w:hAnsi="新宋体" w:eastAsia="新宋体"/>
          <w:szCs w:val="21"/>
        </w:rPr>
        <w:t>22.1投标人所提交的投标文件应完全满足招标文件（包括图纸和技术规范所示的基本技术设计）的要求。除非招标的项目明确允许投标人提交替代方案，否则投标人有关替代方案的条款将初审不通过，投标无效。</w:t>
      </w:r>
    </w:p>
    <w:p w14:paraId="23A34069">
      <w:pPr>
        <w:spacing w:line="360" w:lineRule="auto"/>
        <w:rPr>
          <w:rFonts w:ascii="新宋体" w:hAnsi="新宋体" w:eastAsia="新宋体"/>
          <w:szCs w:val="21"/>
        </w:rPr>
      </w:pPr>
      <w:r>
        <w:rPr>
          <w:rFonts w:hint="eastAsia" w:ascii="新宋体" w:hAnsi="新宋体" w:eastAsia="新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3CDD31EF">
      <w:pPr>
        <w:spacing w:line="360" w:lineRule="auto"/>
        <w:rPr>
          <w:rFonts w:ascii="新宋体" w:hAnsi="新宋体" w:eastAsia="新宋体"/>
          <w:b/>
          <w:color w:val="FF0000"/>
          <w:szCs w:val="21"/>
        </w:rPr>
      </w:pPr>
      <w:r>
        <w:rPr>
          <w:rFonts w:hint="eastAsia" w:ascii="新宋体" w:hAnsi="新宋体" w:eastAsia="新宋体"/>
          <w:b/>
          <w:color w:val="FF0000"/>
          <w:szCs w:val="21"/>
        </w:rPr>
        <w:t>23．</w:t>
      </w:r>
      <w:r>
        <w:rPr>
          <w:rFonts w:ascii="新宋体" w:hAnsi="新宋体" w:eastAsia="新宋体"/>
          <w:b/>
          <w:color w:val="FF0000"/>
          <w:szCs w:val="21"/>
        </w:rPr>
        <w:t>投标文件的</w:t>
      </w:r>
      <w:r>
        <w:rPr>
          <w:rFonts w:hint="eastAsia" w:ascii="新宋体" w:hAnsi="新宋体" w:eastAsia="新宋体"/>
          <w:b/>
          <w:color w:val="FF0000"/>
          <w:szCs w:val="21"/>
        </w:rPr>
        <w:t>制作</w:t>
      </w:r>
      <w:r>
        <w:rPr>
          <w:rFonts w:ascii="新宋体" w:hAnsi="新宋体" w:eastAsia="新宋体"/>
          <w:b/>
          <w:color w:val="FF0000"/>
          <w:szCs w:val="21"/>
        </w:rPr>
        <w:t>要求</w:t>
      </w:r>
    </w:p>
    <w:p w14:paraId="6AA32114">
      <w:pPr>
        <w:spacing w:line="360" w:lineRule="auto"/>
        <w:rPr>
          <w:rFonts w:ascii="新宋体" w:hAnsi="新宋体" w:eastAsia="新宋体"/>
        </w:rPr>
      </w:pPr>
      <w:r>
        <w:rPr>
          <w:rFonts w:hint="eastAsia" w:ascii="新宋体" w:hAnsi="新宋体" w:eastAsia="新宋体"/>
          <w:szCs w:val="21"/>
        </w:rPr>
        <w:t>23.1</w:t>
      </w:r>
      <w:r>
        <w:rPr>
          <w:rFonts w:hint="eastAsia" w:ascii="新宋体" w:hAnsi="新宋体" w:eastAsia="新宋体"/>
        </w:rPr>
        <w:t>投标人应仔细阅读招标文件的所有内容，按招标文件的要求编制投标文件，并保证所提供的全部资料的真实性，以使其投标文件对招标文件做出实质性的响应。</w:t>
      </w:r>
    </w:p>
    <w:p w14:paraId="0BE0E771">
      <w:pPr>
        <w:spacing w:line="360" w:lineRule="auto"/>
        <w:rPr>
          <w:rFonts w:ascii="新宋体" w:hAnsi="新宋体" w:eastAsia="新宋体"/>
        </w:rPr>
      </w:pPr>
      <w:r>
        <w:rPr>
          <w:rFonts w:ascii="新宋体" w:hAnsi="新宋体" w:eastAsia="新宋体"/>
        </w:rPr>
        <w:t>23.2</w:t>
      </w:r>
      <w:r>
        <w:rPr>
          <w:rFonts w:hint="eastAsia" w:ascii="新宋体" w:hAnsi="新宋体" w:eastAsia="新宋体"/>
        </w:rPr>
        <w:t>　投标人提交的投标文件及投标人与采购人或采购代理机构、评标委员会就有关投标的所有来往函电必须使用中文。投标人可以提交其他语言的资料，但应附有中文注释，有差异时以中文为准。</w:t>
      </w:r>
    </w:p>
    <w:p w14:paraId="52441C8E">
      <w:pPr>
        <w:spacing w:line="360" w:lineRule="auto"/>
        <w:rPr>
          <w:rFonts w:ascii="新宋体" w:hAnsi="新宋体" w:eastAsia="新宋体"/>
        </w:rPr>
      </w:pPr>
      <w:r>
        <w:rPr>
          <w:rFonts w:ascii="新宋体" w:hAnsi="新宋体" w:eastAsia="新宋体"/>
        </w:rPr>
        <w:t>23.3</w:t>
      </w:r>
      <w:r>
        <w:rPr>
          <w:rFonts w:hint="eastAsia" w:ascii="新宋体" w:hAnsi="新宋体" w:eastAsia="新宋体"/>
        </w:rPr>
        <w:t>　除技术要求另有规定外，本文件所要求使用的计量单位均采用国家法定的度、量、衡标准单位计量。未列明时亦默认为我国法定计量单位。</w:t>
      </w:r>
    </w:p>
    <w:p w14:paraId="26743EB7">
      <w:pPr>
        <w:spacing w:line="360" w:lineRule="auto"/>
        <w:rPr>
          <w:rFonts w:ascii="新宋体" w:hAnsi="新宋体" w:eastAsia="新宋体"/>
        </w:rPr>
      </w:pPr>
      <w:r>
        <w:rPr>
          <w:rFonts w:ascii="新宋体" w:hAnsi="新宋体" w:eastAsia="新宋体"/>
        </w:rPr>
        <w:t>23.4</w:t>
      </w:r>
      <w:r>
        <w:rPr>
          <w:rFonts w:hint="eastAsia" w:ascii="新宋体" w:hAnsi="新宋体" w:eastAsia="新宋体"/>
        </w:rPr>
        <w:t>　供应商应按招标文件中提供的投标文件格式填写。</w:t>
      </w:r>
    </w:p>
    <w:p w14:paraId="3C819FEB">
      <w:pPr>
        <w:spacing w:line="360" w:lineRule="auto"/>
        <w:rPr>
          <w:rFonts w:ascii="新宋体" w:hAnsi="新宋体" w:eastAsia="新宋体"/>
          <w:szCs w:val="21"/>
        </w:rPr>
      </w:pPr>
      <w:r>
        <w:rPr>
          <w:rFonts w:ascii="新宋体" w:hAnsi="新宋体" w:eastAsia="新宋体"/>
        </w:rPr>
        <w:t>23.5</w:t>
      </w:r>
      <w:r>
        <w:rPr>
          <w:rFonts w:hint="eastAsia" w:ascii="新宋体" w:hAnsi="新宋体" w:eastAsia="新宋体"/>
          <w:szCs w:val="21"/>
        </w:rPr>
        <w:t>投标文件的签署和规定</w:t>
      </w:r>
    </w:p>
    <w:p w14:paraId="0C194EB2">
      <w:pPr>
        <w:spacing w:line="360" w:lineRule="auto"/>
        <w:rPr>
          <w:rFonts w:ascii="新宋体" w:hAnsi="新宋体" w:eastAsia="新宋体"/>
          <w:color w:val="FF0000"/>
          <w:szCs w:val="21"/>
        </w:rPr>
      </w:pPr>
      <w:r>
        <w:rPr>
          <w:rFonts w:ascii="新宋体" w:hAnsi="新宋体" w:eastAsia="新宋体"/>
          <w:szCs w:val="21"/>
        </w:rPr>
        <w:t>23.5.1</w:t>
      </w:r>
      <w:r>
        <w:rPr>
          <w:rFonts w:hint="eastAsia" w:ascii="新宋体" w:hAnsi="新宋体" w:eastAsia="新宋体"/>
          <w:color w:val="FF0000"/>
          <w:szCs w:val="21"/>
        </w:rPr>
        <w:t>投标人应根据招标文件的规定要求提交投标文件，正本1份;副本4份; 电子文件1份(正本有公章的扫描件PDF格式、Word文件格式各一份)。纸质文件的正本和副本应装订成册。正本和副本的封面应注明“正本”或“副本”的字样，当正本和副本、电子版不一致时，以正本为准。投标文件如果未按上述规定提交，采购人或采购代理机构应当拒绝接收。</w:t>
      </w:r>
    </w:p>
    <w:p w14:paraId="7142A7B8">
      <w:pPr>
        <w:spacing w:line="360" w:lineRule="auto"/>
        <w:rPr>
          <w:rFonts w:ascii="新宋体" w:hAnsi="新宋体" w:eastAsia="新宋体"/>
          <w:szCs w:val="21"/>
        </w:rPr>
      </w:pPr>
      <w:r>
        <w:rPr>
          <w:rFonts w:ascii="新宋体" w:hAnsi="新宋体" w:eastAsia="新宋体"/>
          <w:szCs w:val="21"/>
        </w:rPr>
        <w:t>23.5.2</w:t>
      </w:r>
      <w:r>
        <w:rPr>
          <w:rFonts w:hint="eastAsia" w:ascii="新宋体" w:hAnsi="新宋体" w:eastAsia="新宋体"/>
          <w:szCs w:val="21"/>
        </w:rPr>
        <w:t>投标文件应用不褪色的材料打印或书写，并按招标文件要求在签字盖章处盖单位章和由法定代表人或其授权代表签字。投标文件中的任何行间插字、涂改和增删，应加盖单位章或由投标人的法定代表人或其授权的代理人签字确认。否则，在评标时将其视为无效投标。</w:t>
      </w:r>
    </w:p>
    <w:p w14:paraId="453BF47B">
      <w:pPr>
        <w:spacing w:line="360" w:lineRule="auto"/>
        <w:rPr>
          <w:rFonts w:ascii="新宋体" w:hAnsi="新宋体" w:eastAsia="新宋体"/>
          <w:szCs w:val="21"/>
        </w:rPr>
      </w:pPr>
      <w:r>
        <w:rPr>
          <w:rFonts w:ascii="新宋体" w:hAnsi="新宋体" w:eastAsia="新宋体"/>
          <w:szCs w:val="21"/>
        </w:rPr>
        <w:t>23.6.</w:t>
      </w:r>
      <w:r>
        <w:rPr>
          <w:rFonts w:hint="eastAsia" w:ascii="新宋体" w:hAnsi="新宋体" w:eastAsia="新宋体"/>
          <w:szCs w:val="21"/>
        </w:rPr>
        <w:t>投标文件的密封和标记</w:t>
      </w:r>
    </w:p>
    <w:p w14:paraId="365CF9FE">
      <w:pPr>
        <w:spacing w:line="360" w:lineRule="auto"/>
        <w:rPr>
          <w:rFonts w:ascii="新宋体" w:hAnsi="新宋体" w:eastAsia="新宋体"/>
          <w:szCs w:val="21"/>
        </w:rPr>
      </w:pPr>
      <w:r>
        <w:rPr>
          <w:rFonts w:ascii="新宋体" w:hAnsi="新宋体" w:eastAsia="新宋体"/>
          <w:szCs w:val="21"/>
        </w:rPr>
        <w:t>23.6.1</w:t>
      </w:r>
      <w:r>
        <w:rPr>
          <w:rFonts w:hint="eastAsia" w:ascii="新宋体" w:hAnsi="新宋体" w:eastAsia="新宋体"/>
          <w:szCs w:val="21"/>
        </w:rPr>
        <w:t>投标文件应密封包装，封套加贴封条，并在封套的封口处加盖投标人单位公章或由法定代表人或其授权的代理人签字。</w:t>
      </w:r>
    </w:p>
    <w:p w14:paraId="1E8A6C6B">
      <w:pPr>
        <w:spacing w:line="360" w:lineRule="auto"/>
        <w:rPr>
          <w:rFonts w:ascii="新宋体" w:hAnsi="新宋体" w:eastAsia="新宋体"/>
          <w:szCs w:val="21"/>
        </w:rPr>
      </w:pPr>
      <w:r>
        <w:rPr>
          <w:rFonts w:ascii="新宋体" w:hAnsi="新宋体" w:eastAsia="新宋体"/>
          <w:szCs w:val="21"/>
        </w:rPr>
        <w:t>23.6.2</w:t>
      </w:r>
      <w:r>
        <w:rPr>
          <w:rFonts w:hint="eastAsia" w:ascii="新宋体" w:hAnsi="新宋体" w:eastAsia="新宋体"/>
          <w:szCs w:val="21"/>
        </w:rPr>
        <w:t>投标文件如果未按上述规定密封和标记，采购人或采购代理机构应当拒绝接收。</w:t>
      </w:r>
    </w:p>
    <w:p w14:paraId="0FD9CFAF">
      <w:pPr>
        <w:spacing w:line="360" w:lineRule="auto"/>
        <w:rPr>
          <w:rFonts w:ascii="新宋体" w:hAnsi="新宋体" w:eastAsia="新宋体"/>
          <w:color w:val="FF0000"/>
          <w:szCs w:val="21"/>
        </w:rPr>
      </w:pPr>
      <w:r>
        <w:rPr>
          <w:rFonts w:ascii="新宋体" w:hAnsi="新宋体" w:eastAsia="新宋体"/>
          <w:color w:val="FF0000"/>
          <w:szCs w:val="21"/>
        </w:rPr>
        <w:t>23.6.3</w:t>
      </w:r>
      <w:r>
        <w:rPr>
          <w:rFonts w:hint="eastAsia" w:ascii="新宋体" w:hAnsi="新宋体" w:eastAsia="新宋体"/>
          <w:color w:val="FF0000"/>
          <w:szCs w:val="21"/>
        </w:rPr>
        <w:t>为方便开标唱标，投标人应单独将开标一览表另行封装在同一密封套内，并标明开标一览表字样，投标时单独提交，不作为废标条款。</w:t>
      </w:r>
    </w:p>
    <w:p w14:paraId="51EF8918">
      <w:pPr>
        <w:spacing w:line="360" w:lineRule="auto"/>
      </w:pPr>
    </w:p>
    <w:p w14:paraId="5388A194">
      <w:pPr>
        <w:pStyle w:val="6"/>
        <w:rPr>
          <w:rFonts w:ascii="新宋体" w:hAnsi="新宋体" w:eastAsia="新宋体"/>
          <w:kern w:val="44"/>
          <w:sz w:val="30"/>
          <w:szCs w:val="30"/>
        </w:rPr>
      </w:pPr>
      <w:r>
        <w:rPr>
          <w:rFonts w:hint="eastAsia" w:ascii="新宋体" w:hAnsi="新宋体" w:eastAsia="新宋体"/>
          <w:kern w:val="44"/>
          <w:sz w:val="30"/>
          <w:szCs w:val="30"/>
        </w:rPr>
        <w:t>第四章  投标文件的递交</w:t>
      </w:r>
    </w:p>
    <w:p w14:paraId="010D21C6">
      <w:pPr>
        <w:spacing w:line="360" w:lineRule="auto"/>
        <w:rPr>
          <w:rFonts w:ascii="新宋体" w:hAnsi="新宋体" w:eastAsia="新宋体"/>
          <w:color w:val="FF0000"/>
          <w:szCs w:val="21"/>
        </w:rPr>
      </w:pPr>
      <w:r>
        <w:rPr>
          <w:rFonts w:ascii="新宋体" w:hAnsi="新宋体" w:eastAsia="新宋体"/>
          <w:color w:val="FF0000"/>
          <w:szCs w:val="21"/>
        </w:rPr>
        <w:t>24.</w:t>
      </w:r>
      <w:r>
        <w:rPr>
          <w:rFonts w:hint="eastAsia" w:ascii="新宋体" w:hAnsi="新宋体" w:eastAsia="新宋体"/>
          <w:color w:val="FF0000"/>
          <w:szCs w:val="21"/>
        </w:rPr>
        <w:t>投标文件的递交</w:t>
      </w:r>
    </w:p>
    <w:p w14:paraId="4F371D64">
      <w:pPr>
        <w:spacing w:line="360" w:lineRule="auto"/>
        <w:rPr>
          <w:rFonts w:ascii="新宋体" w:hAnsi="新宋体" w:eastAsia="新宋体"/>
          <w:szCs w:val="21"/>
        </w:rPr>
      </w:pPr>
      <w:r>
        <w:rPr>
          <w:rFonts w:ascii="新宋体" w:hAnsi="新宋体" w:eastAsia="新宋体"/>
          <w:szCs w:val="21"/>
        </w:rPr>
        <w:t>24.1</w:t>
      </w:r>
      <w:r>
        <w:rPr>
          <w:rFonts w:hint="eastAsia" w:ascii="新宋体" w:hAnsi="新宋体" w:eastAsia="新宋体"/>
          <w:szCs w:val="21"/>
        </w:rPr>
        <w:t>投标文件应按照招标文件的规定要求投标截止时间之前密封送到指定的地点。采购人或者采购代理机构收到投标文件后，</w:t>
      </w:r>
      <w:r>
        <w:rPr>
          <w:rFonts w:hint="eastAsia" w:ascii="新宋体" w:hAnsi="新宋体" w:eastAsia="新宋体"/>
          <w:color w:val="FF0000"/>
          <w:szCs w:val="21"/>
        </w:rPr>
        <w:t>应当如实记载投标文件的送达时间和密封情况，签收保存，</w:t>
      </w:r>
      <w:r>
        <w:rPr>
          <w:rFonts w:hint="eastAsia" w:ascii="新宋体" w:hAnsi="新宋体" w:eastAsia="新宋体"/>
          <w:szCs w:val="21"/>
        </w:rPr>
        <w:t>并向投标人出具签收回执。任何单位和个人不得在开标前开启投标文件。</w:t>
      </w:r>
    </w:p>
    <w:p w14:paraId="5C89D795">
      <w:pPr>
        <w:spacing w:line="360" w:lineRule="auto"/>
        <w:rPr>
          <w:rFonts w:ascii="新宋体" w:hAnsi="新宋体" w:eastAsia="新宋体"/>
          <w:szCs w:val="21"/>
        </w:rPr>
      </w:pPr>
      <w:r>
        <w:rPr>
          <w:rFonts w:ascii="新宋体" w:hAnsi="新宋体" w:eastAsia="新宋体"/>
          <w:szCs w:val="21"/>
        </w:rPr>
        <w:t>24.2</w:t>
      </w:r>
      <w:r>
        <w:rPr>
          <w:rFonts w:hint="eastAsia" w:ascii="新宋体" w:hAnsi="新宋体" w:eastAsia="新宋体"/>
          <w:szCs w:val="21"/>
        </w:rPr>
        <w:t>逾期送达或者未按照招标文件要求密封的投标文件，采购人、采购代理机构应当拒收。</w:t>
      </w:r>
    </w:p>
    <w:p w14:paraId="40760FE5">
      <w:pPr>
        <w:spacing w:line="360" w:lineRule="auto"/>
        <w:rPr>
          <w:rFonts w:ascii="新宋体" w:hAnsi="新宋体" w:eastAsia="新宋体"/>
          <w:szCs w:val="21"/>
        </w:rPr>
      </w:pPr>
      <w:r>
        <w:rPr>
          <w:rFonts w:ascii="新宋体" w:hAnsi="新宋体" w:eastAsia="新宋体"/>
          <w:szCs w:val="21"/>
        </w:rPr>
        <w:t>24.3</w:t>
      </w:r>
      <w:r>
        <w:rPr>
          <w:rFonts w:hint="eastAsia" w:ascii="新宋体" w:hAnsi="新宋体" w:eastAsia="新宋体"/>
          <w:szCs w:val="21"/>
        </w:rPr>
        <w:t>投标文件的修改和撤回</w:t>
      </w:r>
    </w:p>
    <w:p w14:paraId="19763608">
      <w:pPr>
        <w:spacing w:line="360" w:lineRule="auto"/>
        <w:rPr>
          <w:rFonts w:ascii="新宋体" w:hAnsi="新宋体" w:eastAsia="新宋体"/>
          <w:szCs w:val="21"/>
        </w:rPr>
      </w:pPr>
      <w:r>
        <w:rPr>
          <w:rFonts w:ascii="新宋体" w:hAnsi="新宋体" w:eastAsia="新宋体"/>
          <w:szCs w:val="21"/>
        </w:rPr>
        <w:t>24.4</w:t>
      </w:r>
      <w:r>
        <w:rPr>
          <w:rFonts w:hint="eastAsia" w:ascii="新宋体" w:hAnsi="新宋体" w:eastAsia="新宋体"/>
          <w:szCs w:val="21"/>
        </w:rPr>
        <w:t>在招标文件的规定投标截止时间前，投标人可以书面形式修改、补充或撤回已递交的投标文件，但应以书面形式通知采购人或采购代理机构。</w:t>
      </w:r>
    </w:p>
    <w:p w14:paraId="646A9644">
      <w:pPr>
        <w:spacing w:line="360" w:lineRule="auto"/>
        <w:rPr>
          <w:rFonts w:ascii="新宋体" w:hAnsi="新宋体" w:eastAsia="新宋体"/>
          <w:szCs w:val="21"/>
        </w:rPr>
      </w:pPr>
      <w:r>
        <w:rPr>
          <w:rFonts w:ascii="新宋体" w:hAnsi="新宋体" w:eastAsia="新宋体"/>
          <w:szCs w:val="21"/>
        </w:rPr>
        <w:t>24.5</w:t>
      </w:r>
      <w:r>
        <w:rPr>
          <w:rFonts w:hint="eastAsia" w:ascii="新宋体" w:hAnsi="新宋体" w:eastAsia="新宋体"/>
          <w:szCs w:val="21"/>
        </w:rPr>
        <w:t>修改、补充的内容为投标文件的组成部分。修改、补充的投标文件应按本章规定编制、签署、密封、标记和递交，并标明“修改、补充”字样。</w:t>
      </w:r>
    </w:p>
    <w:p w14:paraId="27CFDBAF">
      <w:pPr>
        <w:spacing w:line="360" w:lineRule="auto"/>
        <w:rPr>
          <w:rFonts w:ascii="新宋体" w:hAnsi="新宋体" w:eastAsia="新宋体"/>
          <w:szCs w:val="21"/>
        </w:rPr>
      </w:pPr>
      <w:r>
        <w:rPr>
          <w:rFonts w:ascii="新宋体" w:hAnsi="新宋体" w:eastAsia="新宋体"/>
          <w:szCs w:val="21"/>
        </w:rPr>
        <w:t>24.6</w:t>
      </w:r>
      <w:r>
        <w:rPr>
          <w:rFonts w:hint="eastAsia" w:ascii="新宋体" w:hAnsi="新宋体" w:eastAsia="新宋体"/>
          <w:szCs w:val="21"/>
        </w:rPr>
        <w:t>投标人在投标有效期内不得修改、撤销其投标文件。</w:t>
      </w:r>
    </w:p>
    <w:p w14:paraId="4320427C">
      <w:pPr>
        <w:spacing w:line="360" w:lineRule="auto"/>
        <w:rPr>
          <w:rFonts w:ascii="新宋体" w:hAnsi="新宋体" w:eastAsia="新宋体"/>
          <w:color w:val="FF0000"/>
          <w:szCs w:val="21"/>
        </w:rPr>
      </w:pPr>
      <w:r>
        <w:rPr>
          <w:rFonts w:hint="eastAsia" w:ascii="新宋体" w:hAnsi="新宋体" w:eastAsia="新宋体"/>
          <w:color w:val="FF0000"/>
          <w:szCs w:val="21"/>
        </w:rPr>
        <w:t>25．投标截止日期</w:t>
      </w:r>
    </w:p>
    <w:p w14:paraId="770D691E">
      <w:pPr>
        <w:spacing w:line="360" w:lineRule="auto"/>
        <w:rPr>
          <w:rFonts w:ascii="新宋体" w:hAnsi="新宋体" w:eastAsia="新宋体"/>
          <w:szCs w:val="21"/>
        </w:rPr>
      </w:pPr>
      <w:r>
        <w:rPr>
          <w:rFonts w:hint="eastAsia" w:ascii="新宋体" w:hAnsi="新宋体" w:eastAsia="新宋体"/>
          <w:szCs w:val="21"/>
        </w:rPr>
        <w:t>25</w:t>
      </w:r>
      <w:r>
        <w:rPr>
          <w:rFonts w:ascii="新宋体" w:hAnsi="新宋体" w:eastAsia="新宋体"/>
          <w:szCs w:val="21"/>
        </w:rPr>
        <w:t>.</w:t>
      </w:r>
      <w:r>
        <w:rPr>
          <w:rFonts w:hint="eastAsia" w:ascii="新宋体" w:hAnsi="新宋体" w:eastAsia="新宋体"/>
          <w:szCs w:val="21"/>
        </w:rPr>
        <w:t>1投标人应按照招标文件的规定要求投标截止时间之前密封投标文件送到指定的地点，</w:t>
      </w:r>
      <w:r>
        <w:rPr>
          <w:rFonts w:ascii="新宋体" w:hAnsi="新宋体" w:eastAsia="新宋体"/>
          <w:szCs w:val="21"/>
        </w:rPr>
        <w:t>参加开标会。</w:t>
      </w:r>
    </w:p>
    <w:p w14:paraId="0C909C2E">
      <w:pPr>
        <w:spacing w:line="360" w:lineRule="auto"/>
        <w:rPr>
          <w:rFonts w:ascii="新宋体" w:hAnsi="新宋体" w:eastAsia="新宋体"/>
          <w:szCs w:val="21"/>
        </w:rPr>
      </w:pPr>
      <w:r>
        <w:rPr>
          <w:rFonts w:hint="eastAsia" w:ascii="新宋体" w:hAnsi="新宋体" w:eastAsia="新宋体"/>
          <w:szCs w:val="21"/>
        </w:rPr>
        <w:t>25.2招标代理机构可以按本招标文件的规定，通过修改招标文件自行决定酌情延长投标截止期。在此情况下，招标代理机构、采购人和投标人受投标截止期制约的所有权利和义务均应延长至新的截止期。</w:t>
      </w:r>
    </w:p>
    <w:p w14:paraId="2F133A98">
      <w:pPr>
        <w:spacing w:line="360" w:lineRule="auto"/>
        <w:rPr>
          <w:rFonts w:ascii="新宋体" w:hAnsi="新宋体" w:eastAsia="新宋体"/>
          <w:szCs w:val="21"/>
        </w:rPr>
      </w:pPr>
      <w:r>
        <w:rPr>
          <w:rFonts w:hint="eastAsia" w:ascii="新宋体" w:hAnsi="新宋体" w:eastAsia="新宋体"/>
          <w:szCs w:val="21"/>
        </w:rPr>
        <w:t>25</w:t>
      </w:r>
      <w:r>
        <w:rPr>
          <w:rFonts w:ascii="新宋体" w:hAnsi="新宋体" w:eastAsia="新宋体"/>
          <w:szCs w:val="21"/>
        </w:rPr>
        <w:t>.</w:t>
      </w:r>
      <w:r>
        <w:rPr>
          <w:rFonts w:hint="eastAsia" w:ascii="新宋体" w:hAnsi="新宋体" w:eastAsia="新宋体"/>
          <w:szCs w:val="21"/>
        </w:rPr>
        <w:t>3投标截止时间以后，逾期送达或者未按照招标文件要求密封的投标文件，采购人、采购代理机构应当拒收。</w:t>
      </w:r>
    </w:p>
    <w:p w14:paraId="73553E85">
      <w:pPr>
        <w:spacing w:line="360" w:lineRule="auto"/>
        <w:rPr>
          <w:rFonts w:ascii="新宋体" w:hAnsi="新宋体" w:eastAsia="新宋体"/>
          <w:szCs w:val="21"/>
        </w:rPr>
      </w:pPr>
      <w:r>
        <w:rPr>
          <w:rFonts w:hint="eastAsia" w:ascii="新宋体" w:hAnsi="新宋体" w:eastAsia="新宋体"/>
          <w:szCs w:val="21"/>
        </w:rPr>
        <w:t>26. 样品的递交</w:t>
      </w:r>
    </w:p>
    <w:p w14:paraId="2CE2BF8D">
      <w:pPr>
        <w:spacing w:line="360" w:lineRule="auto"/>
        <w:rPr>
          <w:rFonts w:ascii="新宋体" w:hAnsi="新宋体" w:eastAsia="新宋体"/>
          <w:szCs w:val="21"/>
        </w:rPr>
      </w:pPr>
      <w:r>
        <w:rPr>
          <w:rFonts w:hint="eastAsia" w:ascii="新宋体" w:hAnsi="新宋体" w:eastAsia="新宋体"/>
          <w:szCs w:val="21"/>
        </w:rPr>
        <w:t>26.1 一般不得要求投标人提供样品，仅凭书面方式不能准确描述采购需求或者需要对样品进行主观判断以确认是否满足采购需求等特殊情况除外。如确有必要，采购人可以要求投标人提供能反映货物材质或关键部分的尺寸、价值不大的样品,具体见第一册专用条款相关内容。</w:t>
      </w:r>
    </w:p>
    <w:p w14:paraId="72B47BD4">
      <w:pPr>
        <w:spacing w:line="360" w:lineRule="auto"/>
        <w:rPr>
          <w:rFonts w:ascii="新宋体" w:hAnsi="新宋体" w:eastAsia="新宋体"/>
          <w:szCs w:val="21"/>
        </w:rPr>
      </w:pPr>
      <w:r>
        <w:rPr>
          <w:rFonts w:hint="eastAsia" w:ascii="新宋体" w:hAnsi="新宋体" w:eastAsia="新宋体"/>
          <w:szCs w:val="21"/>
        </w:rPr>
        <w:t>26.2投标样品上必须标注“项目名称及项目编号、样品编号、样品名称”等信息，但</w:t>
      </w:r>
      <w:r>
        <w:rPr>
          <w:rFonts w:ascii="新宋体" w:hAnsi="新宋体" w:eastAsia="新宋体"/>
          <w:szCs w:val="21"/>
        </w:rPr>
        <w:t>不</w:t>
      </w:r>
      <w:r>
        <w:rPr>
          <w:rFonts w:hint="eastAsia" w:ascii="新宋体" w:hAnsi="新宋体" w:eastAsia="新宋体"/>
          <w:szCs w:val="21"/>
        </w:rPr>
        <w:t>得显示指向</w:t>
      </w:r>
      <w:r>
        <w:rPr>
          <w:rFonts w:ascii="新宋体" w:hAnsi="新宋体" w:eastAsia="新宋体"/>
          <w:szCs w:val="21"/>
        </w:rPr>
        <w:t>任何</w:t>
      </w:r>
      <w:r>
        <w:rPr>
          <w:rFonts w:hint="eastAsia" w:ascii="新宋体" w:hAnsi="新宋体" w:eastAsia="新宋体"/>
          <w:szCs w:val="21"/>
        </w:rPr>
        <w:t>投标供应商的信息、</w:t>
      </w:r>
      <w:r>
        <w:rPr>
          <w:rFonts w:ascii="新宋体" w:hAnsi="新宋体" w:eastAsia="新宋体"/>
          <w:szCs w:val="21"/>
        </w:rPr>
        <w:t>生产厂家</w:t>
      </w:r>
      <w:r>
        <w:rPr>
          <w:rFonts w:hint="eastAsia" w:ascii="新宋体" w:hAnsi="新宋体" w:eastAsia="新宋体"/>
          <w:szCs w:val="21"/>
        </w:rPr>
        <w:t>的</w:t>
      </w:r>
      <w:r>
        <w:rPr>
          <w:rFonts w:ascii="新宋体" w:hAnsi="新宋体" w:eastAsia="新宋体"/>
          <w:szCs w:val="21"/>
        </w:rPr>
        <w:t>商标，或者</w:t>
      </w:r>
      <w:r>
        <w:rPr>
          <w:rFonts w:hint="eastAsia" w:ascii="新宋体" w:hAnsi="新宋体" w:eastAsia="新宋体"/>
          <w:szCs w:val="21"/>
        </w:rPr>
        <w:t>其他</w:t>
      </w:r>
      <w:r>
        <w:rPr>
          <w:rFonts w:ascii="新宋体" w:hAnsi="新宋体" w:eastAsia="新宋体"/>
          <w:szCs w:val="21"/>
        </w:rPr>
        <w:t>的标记标识</w:t>
      </w:r>
      <w:r>
        <w:rPr>
          <w:rFonts w:hint="eastAsia" w:ascii="新宋体" w:hAnsi="新宋体" w:eastAsia="新宋体"/>
          <w:szCs w:val="21"/>
        </w:rPr>
        <w:t>。需要安装的投标样品必须为安装完整的成品，由投标供应商自行组织安装。</w:t>
      </w:r>
    </w:p>
    <w:p w14:paraId="30A633C0">
      <w:pPr>
        <w:spacing w:line="360" w:lineRule="auto"/>
        <w:rPr>
          <w:rFonts w:ascii="新宋体" w:hAnsi="新宋体" w:eastAsia="新宋体"/>
          <w:szCs w:val="21"/>
        </w:rPr>
      </w:pPr>
      <w:r>
        <w:rPr>
          <w:rFonts w:hint="eastAsia" w:ascii="新宋体" w:hAnsi="新宋体" w:eastAsia="新宋体"/>
          <w:szCs w:val="21"/>
        </w:rPr>
        <w:t>26.2.1样品递交签到：</w:t>
      </w:r>
    </w:p>
    <w:p w14:paraId="0568DE3E">
      <w:pPr>
        <w:spacing w:line="360" w:lineRule="auto"/>
        <w:rPr>
          <w:rFonts w:ascii="新宋体" w:hAnsi="新宋体" w:eastAsia="新宋体"/>
          <w:bCs/>
          <w:szCs w:val="21"/>
        </w:rPr>
      </w:pPr>
      <w:r>
        <w:rPr>
          <w:rFonts w:hint="eastAsia" w:ascii="新宋体" w:hAnsi="新宋体" w:eastAsia="新宋体"/>
          <w:bCs/>
          <w:szCs w:val="21"/>
        </w:rPr>
        <w:t>投标供应商授权人需在本项目投标截止时间前，提供法定代表人证明书（盖公章）、法定代表人授权委托书（盖公章）、授权委托人身份证原件和复印件、样品清单（加盖公章），到代理机构进行样品递交签到。特别注意事项：</w:t>
      </w:r>
    </w:p>
    <w:p w14:paraId="485493F9">
      <w:pPr>
        <w:spacing w:line="360" w:lineRule="auto"/>
        <w:rPr>
          <w:rFonts w:ascii="新宋体" w:hAnsi="新宋体" w:eastAsia="新宋体"/>
          <w:bCs/>
          <w:szCs w:val="21"/>
        </w:rPr>
      </w:pPr>
      <w:r>
        <w:rPr>
          <w:rFonts w:hint="eastAsia" w:ascii="新宋体" w:hAnsi="新宋体" w:eastAsia="新宋体"/>
          <w:bCs/>
          <w:szCs w:val="21"/>
        </w:rPr>
        <w:t>（1）上述资料提供不齐全的，不予签到；</w:t>
      </w:r>
    </w:p>
    <w:p w14:paraId="0D2D09A7">
      <w:pPr>
        <w:spacing w:line="360" w:lineRule="auto"/>
        <w:rPr>
          <w:rFonts w:ascii="新宋体" w:hAnsi="新宋体" w:eastAsia="新宋体"/>
          <w:bCs/>
          <w:szCs w:val="21"/>
        </w:rPr>
      </w:pPr>
      <w:r>
        <w:rPr>
          <w:rFonts w:hint="eastAsia" w:ascii="新宋体" w:hAnsi="新宋体" w:eastAsia="新宋体"/>
          <w:bCs/>
          <w:szCs w:val="21"/>
        </w:rPr>
        <w:t>（2）本项目投标截止时间后，不再受理签到；</w:t>
      </w:r>
    </w:p>
    <w:p w14:paraId="072A6A5E">
      <w:pPr>
        <w:spacing w:line="360" w:lineRule="auto"/>
        <w:rPr>
          <w:rFonts w:ascii="新宋体" w:hAnsi="新宋体" w:eastAsia="新宋体"/>
          <w:bCs/>
          <w:szCs w:val="21"/>
        </w:rPr>
      </w:pPr>
      <w:r>
        <w:rPr>
          <w:rFonts w:hint="eastAsia" w:ascii="新宋体" w:hAnsi="新宋体" w:eastAsia="新宋体"/>
          <w:bCs/>
          <w:szCs w:val="21"/>
        </w:rPr>
        <w:t>（3）未进行签到的，样品不予接收。</w:t>
      </w:r>
    </w:p>
    <w:p w14:paraId="7150A1BA">
      <w:pPr>
        <w:spacing w:line="360" w:lineRule="auto"/>
        <w:rPr>
          <w:rFonts w:ascii="新宋体" w:hAnsi="新宋体" w:eastAsia="新宋体"/>
          <w:szCs w:val="21"/>
        </w:rPr>
      </w:pPr>
      <w:r>
        <w:rPr>
          <w:rFonts w:hint="eastAsia" w:ascii="新宋体" w:hAnsi="新宋体" w:eastAsia="新宋体"/>
          <w:szCs w:val="21"/>
        </w:rPr>
        <w:t>26.2.2 样品接收</w:t>
      </w:r>
    </w:p>
    <w:p w14:paraId="0F16F511">
      <w:pPr>
        <w:spacing w:line="360" w:lineRule="auto"/>
        <w:rPr>
          <w:rFonts w:ascii="新宋体" w:hAnsi="新宋体" w:eastAsia="新宋体"/>
          <w:szCs w:val="21"/>
        </w:rPr>
      </w:pPr>
      <w:r>
        <w:rPr>
          <w:rFonts w:hint="eastAsia" w:ascii="新宋体" w:hAnsi="新宋体" w:eastAsia="新宋体"/>
          <w:szCs w:val="21"/>
        </w:rPr>
        <w:t xml:space="preserve">投标样品接收必须进行身份核对、样品核对、登记确认、顺序编号。 </w:t>
      </w:r>
    </w:p>
    <w:p w14:paraId="4487CFF4">
      <w:pPr>
        <w:spacing w:line="360" w:lineRule="auto"/>
        <w:rPr>
          <w:rFonts w:ascii="新宋体" w:hAnsi="新宋体" w:eastAsia="新宋体"/>
          <w:szCs w:val="21"/>
        </w:rPr>
      </w:pPr>
      <w:r>
        <w:rPr>
          <w:rFonts w:hint="eastAsia" w:ascii="新宋体" w:hAnsi="新宋体" w:eastAsia="新宋体"/>
          <w:szCs w:val="21"/>
        </w:rPr>
        <w:t>（1）身份核对。代理机构核对投标供应商授权委托人提供的“法定代表人证明书（盖公章）、法定代表人授权委托书（盖公章）、授权委托人身份证原件和复印件”。资料不齐全的，不得接收投标样品。</w:t>
      </w:r>
    </w:p>
    <w:p w14:paraId="61BBB8EE">
      <w:pPr>
        <w:spacing w:line="360" w:lineRule="auto"/>
        <w:rPr>
          <w:rFonts w:ascii="新宋体" w:hAnsi="新宋体" w:eastAsia="新宋体"/>
          <w:szCs w:val="21"/>
        </w:rPr>
      </w:pPr>
      <w:r>
        <w:rPr>
          <w:rFonts w:hint="eastAsia" w:ascii="新宋体" w:hAnsi="新宋体" w:eastAsia="新宋体"/>
          <w:szCs w:val="21"/>
        </w:rPr>
        <w:t>（2）样品核对。代理机构工作人员将投标样品与投标供应商提供的《样品清单》（盖公章）进行一一核对。有不一致的或损坏情况的，将要求供应商授权委托人在《样品清单》上注明。</w:t>
      </w:r>
    </w:p>
    <w:p w14:paraId="4886AE46">
      <w:pPr>
        <w:spacing w:line="360" w:lineRule="auto"/>
        <w:rPr>
          <w:rFonts w:ascii="新宋体" w:hAnsi="新宋体" w:eastAsia="新宋体"/>
          <w:color w:val="FF0000"/>
          <w:szCs w:val="21"/>
        </w:rPr>
      </w:pPr>
      <w:r>
        <w:rPr>
          <w:rFonts w:hint="eastAsia" w:ascii="新宋体" w:hAnsi="新宋体" w:eastAsia="新宋体"/>
          <w:color w:val="FF0000"/>
          <w:szCs w:val="21"/>
        </w:rPr>
        <w:t>（3）登记确认。在完成身份核对及样品核对后，投标供应商授权委托人必须在《样品接收登记表》上登记确认。</w:t>
      </w:r>
    </w:p>
    <w:p w14:paraId="428CE0AF">
      <w:pPr>
        <w:spacing w:line="360" w:lineRule="auto"/>
        <w:rPr>
          <w:rFonts w:ascii="新宋体" w:hAnsi="新宋体" w:eastAsia="新宋体"/>
          <w:szCs w:val="21"/>
        </w:rPr>
      </w:pPr>
      <w:r>
        <w:rPr>
          <w:rFonts w:hint="eastAsia" w:ascii="新宋体" w:hAnsi="新宋体" w:eastAsia="新宋体"/>
          <w:szCs w:val="21"/>
        </w:rPr>
        <w:t>（4）顺序编号。代理机构工作人员工作人员按投标样品接收的先后顺序进行编号。</w:t>
      </w:r>
    </w:p>
    <w:p w14:paraId="21242328">
      <w:pPr>
        <w:spacing w:line="360" w:lineRule="auto"/>
        <w:rPr>
          <w:rFonts w:ascii="新宋体" w:hAnsi="新宋体" w:eastAsia="新宋体"/>
          <w:szCs w:val="21"/>
        </w:rPr>
      </w:pPr>
      <w:r>
        <w:rPr>
          <w:rFonts w:hint="eastAsia" w:ascii="新宋体" w:hAnsi="新宋体" w:eastAsia="新宋体"/>
          <w:szCs w:val="21"/>
        </w:rPr>
        <w:t>26.3代理机构工作人员负责组织投标样品摆样，指引供应商授权委托人将投标样品搬运到指定地点摆放、拆除包装，按要求摆放整齐。完成样品摆样后，供应商授权委托人应及时立场，不得在摆样现场滞留。</w:t>
      </w:r>
    </w:p>
    <w:p w14:paraId="199B4FD0">
      <w:pPr>
        <w:spacing w:line="360" w:lineRule="auto"/>
        <w:rPr>
          <w:rFonts w:ascii="新宋体" w:hAnsi="新宋体" w:eastAsia="新宋体"/>
          <w:szCs w:val="21"/>
        </w:rPr>
      </w:pPr>
      <w:r>
        <w:rPr>
          <w:rFonts w:hint="eastAsia" w:ascii="新宋体" w:hAnsi="新宋体" w:eastAsia="新宋体"/>
          <w:szCs w:val="21"/>
        </w:rPr>
        <w:t>26.4样品的退回：</w:t>
      </w:r>
    </w:p>
    <w:p w14:paraId="3318130C">
      <w:pPr>
        <w:spacing w:line="360" w:lineRule="auto"/>
        <w:rPr>
          <w:rFonts w:ascii="新宋体" w:hAnsi="新宋体" w:eastAsia="新宋体"/>
          <w:szCs w:val="21"/>
        </w:rPr>
      </w:pPr>
      <w:r>
        <w:rPr>
          <w:rFonts w:hint="eastAsia" w:ascii="新宋体" w:hAnsi="新宋体" w:eastAsia="新宋体"/>
          <w:szCs w:val="21"/>
        </w:rPr>
        <w:t>（1）未中标的供应商投标样品，代理机构工作人员将按规定进行通知，并要求供应商授权委托人在项目完成评审后的三个工作日内凭身份证及样品受理回执原件办理退回手续。</w:t>
      </w:r>
    </w:p>
    <w:p w14:paraId="0E294E6C">
      <w:pPr>
        <w:spacing w:line="360" w:lineRule="auto"/>
        <w:rPr>
          <w:rFonts w:ascii="新宋体" w:hAnsi="新宋体" w:eastAsia="新宋体"/>
          <w:szCs w:val="21"/>
        </w:rPr>
      </w:pPr>
      <w:r>
        <w:rPr>
          <w:rFonts w:hint="eastAsia" w:ascii="新宋体" w:hAnsi="新宋体" w:eastAsia="新宋体"/>
          <w:szCs w:val="21"/>
        </w:rPr>
        <w:t>（2）中标的供应商投标样品，代理机构工作人员将按规定进行通知，并要求采购人代表在中标通知书发放后三个工作日内凭中标通知书复印件及身份证原件办理领取手续。投标样品移交时，代理机构工作人员将再次核对供应商授权委托人或采购人代表身份、核对《样品清单》，签字确认后并取走样品。</w:t>
      </w:r>
    </w:p>
    <w:p w14:paraId="17306A8C">
      <w:pPr>
        <w:spacing w:line="360" w:lineRule="auto"/>
        <w:rPr>
          <w:rFonts w:ascii="新宋体" w:hAnsi="新宋体" w:eastAsia="新宋体"/>
          <w:szCs w:val="21"/>
        </w:rPr>
      </w:pPr>
      <w:r>
        <w:rPr>
          <w:rFonts w:hint="eastAsia" w:ascii="新宋体" w:hAnsi="新宋体" w:eastAsia="新宋体"/>
          <w:szCs w:val="21"/>
        </w:rPr>
        <w:t>26.5未能及时退回的样品的处理：</w:t>
      </w:r>
    </w:p>
    <w:p w14:paraId="11A9D84E">
      <w:pPr>
        <w:spacing w:line="360" w:lineRule="auto"/>
        <w:rPr>
          <w:rFonts w:ascii="新宋体" w:hAnsi="新宋体" w:eastAsia="新宋体"/>
          <w:szCs w:val="21"/>
        </w:rPr>
      </w:pPr>
      <w:r>
        <w:rPr>
          <w:rFonts w:hint="eastAsia" w:ascii="新宋体" w:hAnsi="新宋体" w:eastAsia="新宋体"/>
          <w:szCs w:val="21"/>
        </w:rPr>
        <w:t>（1）未中标供应商未在规定时间内（项目完成评审后三个工作日）内取回投标样品的，视为放弃取回，代理机构工作人员将定期清理。</w:t>
      </w:r>
    </w:p>
    <w:p w14:paraId="4C4AC0BC">
      <w:pPr>
        <w:spacing w:line="360" w:lineRule="auto"/>
        <w:rPr>
          <w:rFonts w:ascii="新宋体" w:hAnsi="新宋体" w:eastAsia="新宋体"/>
          <w:szCs w:val="21"/>
        </w:rPr>
      </w:pPr>
      <w:r>
        <w:rPr>
          <w:rFonts w:hint="eastAsia" w:ascii="新宋体" w:hAnsi="新宋体" w:eastAsia="新宋体"/>
          <w:szCs w:val="21"/>
        </w:rPr>
        <w:t>（2）采购人未在规定时间内（中标通知书发放后三个工作日内）内领取中标供应商投标样品的，代理机构工作人员将发函或电话敦促。对于拒不领取的中标样品，视同采购人放弃取回，代理机构工作人员将定期清理。</w:t>
      </w:r>
    </w:p>
    <w:p w14:paraId="3317936E">
      <w:pPr>
        <w:spacing w:line="360" w:lineRule="auto"/>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7．</w:t>
      </w:r>
      <w:r>
        <w:rPr>
          <w:rFonts w:ascii="新宋体" w:hAnsi="新宋体" w:eastAsia="新宋体"/>
          <w:szCs w:val="21"/>
        </w:rPr>
        <w:t>投标文件的修改和撤销</w:t>
      </w:r>
    </w:p>
    <w:p w14:paraId="455B38CF">
      <w:pPr>
        <w:spacing w:line="360" w:lineRule="auto"/>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7</w:t>
      </w:r>
      <w:r>
        <w:rPr>
          <w:rFonts w:ascii="新宋体" w:hAnsi="新宋体" w:eastAsia="新宋体"/>
          <w:szCs w:val="21"/>
        </w:rPr>
        <w:t>.</w:t>
      </w:r>
      <w:r>
        <w:rPr>
          <w:rFonts w:hint="eastAsia" w:ascii="新宋体" w:hAnsi="新宋体" w:eastAsia="新宋体"/>
          <w:szCs w:val="21"/>
        </w:rPr>
        <w:t>1</w:t>
      </w:r>
      <w:r>
        <w:rPr>
          <w:rFonts w:ascii="新宋体" w:hAnsi="新宋体" w:eastAsia="新宋体"/>
          <w:szCs w:val="21"/>
        </w:rPr>
        <w:t>投标方在提交投标文件后可对其投标文件进行修改。</w:t>
      </w:r>
    </w:p>
    <w:p w14:paraId="4E8D2201">
      <w:pPr>
        <w:spacing w:line="360" w:lineRule="auto"/>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7</w:t>
      </w:r>
      <w:r>
        <w:rPr>
          <w:rFonts w:ascii="新宋体" w:hAnsi="新宋体" w:eastAsia="新宋体"/>
          <w:szCs w:val="21"/>
        </w:rPr>
        <w:t>.</w:t>
      </w:r>
      <w:r>
        <w:rPr>
          <w:rFonts w:hint="eastAsia" w:ascii="新宋体" w:hAnsi="新宋体" w:eastAsia="新宋体"/>
          <w:szCs w:val="21"/>
        </w:rPr>
        <w:t>2</w:t>
      </w:r>
      <w:r>
        <w:rPr>
          <w:rFonts w:ascii="新宋体" w:hAnsi="新宋体" w:eastAsia="新宋体"/>
          <w:szCs w:val="21"/>
        </w:rPr>
        <w:t>投标截止时间以后不得修改投标文件。</w:t>
      </w:r>
    </w:p>
    <w:p w14:paraId="6DCB2B05">
      <w:pPr>
        <w:spacing w:line="360" w:lineRule="auto"/>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7</w:t>
      </w:r>
      <w:r>
        <w:rPr>
          <w:rFonts w:ascii="新宋体" w:hAnsi="新宋体" w:eastAsia="新宋体"/>
          <w:szCs w:val="21"/>
        </w:rPr>
        <w:t>.</w:t>
      </w:r>
      <w:r>
        <w:rPr>
          <w:rFonts w:hint="eastAsia" w:ascii="新宋体" w:hAnsi="新宋体" w:eastAsia="新宋体"/>
          <w:szCs w:val="21"/>
        </w:rPr>
        <w:t>3从投标截止期至投标人在投标书中确定的投标有效期之间的这段时间内，投标人不得撤回其投标。</w:t>
      </w:r>
    </w:p>
    <w:p w14:paraId="4E7DBBC4">
      <w:pPr>
        <w:spacing w:line="360" w:lineRule="auto"/>
        <w:rPr>
          <w:rFonts w:ascii="新宋体" w:hAnsi="新宋体" w:eastAsia="新宋体"/>
          <w:szCs w:val="21"/>
        </w:rPr>
      </w:pPr>
      <w:r>
        <w:rPr>
          <w:rFonts w:hint="eastAsia" w:ascii="新宋体" w:hAnsi="新宋体" w:eastAsia="新宋体"/>
          <w:szCs w:val="21"/>
        </w:rPr>
        <w:t>27.4招标代理机构不退还投标文件，专用条款另有规定的除外。</w:t>
      </w:r>
    </w:p>
    <w:p w14:paraId="23936179">
      <w:pPr>
        <w:spacing w:line="360" w:lineRule="auto"/>
      </w:pPr>
    </w:p>
    <w:p w14:paraId="7A5FD600">
      <w:pPr>
        <w:pStyle w:val="6"/>
        <w:rPr>
          <w:rFonts w:ascii="新宋体" w:hAnsi="新宋体" w:eastAsia="新宋体"/>
          <w:kern w:val="44"/>
          <w:sz w:val="30"/>
          <w:szCs w:val="30"/>
        </w:rPr>
      </w:pPr>
      <w:r>
        <w:rPr>
          <w:rFonts w:hint="eastAsia" w:ascii="新宋体" w:hAnsi="新宋体" w:eastAsia="新宋体"/>
          <w:kern w:val="44"/>
          <w:sz w:val="30"/>
          <w:szCs w:val="30"/>
        </w:rPr>
        <w:t>第五章 开标</w:t>
      </w:r>
    </w:p>
    <w:p w14:paraId="51F3B286">
      <w:pPr>
        <w:spacing w:line="360" w:lineRule="auto"/>
        <w:rPr>
          <w:rFonts w:ascii="新宋体" w:hAnsi="新宋体" w:eastAsia="新宋体"/>
          <w:szCs w:val="21"/>
        </w:rPr>
      </w:pPr>
      <w:r>
        <w:rPr>
          <w:rFonts w:hint="eastAsia" w:ascii="新宋体" w:hAnsi="新宋体" w:eastAsia="新宋体"/>
          <w:szCs w:val="21"/>
        </w:rPr>
        <w:t>28．开标</w:t>
      </w:r>
    </w:p>
    <w:p w14:paraId="13AC01C7">
      <w:pPr>
        <w:spacing w:line="360" w:lineRule="auto"/>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8</w:t>
      </w:r>
      <w:r>
        <w:rPr>
          <w:rFonts w:ascii="新宋体" w:hAnsi="新宋体" w:eastAsia="新宋体"/>
          <w:szCs w:val="21"/>
        </w:rPr>
        <w:t>.</w:t>
      </w:r>
      <w:r>
        <w:rPr>
          <w:rFonts w:hint="eastAsia" w:ascii="新宋体" w:hAnsi="新宋体" w:eastAsia="新宋体"/>
          <w:szCs w:val="21"/>
        </w:rPr>
        <w:t>1</w:t>
      </w:r>
      <w:r>
        <w:rPr>
          <w:rFonts w:hint="eastAsia" w:ascii="新宋体" w:hAnsi="新宋体" w:eastAsia="新宋体"/>
        </w:rPr>
        <w:t>采购人或采购代理机构在招标文件规定的开标时间和开标地点组织公开开标，邀请投标人参加。投标人不足</w:t>
      </w:r>
      <w:r>
        <w:rPr>
          <w:rFonts w:ascii="新宋体" w:hAnsi="新宋体" w:eastAsia="新宋体"/>
        </w:rPr>
        <w:t>3</w:t>
      </w:r>
      <w:r>
        <w:rPr>
          <w:rFonts w:hint="eastAsia" w:ascii="新宋体" w:hAnsi="新宋体" w:eastAsia="新宋体"/>
        </w:rPr>
        <w:t>家的，不得开标。</w:t>
      </w:r>
    </w:p>
    <w:p w14:paraId="6AA28DAC">
      <w:pPr>
        <w:spacing w:line="360" w:lineRule="auto"/>
        <w:rPr>
          <w:rFonts w:ascii="新宋体" w:hAnsi="新宋体" w:eastAsia="新宋体"/>
        </w:rPr>
      </w:pPr>
      <w:r>
        <w:rPr>
          <w:rFonts w:hint="eastAsia" w:ascii="新宋体" w:hAnsi="新宋体" w:eastAsia="新宋体"/>
          <w:szCs w:val="21"/>
        </w:rPr>
        <w:t xml:space="preserve">28.2 </w:t>
      </w:r>
      <w:r>
        <w:rPr>
          <w:rFonts w:hint="eastAsia" w:ascii="新宋体" w:hAnsi="新宋体" w:eastAsia="新宋体"/>
        </w:rPr>
        <w:t>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14:paraId="2466CCCC">
      <w:pPr>
        <w:spacing w:line="360" w:lineRule="auto"/>
        <w:rPr>
          <w:rFonts w:ascii="新宋体" w:hAnsi="新宋体" w:eastAsia="新宋体"/>
        </w:rPr>
      </w:pPr>
      <w:r>
        <w:rPr>
          <w:rFonts w:hint="eastAsia" w:ascii="新宋体" w:hAnsi="新宋体" w:eastAsia="新宋体"/>
          <w:szCs w:val="21"/>
        </w:rPr>
        <w:t>28.</w:t>
      </w:r>
      <w:r>
        <w:rPr>
          <w:rFonts w:ascii="新宋体" w:hAnsi="新宋体" w:eastAsia="新宋体"/>
          <w:szCs w:val="21"/>
        </w:rPr>
        <w:t>3</w:t>
      </w:r>
      <w:r>
        <w:rPr>
          <w:rFonts w:hint="eastAsia" w:ascii="新宋体" w:hAnsi="新宋体" w:eastAsia="新宋体"/>
        </w:rPr>
        <w:t>未宣读的投标价格等实质性内容，评标时不予承认。</w:t>
      </w:r>
    </w:p>
    <w:p w14:paraId="05C0D7B5">
      <w:pPr>
        <w:spacing w:line="360" w:lineRule="auto"/>
        <w:rPr>
          <w:rFonts w:ascii="新宋体" w:hAnsi="新宋体" w:eastAsia="新宋体"/>
        </w:rPr>
      </w:pPr>
      <w:r>
        <w:rPr>
          <w:rFonts w:ascii="新宋体" w:hAnsi="新宋体" w:eastAsia="新宋体"/>
          <w:szCs w:val="21"/>
        </w:rPr>
        <w:t>28.4</w:t>
      </w:r>
      <w:r>
        <w:rPr>
          <w:rFonts w:hint="eastAsia" w:ascii="新宋体" w:hAnsi="新宋体" w:eastAsia="新宋体"/>
        </w:rPr>
        <w:t>投标人代表及有关人员在开标记录上签字确认。</w:t>
      </w:r>
    </w:p>
    <w:p w14:paraId="0501F1BA">
      <w:pPr>
        <w:spacing w:line="360" w:lineRule="auto"/>
        <w:rPr>
          <w:rFonts w:ascii="新宋体" w:hAnsi="新宋体" w:eastAsia="新宋体"/>
        </w:rPr>
      </w:pPr>
      <w:r>
        <w:rPr>
          <w:rFonts w:ascii="新宋体" w:hAnsi="新宋体" w:eastAsia="新宋体"/>
          <w:szCs w:val="21"/>
        </w:rPr>
        <w:t>28.5</w:t>
      </w:r>
      <w:r>
        <w:rPr>
          <w:rFonts w:hint="eastAsia" w:ascii="新宋体" w:hAnsi="新宋体" w:eastAsia="新宋体"/>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73B9D9B">
      <w:pPr>
        <w:spacing w:line="360" w:lineRule="auto"/>
      </w:pPr>
    </w:p>
    <w:p w14:paraId="0F945125">
      <w:pPr>
        <w:pStyle w:val="6"/>
        <w:rPr>
          <w:rFonts w:ascii="新宋体" w:hAnsi="新宋体" w:eastAsia="新宋体"/>
          <w:kern w:val="44"/>
          <w:sz w:val="30"/>
          <w:szCs w:val="30"/>
        </w:rPr>
      </w:pPr>
      <w:r>
        <w:rPr>
          <w:rFonts w:hint="eastAsia" w:ascii="新宋体" w:hAnsi="新宋体" w:eastAsia="新宋体"/>
          <w:kern w:val="44"/>
          <w:sz w:val="30"/>
          <w:szCs w:val="30"/>
        </w:rPr>
        <w:t>第六章 评标要求</w:t>
      </w:r>
    </w:p>
    <w:p w14:paraId="4CF2FC05">
      <w:pPr>
        <w:spacing w:line="360" w:lineRule="auto"/>
        <w:rPr>
          <w:rFonts w:ascii="新宋体" w:hAnsi="新宋体" w:eastAsia="新宋体"/>
          <w:szCs w:val="21"/>
        </w:rPr>
      </w:pPr>
      <w:r>
        <w:rPr>
          <w:rFonts w:hint="eastAsia" w:ascii="新宋体" w:hAnsi="新宋体" w:eastAsia="新宋体"/>
          <w:szCs w:val="21"/>
        </w:rPr>
        <w:t>29．评审委员会组成</w:t>
      </w:r>
    </w:p>
    <w:p w14:paraId="0C9AB1FE">
      <w:pPr>
        <w:spacing w:line="360" w:lineRule="auto"/>
        <w:rPr>
          <w:rFonts w:ascii="新宋体" w:hAnsi="新宋体" w:eastAsia="新宋体"/>
          <w:szCs w:val="21"/>
        </w:rPr>
      </w:pPr>
      <w:r>
        <w:rPr>
          <w:rFonts w:hint="eastAsia" w:ascii="新宋体" w:hAnsi="新宋体" w:eastAsia="新宋体"/>
          <w:szCs w:val="21"/>
        </w:rPr>
        <w:t>29.1开标结束后召开评标会议，评审委员会由招标代理机构依法组建，负责评标活动。</w:t>
      </w:r>
    </w:p>
    <w:p w14:paraId="0878EC6F">
      <w:pPr>
        <w:spacing w:line="360" w:lineRule="auto"/>
        <w:rPr>
          <w:rFonts w:ascii="新宋体" w:hAnsi="新宋体" w:eastAsia="新宋体"/>
          <w:szCs w:val="21"/>
        </w:rPr>
      </w:pPr>
      <w:r>
        <w:rPr>
          <w:rFonts w:ascii="新宋体" w:hAnsi="新宋体" w:eastAsia="新宋体"/>
          <w:szCs w:val="21"/>
        </w:rPr>
        <w:t>评审委员会由</w:t>
      </w:r>
      <w:r>
        <w:rPr>
          <w:rFonts w:hint="eastAsia" w:ascii="新宋体" w:hAnsi="新宋体" w:eastAsia="新宋体"/>
          <w:szCs w:val="21"/>
        </w:rPr>
        <w:t>采购人代表和</w:t>
      </w:r>
      <w:r>
        <w:rPr>
          <w:rFonts w:ascii="新宋体" w:hAnsi="新宋体" w:eastAsia="新宋体"/>
          <w:szCs w:val="21"/>
        </w:rPr>
        <w:t>评审专家组成，</w:t>
      </w:r>
      <w:r>
        <w:rPr>
          <w:rFonts w:hint="eastAsia" w:ascii="新宋体" w:hAnsi="新宋体" w:eastAsia="新宋体"/>
          <w:szCs w:val="21"/>
        </w:rPr>
        <w:t>成员</w:t>
      </w:r>
      <w:r>
        <w:rPr>
          <w:rFonts w:ascii="新宋体" w:hAnsi="新宋体" w:eastAsia="新宋体"/>
          <w:szCs w:val="21"/>
        </w:rPr>
        <w:t>人数为五人以上的单数</w:t>
      </w:r>
      <w:r>
        <w:rPr>
          <w:rFonts w:hint="eastAsia" w:ascii="新宋体" w:hAnsi="新宋体" w:eastAsia="新宋体"/>
          <w:szCs w:val="21"/>
        </w:rPr>
        <w:t>。评定分离项目</w:t>
      </w:r>
      <w:r>
        <w:rPr>
          <w:rFonts w:ascii="新宋体" w:hAnsi="新宋体" w:eastAsia="新宋体"/>
          <w:szCs w:val="21"/>
        </w:rPr>
        <w:t>评审专家</w:t>
      </w:r>
      <w:r>
        <w:rPr>
          <w:rFonts w:hint="eastAsia" w:ascii="新宋体" w:hAnsi="新宋体" w:eastAsia="新宋体"/>
          <w:szCs w:val="21"/>
        </w:rPr>
        <w:t>均</w:t>
      </w:r>
      <w:r>
        <w:rPr>
          <w:rFonts w:ascii="新宋体" w:hAnsi="新宋体" w:eastAsia="新宋体"/>
          <w:szCs w:val="21"/>
        </w:rPr>
        <w:t>由</w:t>
      </w:r>
      <w:r>
        <w:rPr>
          <w:rFonts w:hint="eastAsia" w:ascii="新宋体" w:hAnsi="新宋体" w:eastAsia="新宋体"/>
          <w:szCs w:val="21"/>
        </w:rPr>
        <w:t>评审专家组成。</w:t>
      </w:r>
      <w:r>
        <w:rPr>
          <w:rFonts w:hint="eastAsia" w:ascii="新宋体" w:hAnsi="新宋体" w:eastAsia="新宋体"/>
          <w:color w:val="FF0000"/>
          <w:szCs w:val="21"/>
        </w:rPr>
        <w:t>为保证评委人选的专业性，以及评标中的公平公正性，评审专家从深圳市财政局评标专家库中随机抽取。</w:t>
      </w:r>
      <w:r>
        <w:rPr>
          <w:rFonts w:hint="eastAsia" w:ascii="新宋体" w:hAnsi="新宋体" w:eastAsia="新宋体"/>
          <w:szCs w:val="21"/>
        </w:rPr>
        <w:t>采购人代表须持本单位签发的《评标授权书》参加评标。</w:t>
      </w:r>
    </w:p>
    <w:p w14:paraId="36E4AD3B">
      <w:pPr>
        <w:spacing w:line="360" w:lineRule="auto"/>
        <w:rPr>
          <w:rFonts w:ascii="新宋体" w:hAnsi="新宋体" w:eastAsia="新宋体"/>
          <w:b/>
          <w:szCs w:val="21"/>
        </w:rPr>
      </w:pPr>
      <w:r>
        <w:rPr>
          <w:rFonts w:hint="eastAsia" w:ascii="新宋体" w:hAnsi="新宋体" w:eastAsia="新宋体"/>
          <w:b/>
          <w:szCs w:val="21"/>
        </w:rPr>
        <w:t>注：《评标授权书》模板可以从“招标代理机构网站”（</w:t>
      </w:r>
      <w:r>
        <w:rPr>
          <w:rFonts w:ascii="新宋体" w:hAnsi="新宋体" w:eastAsia="新宋体"/>
          <w:b/>
          <w:szCs w:val="21"/>
        </w:rPr>
        <w:t>http://www.szzfcg.cn/</w:t>
      </w:r>
      <w:r>
        <w:rPr>
          <w:rFonts w:hint="eastAsia" w:ascii="新宋体" w:hAnsi="新宋体" w:eastAsia="新宋体"/>
          <w:b/>
          <w:szCs w:val="21"/>
        </w:rPr>
        <w:t>）采购人页面下“采购”环节“通用表格”处下载。</w:t>
      </w:r>
    </w:p>
    <w:p w14:paraId="717FBD46">
      <w:pPr>
        <w:spacing w:line="360" w:lineRule="auto"/>
        <w:rPr>
          <w:rFonts w:ascii="新宋体" w:hAnsi="新宋体" w:eastAsia="新宋体"/>
          <w:szCs w:val="21"/>
        </w:rPr>
      </w:pPr>
      <w:r>
        <w:rPr>
          <w:rFonts w:hint="eastAsia" w:ascii="新宋体" w:hAnsi="新宋体" w:eastAsia="新宋体"/>
          <w:szCs w:val="21"/>
        </w:rPr>
        <w:t>29.2评标定标应当遵循公平、公正、科学、择优的原则。</w:t>
      </w:r>
    </w:p>
    <w:p w14:paraId="187EA886">
      <w:pPr>
        <w:spacing w:line="360" w:lineRule="auto"/>
        <w:rPr>
          <w:rFonts w:ascii="新宋体" w:hAnsi="新宋体" w:eastAsia="新宋体"/>
          <w:szCs w:val="21"/>
        </w:rPr>
      </w:pPr>
      <w:r>
        <w:rPr>
          <w:rFonts w:hint="eastAsia" w:ascii="新宋体" w:hAnsi="新宋体" w:eastAsia="新宋体"/>
          <w:szCs w:val="21"/>
        </w:rPr>
        <w:t>29.3评标活动依法进行，任何单位和个人不得非法干预评标过程和结果。</w:t>
      </w:r>
    </w:p>
    <w:p w14:paraId="4FE5C9FF">
      <w:pPr>
        <w:spacing w:line="360" w:lineRule="auto"/>
        <w:rPr>
          <w:rFonts w:ascii="新宋体" w:hAnsi="新宋体" w:eastAsia="新宋体"/>
          <w:szCs w:val="21"/>
        </w:rPr>
      </w:pPr>
      <w:r>
        <w:rPr>
          <w:rFonts w:hint="eastAsia" w:ascii="新宋体" w:hAnsi="新宋体" w:eastAsia="新宋体"/>
          <w:szCs w:val="21"/>
        </w:rPr>
        <w:t>29.4评标过程中不允许违背评标程序或采用招标文件未载明的评标方法或评标因素进行评标。</w:t>
      </w:r>
    </w:p>
    <w:p w14:paraId="58C35766">
      <w:pPr>
        <w:spacing w:line="360" w:lineRule="auto"/>
        <w:rPr>
          <w:rFonts w:ascii="新宋体" w:hAnsi="新宋体" w:eastAsia="新宋体"/>
          <w:bCs/>
          <w:szCs w:val="21"/>
        </w:rPr>
      </w:pPr>
      <w:r>
        <w:rPr>
          <w:rFonts w:hint="eastAsia" w:ascii="新宋体" w:hAnsi="新宋体" w:eastAsia="新宋体"/>
          <w:bCs/>
          <w:szCs w:val="21"/>
        </w:rPr>
        <w:t>29.5 开标后，直到签订合同为止，凡属于对投标文件的审查、澄清、评价和比较的有关资料以及中标候选人的推荐情况、与评标有关的其他任何情况均严格保密（</w:t>
      </w:r>
      <w:r>
        <w:rPr>
          <w:rFonts w:hint="eastAsia" w:ascii="新宋体" w:hAnsi="新宋体" w:eastAsia="新宋体"/>
          <w:szCs w:val="21"/>
        </w:rPr>
        <w:t>信息公开的内容除外</w:t>
      </w:r>
      <w:r>
        <w:rPr>
          <w:rFonts w:hint="eastAsia" w:ascii="新宋体" w:hAnsi="新宋体" w:eastAsia="新宋体"/>
          <w:bCs/>
          <w:szCs w:val="21"/>
        </w:rPr>
        <w:t>）。</w:t>
      </w:r>
    </w:p>
    <w:p w14:paraId="00B56DD9">
      <w:pPr>
        <w:spacing w:line="360" w:lineRule="auto"/>
        <w:rPr>
          <w:rFonts w:ascii="新宋体" w:hAnsi="新宋体" w:eastAsia="新宋体"/>
          <w:szCs w:val="21"/>
        </w:rPr>
      </w:pPr>
      <w:r>
        <w:rPr>
          <w:rFonts w:hint="eastAsia" w:ascii="新宋体" w:hAnsi="新宋体" w:eastAsia="新宋体"/>
          <w:szCs w:val="21"/>
        </w:rPr>
        <w:t>30．向评审委员会提供的资料</w:t>
      </w:r>
    </w:p>
    <w:p w14:paraId="2FF007F8">
      <w:pPr>
        <w:spacing w:line="360" w:lineRule="auto"/>
        <w:rPr>
          <w:rFonts w:ascii="新宋体" w:hAnsi="新宋体" w:eastAsia="新宋体"/>
          <w:szCs w:val="21"/>
        </w:rPr>
      </w:pPr>
      <w:r>
        <w:rPr>
          <w:rFonts w:hint="eastAsia" w:ascii="新宋体" w:hAnsi="新宋体" w:eastAsia="新宋体"/>
          <w:szCs w:val="21"/>
        </w:rPr>
        <w:t>30.1公开发布的招标文件，包括图纸、服务清单、答疑文件等；</w:t>
      </w:r>
    </w:p>
    <w:p w14:paraId="1FEE88CA">
      <w:pPr>
        <w:spacing w:line="360" w:lineRule="auto"/>
        <w:rPr>
          <w:rFonts w:ascii="新宋体" w:hAnsi="新宋体" w:eastAsia="新宋体"/>
          <w:szCs w:val="21"/>
        </w:rPr>
      </w:pPr>
      <w:r>
        <w:rPr>
          <w:rFonts w:hint="eastAsia" w:ascii="新宋体" w:hAnsi="新宋体" w:eastAsia="新宋体"/>
          <w:szCs w:val="21"/>
        </w:rPr>
        <w:t>30.2其他评标必须的资料。</w:t>
      </w:r>
    </w:p>
    <w:p w14:paraId="6DAD0C78">
      <w:pPr>
        <w:spacing w:line="360" w:lineRule="auto"/>
        <w:rPr>
          <w:rFonts w:ascii="新宋体" w:hAnsi="新宋体" w:eastAsia="新宋体"/>
          <w:color w:val="FF0000"/>
          <w:szCs w:val="21"/>
        </w:rPr>
      </w:pPr>
      <w:r>
        <w:rPr>
          <w:rFonts w:hint="eastAsia" w:ascii="新宋体" w:hAnsi="新宋体" w:eastAsia="新宋体"/>
          <w:color w:val="FF0000"/>
          <w:szCs w:val="21"/>
        </w:rPr>
        <w:t>30.3评审委员会应当认真研究招标文件，至少应了解熟悉以下内容：</w:t>
      </w:r>
    </w:p>
    <w:p w14:paraId="290DD3D4">
      <w:pPr>
        <w:spacing w:line="360" w:lineRule="auto"/>
        <w:rPr>
          <w:rFonts w:ascii="新宋体" w:hAnsi="新宋体" w:eastAsia="新宋体"/>
          <w:color w:val="FF0000"/>
          <w:szCs w:val="21"/>
        </w:rPr>
      </w:pPr>
      <w:r>
        <w:rPr>
          <w:rFonts w:hint="eastAsia" w:ascii="新宋体" w:hAnsi="新宋体" w:eastAsia="新宋体"/>
          <w:color w:val="FF0000"/>
          <w:szCs w:val="21"/>
        </w:rPr>
        <w:t>（1）招标的目的；</w:t>
      </w:r>
    </w:p>
    <w:p w14:paraId="00C0DF47">
      <w:pPr>
        <w:spacing w:line="360" w:lineRule="auto"/>
        <w:rPr>
          <w:rFonts w:ascii="新宋体" w:hAnsi="新宋体" w:eastAsia="新宋体"/>
          <w:color w:val="FF0000"/>
          <w:szCs w:val="21"/>
        </w:rPr>
      </w:pPr>
      <w:r>
        <w:rPr>
          <w:rFonts w:hint="eastAsia" w:ascii="新宋体" w:hAnsi="新宋体" w:eastAsia="新宋体"/>
          <w:color w:val="FF0000"/>
          <w:szCs w:val="21"/>
        </w:rPr>
        <w:t>（2）招标项目需求的范围和性质；</w:t>
      </w:r>
    </w:p>
    <w:p w14:paraId="2483F375">
      <w:pPr>
        <w:spacing w:line="360" w:lineRule="auto"/>
        <w:rPr>
          <w:rFonts w:ascii="新宋体" w:hAnsi="新宋体" w:eastAsia="新宋体"/>
          <w:color w:val="FF0000"/>
          <w:szCs w:val="21"/>
        </w:rPr>
      </w:pPr>
      <w:r>
        <w:rPr>
          <w:rFonts w:hint="eastAsia" w:ascii="新宋体" w:hAnsi="新宋体" w:eastAsia="新宋体"/>
          <w:color w:val="FF0000"/>
          <w:szCs w:val="21"/>
        </w:rPr>
        <w:t>（3）招标文件规定的投标人的资格、财政预算限额、商务条款；</w:t>
      </w:r>
    </w:p>
    <w:p w14:paraId="3D630206">
      <w:pPr>
        <w:spacing w:line="360" w:lineRule="auto"/>
        <w:rPr>
          <w:rFonts w:ascii="新宋体" w:hAnsi="新宋体" w:eastAsia="新宋体"/>
          <w:color w:val="FF0000"/>
          <w:szCs w:val="21"/>
        </w:rPr>
      </w:pPr>
      <w:r>
        <w:rPr>
          <w:rFonts w:hint="eastAsia" w:ascii="新宋体" w:hAnsi="新宋体" w:eastAsia="新宋体"/>
          <w:color w:val="FF0000"/>
          <w:szCs w:val="21"/>
        </w:rPr>
        <w:t>（4）招标文件规定的评标程序、评标方法和评标因素；</w:t>
      </w:r>
    </w:p>
    <w:p w14:paraId="62478D1F">
      <w:pPr>
        <w:spacing w:line="360" w:lineRule="auto"/>
        <w:rPr>
          <w:rFonts w:ascii="新宋体" w:hAnsi="新宋体" w:eastAsia="新宋体"/>
          <w:szCs w:val="21"/>
        </w:rPr>
      </w:pPr>
      <w:r>
        <w:rPr>
          <w:rFonts w:hint="eastAsia" w:ascii="新宋体" w:hAnsi="新宋体" w:eastAsia="新宋体"/>
          <w:color w:val="FF0000"/>
          <w:szCs w:val="21"/>
        </w:rPr>
        <w:t>（5）招标文件所列示的资格性审查表及符合性审查表。</w:t>
      </w:r>
    </w:p>
    <w:p w14:paraId="599672FD">
      <w:pPr>
        <w:spacing w:line="360" w:lineRule="auto"/>
        <w:rPr>
          <w:rFonts w:ascii="新宋体" w:hAnsi="新宋体" w:eastAsia="新宋体"/>
          <w:szCs w:val="21"/>
        </w:rPr>
      </w:pPr>
      <w:r>
        <w:rPr>
          <w:rFonts w:hint="eastAsia" w:ascii="新宋体" w:hAnsi="新宋体" w:eastAsia="新宋体"/>
          <w:szCs w:val="21"/>
        </w:rPr>
        <w:t>31．独立评标</w:t>
      </w:r>
    </w:p>
    <w:p w14:paraId="238145D8">
      <w:pPr>
        <w:spacing w:line="360" w:lineRule="auto"/>
        <w:rPr>
          <w:rFonts w:ascii="新宋体" w:hAnsi="新宋体" w:eastAsia="新宋体"/>
          <w:bCs/>
          <w:szCs w:val="21"/>
        </w:rPr>
      </w:pPr>
      <w:r>
        <w:rPr>
          <w:rFonts w:hint="eastAsia" w:ascii="新宋体" w:hAnsi="新宋体" w:eastAsia="新宋体"/>
          <w:bCs/>
          <w:szCs w:val="21"/>
        </w:rPr>
        <w:t>30.1</w:t>
      </w:r>
      <w:r>
        <w:rPr>
          <w:rFonts w:hint="eastAsia" w:ascii="新宋体" w:hAnsi="新宋体" w:eastAsia="新宋体"/>
          <w:szCs w:val="21"/>
        </w:rPr>
        <w:t>评审委员会</w:t>
      </w:r>
      <w:r>
        <w:rPr>
          <w:rFonts w:hint="eastAsia" w:ascii="新宋体" w:hAnsi="新宋体" w:eastAsia="新宋体"/>
          <w:bCs/>
          <w:szCs w:val="21"/>
        </w:rPr>
        <w:t>成员的评标活动应当独立进行，并应遵循投标文件初审、澄清有关问题、比较与评价、确定中标供应商、编写评标报告的工作程序。</w:t>
      </w:r>
    </w:p>
    <w:p w14:paraId="7C82AAFE">
      <w:pPr>
        <w:spacing w:line="360" w:lineRule="auto"/>
      </w:pPr>
    </w:p>
    <w:p w14:paraId="43FD0C65">
      <w:pPr>
        <w:pStyle w:val="6"/>
        <w:rPr>
          <w:rFonts w:ascii="新宋体" w:hAnsi="新宋体" w:eastAsia="新宋体"/>
          <w:kern w:val="44"/>
          <w:sz w:val="30"/>
          <w:szCs w:val="30"/>
        </w:rPr>
      </w:pPr>
      <w:r>
        <w:rPr>
          <w:rFonts w:hint="eastAsia" w:ascii="新宋体" w:hAnsi="新宋体" w:eastAsia="新宋体"/>
          <w:kern w:val="44"/>
          <w:sz w:val="30"/>
          <w:szCs w:val="30"/>
        </w:rPr>
        <w:t>第七章 评标程序及评标方法</w:t>
      </w:r>
    </w:p>
    <w:p w14:paraId="7AB58584">
      <w:pPr>
        <w:spacing w:line="360" w:lineRule="auto"/>
        <w:rPr>
          <w:rFonts w:ascii="新宋体" w:hAnsi="新宋体" w:eastAsia="新宋体"/>
          <w:szCs w:val="21"/>
        </w:rPr>
      </w:pPr>
      <w:r>
        <w:rPr>
          <w:rFonts w:hint="eastAsia" w:ascii="新宋体" w:hAnsi="新宋体" w:eastAsia="新宋体"/>
          <w:szCs w:val="21"/>
        </w:rPr>
        <w:t>32．投标文件初审</w:t>
      </w:r>
    </w:p>
    <w:p w14:paraId="7AF0F637">
      <w:pPr>
        <w:spacing w:line="360" w:lineRule="auto"/>
        <w:rPr>
          <w:rFonts w:ascii="新宋体" w:hAnsi="新宋体" w:eastAsia="新宋体"/>
          <w:szCs w:val="21"/>
        </w:rPr>
      </w:pPr>
      <w:r>
        <w:rPr>
          <w:rFonts w:hint="eastAsia" w:ascii="新宋体" w:hAnsi="新宋体" w:eastAsia="新宋体"/>
          <w:szCs w:val="21"/>
        </w:rPr>
        <w:t>32.1投标文件初审包括资格性审查和符合性审查。资格性审查：依据法律法规和招标文件的规定，对投标文件中的资格证明等进行审查，以确定投标供应商是否具备投标资格。符合性审查：依据招标文件的规定，对投标文件的有效性、完整性和对招标文件的响应程度进行审查，以确定是否满足符合性审查的要求。</w:t>
      </w:r>
    </w:p>
    <w:p w14:paraId="12D65F0D">
      <w:pPr>
        <w:spacing w:line="360" w:lineRule="auto"/>
        <w:rPr>
          <w:rFonts w:ascii="新宋体" w:hAnsi="新宋体" w:eastAsia="新宋体"/>
          <w:b/>
          <w:szCs w:val="21"/>
        </w:rPr>
      </w:pPr>
      <w:r>
        <w:rPr>
          <w:rFonts w:hint="eastAsia" w:ascii="新宋体" w:hAnsi="新宋体" w:eastAsia="新宋体"/>
          <w:szCs w:val="21"/>
        </w:rPr>
        <w:t xml:space="preserve">32.2 </w:t>
      </w:r>
      <w:r>
        <w:rPr>
          <w:rFonts w:hint="eastAsia" w:ascii="新宋体" w:hAnsi="新宋体" w:eastAsia="新宋体"/>
          <w:b/>
          <w:szCs w:val="21"/>
        </w:rPr>
        <w:t>投标文件初审内容请详见《资格性审查表》和《符合性审查表》部分。投标人若有一条审查不通过则按投标无效处理。评审委员会对投标单位打√为通过审查，打×为未通过审查。</w:t>
      </w:r>
    </w:p>
    <w:p w14:paraId="41C6AF5A">
      <w:pPr>
        <w:spacing w:line="360" w:lineRule="auto"/>
        <w:rPr>
          <w:rFonts w:ascii="新宋体" w:hAnsi="新宋体" w:eastAsia="新宋体"/>
          <w:b/>
          <w:szCs w:val="21"/>
        </w:rPr>
      </w:pPr>
      <w:r>
        <w:rPr>
          <w:rFonts w:hint="eastAsia" w:ascii="新宋体" w:hAnsi="新宋体" w:eastAsia="新宋体"/>
          <w:b/>
          <w:szCs w:val="21"/>
        </w:rPr>
        <w:t>32.3 投标文件初审中关于供应商家数的计算:</w:t>
      </w:r>
    </w:p>
    <w:p w14:paraId="6270E784">
      <w:pPr>
        <w:spacing w:line="360" w:lineRule="auto"/>
        <w:rPr>
          <w:rFonts w:ascii="新宋体" w:hAnsi="新宋体" w:eastAsia="新宋体"/>
          <w:b/>
          <w:szCs w:val="21"/>
        </w:rPr>
      </w:pPr>
      <w:r>
        <w:rPr>
          <w:rFonts w:hint="eastAsia" w:ascii="新宋体" w:hAnsi="新宋体" w:eastAsia="新宋体"/>
          <w:b/>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5B457093">
      <w:pPr>
        <w:spacing w:line="360" w:lineRule="auto"/>
        <w:rPr>
          <w:rFonts w:ascii="新宋体" w:hAnsi="新宋体" w:eastAsia="新宋体"/>
          <w:b/>
          <w:szCs w:val="21"/>
        </w:rPr>
      </w:pPr>
      <w:r>
        <w:rPr>
          <w:rFonts w:hint="eastAsia" w:ascii="新宋体" w:hAnsi="新宋体" w:eastAsia="新宋体"/>
          <w:b/>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D676EA5">
      <w:pPr>
        <w:spacing w:line="360" w:lineRule="auto"/>
        <w:rPr>
          <w:rFonts w:ascii="新宋体" w:hAnsi="新宋体" w:eastAsia="新宋体"/>
          <w:b/>
          <w:szCs w:val="21"/>
        </w:rPr>
      </w:pPr>
      <w:r>
        <w:rPr>
          <w:rFonts w:hint="eastAsia" w:ascii="新宋体" w:hAnsi="新宋体" w:eastAsia="新宋体"/>
          <w:b/>
          <w:szCs w:val="21"/>
        </w:rPr>
        <w:t>32.3.3非单一产品采购项目，采购人应当根据采购项目技术构成、产品价格比重等合理确定核心产品，并在招标文件中载明。多家投标人提供的核心产品品牌相同的，按前两款规定处理。</w:t>
      </w:r>
    </w:p>
    <w:p w14:paraId="52F8D71A">
      <w:pPr>
        <w:spacing w:line="360" w:lineRule="auto"/>
        <w:rPr>
          <w:rFonts w:ascii="新宋体" w:hAnsi="新宋体" w:eastAsia="新宋体"/>
          <w:b/>
          <w:color w:val="FF0000"/>
          <w:szCs w:val="21"/>
        </w:rPr>
      </w:pPr>
      <w:r>
        <w:rPr>
          <w:rFonts w:hint="eastAsia" w:ascii="新宋体" w:hAnsi="新宋体" w:eastAsia="新宋体"/>
          <w:b/>
          <w:color w:val="FF0000"/>
          <w:szCs w:val="21"/>
        </w:rPr>
        <w:t>32.4投标人投标文件作无效处理的情形，具体包括但不限于以下：</w:t>
      </w:r>
    </w:p>
    <w:p w14:paraId="35B78C67">
      <w:pPr>
        <w:spacing w:line="360" w:lineRule="auto"/>
        <w:rPr>
          <w:rFonts w:ascii="新宋体" w:hAnsi="新宋体" w:eastAsia="新宋体"/>
          <w:szCs w:val="21"/>
        </w:rPr>
      </w:pPr>
      <w:r>
        <w:rPr>
          <w:rFonts w:hint="eastAsia" w:ascii="新宋体" w:hAnsi="新宋体" w:eastAsia="新宋体"/>
          <w:szCs w:val="21"/>
        </w:rPr>
        <w:t>32.4.1不同投标人的投标文件由同一单位或者同一个人编制，或者由同一个人分阶段参与编制；</w:t>
      </w:r>
    </w:p>
    <w:p w14:paraId="21F6A861">
      <w:pPr>
        <w:spacing w:line="360" w:lineRule="auto"/>
        <w:rPr>
          <w:rFonts w:ascii="新宋体" w:hAnsi="新宋体" w:eastAsia="新宋体"/>
          <w:szCs w:val="21"/>
        </w:rPr>
      </w:pPr>
      <w:r>
        <w:rPr>
          <w:rFonts w:ascii="新宋体" w:hAnsi="新宋体" w:eastAsia="新宋体"/>
          <w:szCs w:val="21"/>
        </w:rPr>
        <w:t>32.4.</w:t>
      </w:r>
      <w:r>
        <w:rPr>
          <w:rFonts w:hint="eastAsia" w:ascii="新宋体" w:hAnsi="新宋体" w:eastAsia="新宋体"/>
          <w:szCs w:val="21"/>
        </w:rPr>
        <w:t>2不同投标人委托同一单位或者个人办理投标事宜；</w:t>
      </w:r>
    </w:p>
    <w:p w14:paraId="0AFED81F">
      <w:pPr>
        <w:spacing w:line="360" w:lineRule="auto"/>
        <w:rPr>
          <w:rFonts w:ascii="新宋体" w:hAnsi="新宋体" w:eastAsia="新宋体"/>
          <w:szCs w:val="21"/>
        </w:rPr>
      </w:pPr>
      <w:r>
        <w:rPr>
          <w:rFonts w:hint="eastAsia" w:ascii="新宋体" w:hAnsi="新宋体" w:eastAsia="新宋体"/>
          <w:szCs w:val="21"/>
        </w:rPr>
        <w:t>32.4.3不同投标人的投标文件载明的项目管理成员或者联系人员为同一人；</w:t>
      </w:r>
    </w:p>
    <w:p w14:paraId="38CA8495">
      <w:pPr>
        <w:spacing w:line="360" w:lineRule="auto"/>
        <w:rPr>
          <w:rFonts w:ascii="新宋体" w:hAnsi="新宋体" w:eastAsia="新宋体"/>
          <w:szCs w:val="21"/>
        </w:rPr>
      </w:pPr>
      <w:r>
        <w:rPr>
          <w:rFonts w:hint="eastAsia" w:ascii="新宋体" w:hAnsi="新宋体" w:eastAsia="新宋体"/>
          <w:szCs w:val="21"/>
        </w:rPr>
        <w:t>32.4.4不同投标人的投标文件异常一致或者投标报价呈规律性差异；</w:t>
      </w:r>
    </w:p>
    <w:p w14:paraId="6ADE888C">
      <w:pPr>
        <w:spacing w:line="360" w:lineRule="auto"/>
        <w:rPr>
          <w:rFonts w:ascii="新宋体" w:hAnsi="新宋体" w:eastAsia="新宋体"/>
          <w:color w:val="FF0000"/>
          <w:szCs w:val="21"/>
        </w:rPr>
      </w:pPr>
      <w:r>
        <w:rPr>
          <w:rFonts w:hint="eastAsia" w:ascii="新宋体" w:hAnsi="新宋体" w:eastAsia="新宋体"/>
          <w:color w:val="FF0000"/>
          <w:szCs w:val="21"/>
        </w:rPr>
        <w:t>32.4.5</w:t>
      </w:r>
      <w:r>
        <w:rPr>
          <w:rFonts w:ascii="新宋体" w:hAnsi="新宋体" w:eastAsia="新宋体"/>
          <w:color w:val="FF0000"/>
          <w:szCs w:val="21"/>
        </w:rPr>
        <w:t>不同投标供应商的投标文件或部分投标文件相互混装</w:t>
      </w:r>
      <w:r>
        <w:rPr>
          <w:rFonts w:hint="eastAsia" w:ascii="新宋体" w:hAnsi="新宋体" w:eastAsia="新宋体"/>
          <w:color w:val="FF0000"/>
          <w:szCs w:val="21"/>
        </w:rPr>
        <w:t>；</w:t>
      </w:r>
    </w:p>
    <w:p w14:paraId="2853F8DE">
      <w:pPr>
        <w:spacing w:line="360" w:lineRule="auto"/>
        <w:rPr>
          <w:rFonts w:ascii="新宋体" w:hAnsi="新宋体" w:eastAsia="新宋体"/>
          <w:szCs w:val="21"/>
        </w:rPr>
      </w:pPr>
      <w:r>
        <w:rPr>
          <w:rFonts w:hint="eastAsia" w:ascii="新宋体" w:hAnsi="新宋体" w:eastAsia="新宋体"/>
          <w:szCs w:val="21"/>
        </w:rPr>
        <w:t>32.4.6投标供应商之间相互约定给予未中标的供应商利益补偿；</w:t>
      </w:r>
    </w:p>
    <w:p w14:paraId="74CEF81B">
      <w:pPr>
        <w:spacing w:line="360" w:lineRule="auto"/>
        <w:rPr>
          <w:rFonts w:ascii="新宋体" w:hAnsi="新宋体" w:eastAsia="新宋体"/>
          <w:szCs w:val="21"/>
        </w:rPr>
      </w:pPr>
      <w:r>
        <w:rPr>
          <w:rFonts w:hint="eastAsia" w:ascii="新宋体" w:hAnsi="新宋体" w:eastAsia="新宋体"/>
          <w:szCs w:val="21"/>
        </w:rPr>
        <w:t>32.4.7不同投标供应商的法定代表人、主要经营负责人、项目投标授权代表人、项目负责人、主要技术人员为同一人、属同一单位或者同一单位缴纳社会保险；</w:t>
      </w:r>
    </w:p>
    <w:p w14:paraId="4A91EE8F">
      <w:pPr>
        <w:spacing w:line="360" w:lineRule="auto"/>
        <w:rPr>
          <w:rFonts w:ascii="新宋体" w:hAnsi="新宋体" w:eastAsia="新宋体"/>
          <w:szCs w:val="21"/>
        </w:rPr>
      </w:pPr>
      <w:r>
        <w:rPr>
          <w:rFonts w:hint="eastAsia" w:ascii="新宋体" w:hAnsi="新宋体" w:eastAsia="新宋体"/>
          <w:szCs w:val="21"/>
        </w:rPr>
        <w:t>32.4.8不同投标供应商的投标文件内容存在非正常一致；</w:t>
      </w:r>
    </w:p>
    <w:p w14:paraId="4A77B62D">
      <w:pPr>
        <w:spacing w:line="360" w:lineRule="auto"/>
        <w:rPr>
          <w:rFonts w:ascii="新宋体" w:hAnsi="新宋体" w:eastAsia="新宋体"/>
          <w:szCs w:val="21"/>
        </w:rPr>
      </w:pPr>
      <w:r>
        <w:rPr>
          <w:rFonts w:hint="eastAsia" w:ascii="新宋体" w:hAnsi="新宋体" w:eastAsia="新宋体"/>
          <w:szCs w:val="21"/>
        </w:rPr>
        <w:t>32.4.9在同一单位工作人员为两家以上（含两家）供应商进行同一项投标活动；</w:t>
      </w:r>
    </w:p>
    <w:p w14:paraId="3CB36539">
      <w:pPr>
        <w:spacing w:line="360" w:lineRule="auto"/>
        <w:rPr>
          <w:rFonts w:ascii="新宋体" w:hAnsi="新宋体" w:eastAsia="新宋体"/>
          <w:szCs w:val="21"/>
        </w:rPr>
      </w:pPr>
      <w:r>
        <w:rPr>
          <w:rFonts w:hint="eastAsia" w:ascii="新宋体" w:hAnsi="新宋体" w:eastAsia="新宋体"/>
          <w:szCs w:val="21"/>
        </w:rPr>
        <w:t>32.4.10主管部门依照法律、法规认定的其他情形。</w:t>
      </w:r>
    </w:p>
    <w:p w14:paraId="58AFF4EF">
      <w:pPr>
        <w:spacing w:line="360" w:lineRule="auto"/>
        <w:rPr>
          <w:rFonts w:ascii="新宋体" w:hAnsi="新宋体" w:eastAsia="新宋体"/>
          <w:szCs w:val="21"/>
        </w:rPr>
      </w:pPr>
      <w:r>
        <w:rPr>
          <w:rFonts w:hint="eastAsia" w:ascii="新宋体" w:hAnsi="新宋体" w:eastAsia="新宋体"/>
          <w:szCs w:val="21"/>
        </w:rPr>
        <w:t>32.5对不属于《资格性审查表》和《符合性审查表》所列的其他情形，除专用条款另有规定和32.4条款所列情形外，不得作为投标无效的理由。</w:t>
      </w:r>
    </w:p>
    <w:p w14:paraId="42357002">
      <w:pPr>
        <w:spacing w:line="360" w:lineRule="auto"/>
        <w:rPr>
          <w:rFonts w:ascii="新宋体" w:hAnsi="新宋体" w:eastAsia="新宋体"/>
          <w:szCs w:val="21"/>
        </w:rPr>
      </w:pPr>
      <w:r>
        <w:rPr>
          <w:rFonts w:hint="eastAsia" w:ascii="新宋体" w:hAnsi="新宋体" w:eastAsia="新宋体"/>
          <w:szCs w:val="21"/>
        </w:rPr>
        <w:t>33．澄清有关问题</w:t>
      </w:r>
    </w:p>
    <w:p w14:paraId="69565A1A">
      <w:pPr>
        <w:spacing w:line="360" w:lineRule="auto"/>
        <w:rPr>
          <w:rFonts w:ascii="新宋体" w:hAnsi="新宋体" w:eastAsia="新宋体"/>
          <w:szCs w:val="21"/>
        </w:rPr>
      </w:pPr>
      <w:r>
        <w:rPr>
          <w:rFonts w:hint="eastAsia" w:ascii="新宋体" w:hAnsi="新宋体" w:eastAsia="新宋体"/>
          <w:szCs w:val="21"/>
        </w:rPr>
        <w:t>对于投标文件中含义不明确、同类问题表述不一致或者有明显文字和计算错误的内容，评审委员会应当以书面形式要求投标人作出必要的澄清、说明或者补正。</w:t>
      </w:r>
    </w:p>
    <w:p w14:paraId="1AEC53B2">
      <w:pPr>
        <w:spacing w:line="360" w:lineRule="auto"/>
        <w:rPr>
          <w:rFonts w:ascii="新宋体" w:hAnsi="新宋体" w:eastAsia="新宋体"/>
          <w:szCs w:val="21"/>
        </w:rPr>
      </w:pPr>
      <w:r>
        <w:rPr>
          <w:rFonts w:hint="eastAsia" w:ascii="新宋体" w:hAnsi="新宋体" w:eastAsia="新宋体"/>
          <w:szCs w:val="21"/>
        </w:rPr>
        <w:t>　　投标人的澄清、说明或者补正应当采用书面形式，并加盖公章，或者由法定代表人或其授权的代表签字。投标人的澄清、说明或者补正不得超出投标文件的范围或者改变投标文件的实质性内容。</w:t>
      </w:r>
    </w:p>
    <w:p w14:paraId="147BF42D">
      <w:pPr>
        <w:spacing w:line="360" w:lineRule="auto"/>
        <w:rPr>
          <w:rFonts w:ascii="新宋体" w:hAnsi="新宋体" w:eastAsia="新宋体"/>
          <w:szCs w:val="21"/>
        </w:rPr>
      </w:pPr>
      <w:r>
        <w:rPr>
          <w:rFonts w:hint="eastAsia" w:ascii="新宋体" w:hAnsi="新宋体" w:eastAsia="新宋体"/>
          <w:szCs w:val="21"/>
        </w:rPr>
        <w:t>根据本通用条款第34条，凡属于评审委员会在评审中发现的算术错误进行核实的修改不在此列。</w:t>
      </w:r>
    </w:p>
    <w:p w14:paraId="4781339D">
      <w:pPr>
        <w:spacing w:line="360" w:lineRule="auto"/>
        <w:rPr>
          <w:rFonts w:ascii="新宋体" w:hAnsi="新宋体" w:eastAsia="新宋体"/>
          <w:szCs w:val="21"/>
        </w:rPr>
      </w:pPr>
      <w:bookmarkStart w:id="27" w:name="_Toc73521669"/>
      <w:bookmarkStart w:id="28" w:name="_Toc100052400"/>
      <w:bookmarkStart w:id="29" w:name="_Toc73521581"/>
      <w:bookmarkStart w:id="30" w:name="_Toc73517673"/>
      <w:bookmarkStart w:id="31" w:name="_Toc73518151"/>
      <w:r>
        <w:rPr>
          <w:rFonts w:hint="eastAsia" w:ascii="新宋体" w:hAnsi="新宋体" w:eastAsia="新宋体"/>
          <w:szCs w:val="21"/>
        </w:rPr>
        <w:t>34．错误的修正</w:t>
      </w:r>
      <w:bookmarkEnd w:id="27"/>
      <w:bookmarkEnd w:id="28"/>
      <w:bookmarkEnd w:id="29"/>
      <w:bookmarkEnd w:id="30"/>
      <w:bookmarkEnd w:id="31"/>
    </w:p>
    <w:p w14:paraId="0017C91A">
      <w:pPr>
        <w:spacing w:line="360" w:lineRule="auto"/>
        <w:rPr>
          <w:rFonts w:ascii="新宋体" w:hAnsi="新宋体" w:eastAsia="新宋体"/>
          <w:szCs w:val="21"/>
        </w:rPr>
      </w:pPr>
      <w:r>
        <w:rPr>
          <w:rFonts w:hint="eastAsia" w:ascii="新宋体" w:hAnsi="新宋体" w:eastAsia="新宋体"/>
          <w:szCs w:val="21"/>
        </w:rPr>
        <w:t>投标文件报价出现前后不一致的，除专用条款另有规定外，按照下列规定修正：</w:t>
      </w:r>
    </w:p>
    <w:p w14:paraId="0FCFDA76">
      <w:pPr>
        <w:spacing w:line="360" w:lineRule="auto"/>
        <w:rPr>
          <w:rFonts w:ascii="新宋体" w:hAnsi="新宋体" w:eastAsia="新宋体"/>
          <w:szCs w:val="21"/>
        </w:rPr>
      </w:pPr>
      <w:r>
        <w:rPr>
          <w:rFonts w:hint="eastAsia" w:ascii="新宋体" w:hAnsi="新宋体" w:eastAsia="新宋体"/>
          <w:szCs w:val="21"/>
        </w:rPr>
        <w:t>34.1投标文件中开标一览表内容与投标文件中相应内容不一致的，以开标一览表为准；</w:t>
      </w:r>
    </w:p>
    <w:p w14:paraId="10FA7329">
      <w:pPr>
        <w:spacing w:line="360" w:lineRule="auto"/>
        <w:rPr>
          <w:rFonts w:ascii="新宋体" w:hAnsi="新宋体" w:eastAsia="新宋体"/>
          <w:szCs w:val="21"/>
        </w:rPr>
      </w:pPr>
      <w:r>
        <w:rPr>
          <w:rFonts w:hint="eastAsia" w:ascii="新宋体" w:hAnsi="新宋体" w:eastAsia="新宋体"/>
          <w:szCs w:val="21"/>
        </w:rPr>
        <w:t>34.2大写金额和小写金额不一致的，以大写金额为准；</w:t>
      </w:r>
    </w:p>
    <w:p w14:paraId="256365AB">
      <w:pPr>
        <w:spacing w:line="360" w:lineRule="auto"/>
        <w:rPr>
          <w:rFonts w:ascii="新宋体" w:hAnsi="新宋体" w:eastAsia="新宋体"/>
          <w:szCs w:val="21"/>
        </w:rPr>
      </w:pPr>
      <w:r>
        <w:rPr>
          <w:rFonts w:hint="eastAsia" w:ascii="新宋体" w:hAnsi="新宋体" w:eastAsia="新宋体"/>
          <w:szCs w:val="21"/>
        </w:rPr>
        <w:t>34.3单价金额小数点或者百分比有明显错位，以开标一览表的总价为准，并修改单价；</w:t>
      </w:r>
    </w:p>
    <w:p w14:paraId="7C380E38">
      <w:pPr>
        <w:spacing w:line="360" w:lineRule="auto"/>
        <w:rPr>
          <w:rFonts w:ascii="新宋体" w:hAnsi="新宋体" w:eastAsia="新宋体"/>
          <w:szCs w:val="21"/>
        </w:rPr>
      </w:pPr>
      <w:r>
        <w:rPr>
          <w:rFonts w:hint="eastAsia" w:ascii="新宋体" w:hAnsi="新宋体" w:eastAsia="新宋体"/>
          <w:szCs w:val="21"/>
        </w:rPr>
        <w:t>34.4总价金额与按单价汇总金额不一致的，以单价金额计算结果为准。</w:t>
      </w:r>
    </w:p>
    <w:p w14:paraId="6BBA8E86">
      <w:pPr>
        <w:spacing w:line="360" w:lineRule="auto"/>
        <w:rPr>
          <w:rFonts w:ascii="新宋体" w:hAnsi="新宋体" w:eastAsia="新宋体"/>
          <w:szCs w:val="21"/>
        </w:rPr>
      </w:pPr>
      <w:r>
        <w:rPr>
          <w:rFonts w:hint="eastAsia" w:ascii="新宋体" w:hAnsi="新宋体" w:eastAsia="新宋体"/>
          <w:szCs w:val="21"/>
        </w:rPr>
        <w:t>34.5同时出现两种以上不一致的，按照前款规定的顺序修正。修正后的报价按照本通用条款33条的规定，经投标人确认后产生约束力，投标人不确认的，其投标无效。</w:t>
      </w:r>
    </w:p>
    <w:p w14:paraId="7F6A0082">
      <w:pPr>
        <w:spacing w:line="360" w:lineRule="auto"/>
        <w:rPr>
          <w:rFonts w:ascii="新宋体" w:hAnsi="新宋体" w:eastAsia="新宋体"/>
          <w:szCs w:val="21"/>
        </w:rPr>
      </w:pPr>
      <w:r>
        <w:rPr>
          <w:rFonts w:hint="eastAsia" w:ascii="新宋体" w:hAnsi="新宋体" w:eastAsia="新宋体"/>
          <w:szCs w:val="21"/>
        </w:rPr>
        <w:t>35．投标文件的比较与评价</w:t>
      </w:r>
    </w:p>
    <w:p w14:paraId="0F0E3CE8">
      <w:pPr>
        <w:spacing w:line="360" w:lineRule="auto"/>
        <w:rPr>
          <w:rFonts w:ascii="新宋体" w:hAnsi="新宋体" w:eastAsia="新宋体"/>
          <w:szCs w:val="21"/>
        </w:rPr>
      </w:pPr>
      <w:r>
        <w:rPr>
          <w:rFonts w:hint="eastAsia" w:ascii="新宋体" w:hAnsi="新宋体" w:eastAsia="新宋体"/>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14:paraId="4E8BE572">
      <w:pPr>
        <w:spacing w:line="360" w:lineRule="auto"/>
        <w:rPr>
          <w:rFonts w:ascii="新宋体" w:hAnsi="新宋体" w:eastAsia="新宋体"/>
          <w:color w:val="FF0000"/>
          <w:szCs w:val="21"/>
        </w:rPr>
      </w:pPr>
      <w:r>
        <w:rPr>
          <w:rFonts w:hint="eastAsia" w:ascii="新宋体" w:hAnsi="新宋体" w:eastAsia="新宋体"/>
          <w:color w:val="FF0000"/>
          <w:szCs w:val="21"/>
        </w:rPr>
        <w:t>评审委员会成员对需要共同认定的事项存在争议的，应当按照少数服从多数的原则作出结论。持不同意见的评审委员会成员应当在评标报告上签署不同意见及理由，否则视为同意评标报告。</w:t>
      </w:r>
    </w:p>
    <w:p w14:paraId="7897361C">
      <w:pPr>
        <w:spacing w:line="360" w:lineRule="auto"/>
        <w:rPr>
          <w:rFonts w:ascii="新宋体" w:hAnsi="新宋体" w:eastAsia="新宋体"/>
          <w:szCs w:val="21"/>
        </w:rPr>
      </w:pPr>
      <w:r>
        <w:rPr>
          <w:rFonts w:hint="eastAsia" w:ascii="新宋体" w:hAnsi="新宋体" w:eastAsia="新宋体"/>
          <w:szCs w:val="21"/>
        </w:rPr>
        <w:t>36. 实地考察、演示或设备测试</w:t>
      </w:r>
    </w:p>
    <w:p w14:paraId="31FA4CD3">
      <w:pPr>
        <w:spacing w:line="360" w:lineRule="auto"/>
        <w:rPr>
          <w:rFonts w:ascii="新宋体" w:hAnsi="新宋体" w:eastAsia="新宋体"/>
          <w:szCs w:val="21"/>
        </w:rPr>
      </w:pPr>
      <w:r>
        <w:rPr>
          <w:rFonts w:hint="eastAsia" w:ascii="新宋体" w:hAnsi="新宋体" w:eastAsia="新宋体"/>
          <w:szCs w:val="21"/>
        </w:rPr>
        <w:t>36.1在招标过程中，评审委员会有权决定是否对本项目投标人进行现场勘察或实地考察或检验有关证明材料的原件。投标人应随时做好接受检查的准备。</w:t>
      </w:r>
    </w:p>
    <w:p w14:paraId="6491C27A">
      <w:pPr>
        <w:spacing w:line="360" w:lineRule="auto"/>
        <w:rPr>
          <w:rFonts w:ascii="新宋体" w:hAnsi="新宋体" w:eastAsia="新宋体"/>
          <w:szCs w:val="21"/>
        </w:rPr>
      </w:pPr>
      <w:r>
        <w:rPr>
          <w:rFonts w:hint="eastAsia" w:ascii="新宋体" w:hAnsi="新宋体" w:eastAsia="新宋体"/>
          <w:szCs w:val="21"/>
        </w:rPr>
        <w:t>36.2若招标文件要求进行现场演示或设备测试的，投标人应做好相应准备。</w:t>
      </w:r>
    </w:p>
    <w:p w14:paraId="3CEE9BCD">
      <w:pPr>
        <w:spacing w:line="360" w:lineRule="auto"/>
        <w:rPr>
          <w:rFonts w:ascii="新宋体" w:hAnsi="新宋体" w:eastAsia="新宋体"/>
          <w:szCs w:val="21"/>
        </w:rPr>
      </w:pPr>
      <w:r>
        <w:rPr>
          <w:rFonts w:hint="eastAsia" w:ascii="新宋体" w:hAnsi="新宋体" w:eastAsia="新宋体"/>
          <w:szCs w:val="21"/>
        </w:rPr>
        <w:t>37．评标方法</w:t>
      </w:r>
    </w:p>
    <w:p w14:paraId="717EBF89">
      <w:pPr>
        <w:spacing w:line="360" w:lineRule="auto"/>
        <w:rPr>
          <w:rFonts w:ascii="新宋体" w:hAnsi="新宋体" w:eastAsia="新宋体"/>
          <w:b/>
          <w:bCs/>
          <w:szCs w:val="21"/>
        </w:rPr>
      </w:pPr>
      <w:r>
        <w:rPr>
          <w:rFonts w:hint="eastAsia" w:ascii="新宋体" w:hAnsi="新宋体" w:eastAsia="新宋体"/>
          <w:b/>
          <w:bCs/>
          <w:szCs w:val="21"/>
        </w:rPr>
        <w:t>37.1最低价法</w:t>
      </w:r>
    </w:p>
    <w:p w14:paraId="3E6EC81A">
      <w:pPr>
        <w:spacing w:line="360" w:lineRule="auto"/>
        <w:rPr>
          <w:rFonts w:ascii="新宋体" w:hAnsi="新宋体" w:eastAsia="新宋体"/>
          <w:szCs w:val="21"/>
        </w:rPr>
      </w:pPr>
      <w:r>
        <w:rPr>
          <w:rFonts w:ascii="新宋体" w:hAnsi="新宋体" w:eastAsia="新宋体"/>
          <w:szCs w:val="21"/>
        </w:rPr>
        <w:t>最低评标价法，是指投标文件满足招标文件全部实质性要求，且投标报价最低的投标人为中标候选人的评标方法（</w:t>
      </w:r>
      <w:r>
        <w:rPr>
          <w:rFonts w:hint="eastAsia" w:ascii="新宋体" w:hAnsi="新宋体" w:eastAsia="新宋体"/>
          <w:szCs w:val="21"/>
        </w:rPr>
        <w:t>排名</w:t>
      </w:r>
      <w:r>
        <w:rPr>
          <w:rFonts w:ascii="新宋体" w:hAnsi="新宋体" w:eastAsia="新宋体"/>
          <w:szCs w:val="21"/>
        </w:rPr>
        <w:t>第二</w:t>
      </w:r>
      <w:r>
        <w:rPr>
          <w:rFonts w:hint="eastAsia" w:ascii="新宋体" w:hAnsi="新宋体" w:eastAsia="新宋体"/>
          <w:szCs w:val="21"/>
        </w:rPr>
        <w:t>的投标人为第一递补中标候选人、排名</w:t>
      </w:r>
      <w:r>
        <w:rPr>
          <w:rFonts w:ascii="新宋体" w:hAnsi="新宋体" w:eastAsia="新宋体"/>
          <w:szCs w:val="21"/>
        </w:rPr>
        <w:t>第</w:t>
      </w:r>
      <w:r>
        <w:rPr>
          <w:rFonts w:hint="eastAsia" w:ascii="新宋体" w:hAnsi="新宋体" w:eastAsia="新宋体"/>
          <w:szCs w:val="21"/>
        </w:rPr>
        <w:t>三的投标人为第二递补中标候选人</w:t>
      </w:r>
      <w:r>
        <w:rPr>
          <w:rFonts w:ascii="新宋体" w:hAnsi="新宋体" w:eastAsia="新宋体"/>
          <w:szCs w:val="21"/>
        </w:rPr>
        <w:t>）。</w:t>
      </w:r>
    </w:p>
    <w:p w14:paraId="5EFFF499">
      <w:pPr>
        <w:spacing w:line="360" w:lineRule="auto"/>
        <w:rPr>
          <w:rFonts w:ascii="新宋体" w:hAnsi="新宋体" w:eastAsia="新宋体"/>
          <w:b/>
          <w:bCs/>
          <w:szCs w:val="21"/>
        </w:rPr>
      </w:pPr>
      <w:r>
        <w:rPr>
          <w:rFonts w:hint="eastAsia" w:ascii="新宋体" w:hAnsi="新宋体" w:eastAsia="新宋体"/>
          <w:b/>
          <w:bCs/>
          <w:szCs w:val="21"/>
        </w:rPr>
        <w:t>37.1.2综合评分法</w:t>
      </w:r>
    </w:p>
    <w:p w14:paraId="4199A759">
      <w:pPr>
        <w:spacing w:line="360" w:lineRule="auto"/>
        <w:rPr>
          <w:rFonts w:ascii="新宋体" w:hAnsi="新宋体" w:eastAsia="新宋体"/>
          <w:szCs w:val="21"/>
        </w:rPr>
      </w:pPr>
      <w:r>
        <w:rPr>
          <w:rFonts w:ascii="新宋体" w:hAnsi="新宋体" w:eastAsia="新宋体"/>
          <w:szCs w:val="21"/>
        </w:rPr>
        <w:t>综合评分法，是指投标文件满足招标文件全部实质性要求，且按照评审因素的量化指标评审得分最高的投标人为中标候选人的评标方法（</w:t>
      </w:r>
      <w:r>
        <w:rPr>
          <w:rFonts w:hint="eastAsia" w:ascii="新宋体" w:hAnsi="新宋体" w:eastAsia="新宋体"/>
          <w:szCs w:val="21"/>
        </w:rPr>
        <w:t>排名</w:t>
      </w:r>
      <w:r>
        <w:rPr>
          <w:rFonts w:ascii="新宋体" w:hAnsi="新宋体" w:eastAsia="新宋体"/>
          <w:szCs w:val="21"/>
        </w:rPr>
        <w:t>第二</w:t>
      </w:r>
      <w:r>
        <w:rPr>
          <w:rFonts w:hint="eastAsia" w:ascii="新宋体" w:hAnsi="新宋体" w:eastAsia="新宋体"/>
          <w:szCs w:val="21"/>
        </w:rPr>
        <w:t>的投标人为第一递补中标候选人、排名</w:t>
      </w:r>
      <w:r>
        <w:rPr>
          <w:rFonts w:ascii="新宋体" w:hAnsi="新宋体" w:eastAsia="新宋体"/>
          <w:szCs w:val="21"/>
        </w:rPr>
        <w:t>第</w:t>
      </w:r>
      <w:r>
        <w:rPr>
          <w:rFonts w:hint="eastAsia" w:ascii="新宋体" w:hAnsi="新宋体" w:eastAsia="新宋体"/>
          <w:szCs w:val="21"/>
        </w:rPr>
        <w:t>三的投标人为第二递补中标候选人</w:t>
      </w:r>
      <w:r>
        <w:rPr>
          <w:rFonts w:ascii="新宋体" w:hAnsi="新宋体" w:eastAsia="新宋体"/>
          <w:szCs w:val="21"/>
        </w:rPr>
        <w:t>）。</w:t>
      </w:r>
    </w:p>
    <w:p w14:paraId="2F7D09CE">
      <w:pPr>
        <w:spacing w:line="360" w:lineRule="auto"/>
        <w:rPr>
          <w:rFonts w:ascii="新宋体" w:hAnsi="新宋体" w:eastAsia="新宋体"/>
          <w:b/>
          <w:bCs/>
          <w:szCs w:val="21"/>
        </w:rPr>
      </w:pPr>
      <w:r>
        <w:rPr>
          <w:rFonts w:hint="eastAsia" w:ascii="新宋体" w:hAnsi="新宋体" w:eastAsia="新宋体"/>
          <w:b/>
          <w:bCs/>
          <w:szCs w:val="21"/>
        </w:rPr>
        <w:t>37.1.3定性评审法</w:t>
      </w:r>
    </w:p>
    <w:p w14:paraId="06E6BCE8">
      <w:pPr>
        <w:spacing w:line="360" w:lineRule="auto"/>
        <w:rPr>
          <w:rFonts w:ascii="新宋体" w:hAnsi="新宋体" w:eastAsia="新宋体"/>
          <w:bCs/>
          <w:szCs w:val="21"/>
        </w:rPr>
      </w:pPr>
      <w:r>
        <w:rPr>
          <w:rFonts w:ascii="新宋体" w:hAnsi="新宋体" w:eastAsia="新宋体"/>
          <w:szCs w:val="21"/>
        </w:rPr>
        <w:t>定性评审法</w:t>
      </w:r>
      <w:r>
        <w:rPr>
          <w:rFonts w:hint="eastAsia" w:ascii="新宋体" w:hAnsi="新宋体" w:eastAsia="新宋体"/>
          <w:szCs w:val="21"/>
        </w:rPr>
        <w:t>，是指</w:t>
      </w:r>
      <w:r>
        <w:rPr>
          <w:rFonts w:ascii="新宋体" w:hAnsi="新宋体" w:eastAsia="新宋体"/>
          <w:szCs w:val="21"/>
        </w:rPr>
        <w:t>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14:paraId="15DD2696">
      <w:pPr>
        <w:spacing w:line="360" w:lineRule="auto"/>
        <w:rPr>
          <w:rFonts w:ascii="新宋体" w:hAnsi="新宋体" w:eastAsia="新宋体"/>
          <w:b/>
          <w:bCs/>
          <w:szCs w:val="21"/>
        </w:rPr>
      </w:pPr>
      <w:r>
        <w:rPr>
          <w:rFonts w:hint="eastAsia" w:ascii="新宋体" w:hAnsi="新宋体" w:eastAsia="新宋体"/>
          <w:b/>
          <w:bCs/>
          <w:szCs w:val="21"/>
        </w:rPr>
        <w:t>37.2 本项目采用的评标方法见本项目招标文件第一册“专用条款”的相关内容。</w:t>
      </w:r>
    </w:p>
    <w:p w14:paraId="3D75DCDA">
      <w:pPr>
        <w:spacing w:line="360" w:lineRule="auto"/>
        <w:rPr>
          <w:rFonts w:ascii="新宋体" w:hAnsi="新宋体" w:eastAsia="新宋体"/>
          <w:b/>
          <w:bCs/>
          <w:szCs w:val="21"/>
        </w:rPr>
      </w:pPr>
      <w:r>
        <w:rPr>
          <w:rFonts w:hint="eastAsia" w:ascii="新宋体" w:hAnsi="新宋体" w:eastAsia="新宋体"/>
          <w:b/>
          <w:bCs/>
          <w:szCs w:val="21"/>
        </w:rPr>
        <w:t>37.3重新评审的情形</w:t>
      </w:r>
    </w:p>
    <w:p w14:paraId="4A87B27B">
      <w:pPr>
        <w:spacing w:line="360" w:lineRule="auto"/>
        <w:rPr>
          <w:rFonts w:ascii="新宋体" w:hAnsi="新宋体" w:eastAsia="新宋体"/>
          <w:b/>
          <w:bCs/>
          <w:szCs w:val="21"/>
        </w:rPr>
      </w:pPr>
      <w:r>
        <w:rPr>
          <w:rFonts w:hint="eastAsia" w:ascii="新宋体" w:hAnsi="新宋体" w:eastAsia="新宋体"/>
          <w:szCs w:val="21"/>
        </w:rPr>
        <w:t>评标结果汇总完成后，除下列情形外，任何人不得修改评标结果：</w:t>
      </w:r>
    </w:p>
    <w:p w14:paraId="6DF8859C">
      <w:pPr>
        <w:spacing w:line="360" w:lineRule="auto"/>
        <w:rPr>
          <w:rFonts w:ascii="新宋体" w:hAnsi="新宋体" w:eastAsia="新宋体"/>
          <w:szCs w:val="21"/>
        </w:rPr>
      </w:pPr>
      <w:r>
        <w:rPr>
          <w:rFonts w:hint="eastAsia" w:ascii="新宋体" w:hAnsi="新宋体" w:eastAsia="新宋体"/>
          <w:szCs w:val="21"/>
        </w:rPr>
        <w:t>37.3.1分值汇总计算错误的；</w:t>
      </w:r>
    </w:p>
    <w:p w14:paraId="318A5755">
      <w:pPr>
        <w:spacing w:line="360" w:lineRule="auto"/>
        <w:rPr>
          <w:rFonts w:ascii="新宋体" w:hAnsi="新宋体" w:eastAsia="新宋体"/>
          <w:szCs w:val="21"/>
        </w:rPr>
      </w:pPr>
      <w:r>
        <w:rPr>
          <w:rFonts w:hint="eastAsia" w:ascii="新宋体" w:hAnsi="新宋体" w:eastAsia="新宋体"/>
          <w:szCs w:val="21"/>
        </w:rPr>
        <w:t>37.3.2分项评分超出评分标准范围的；</w:t>
      </w:r>
    </w:p>
    <w:p w14:paraId="7EA9D1C2">
      <w:pPr>
        <w:spacing w:line="360" w:lineRule="auto"/>
        <w:rPr>
          <w:rFonts w:ascii="新宋体" w:hAnsi="新宋体" w:eastAsia="新宋体"/>
          <w:szCs w:val="21"/>
        </w:rPr>
      </w:pPr>
      <w:r>
        <w:rPr>
          <w:rFonts w:hint="eastAsia" w:ascii="新宋体" w:hAnsi="新宋体" w:eastAsia="新宋体"/>
          <w:szCs w:val="21"/>
        </w:rPr>
        <w:t>37.3.3评审委员会成员对客观评审因素评分不一致的；</w:t>
      </w:r>
    </w:p>
    <w:p w14:paraId="010BE79B">
      <w:pPr>
        <w:spacing w:line="360" w:lineRule="auto"/>
        <w:rPr>
          <w:rFonts w:ascii="新宋体" w:hAnsi="新宋体" w:eastAsia="新宋体"/>
          <w:szCs w:val="21"/>
        </w:rPr>
      </w:pPr>
      <w:r>
        <w:rPr>
          <w:rFonts w:hint="eastAsia" w:ascii="新宋体" w:hAnsi="新宋体" w:eastAsia="新宋体"/>
          <w:szCs w:val="21"/>
        </w:rPr>
        <w:t>37.3.4经评审委员会认定评分畸高、畸低的。</w:t>
      </w:r>
    </w:p>
    <w:p w14:paraId="1E17695C">
      <w:pPr>
        <w:spacing w:line="360" w:lineRule="auto"/>
        <w:rPr>
          <w:rFonts w:ascii="新宋体" w:hAnsi="新宋体" w:eastAsia="新宋体"/>
          <w:szCs w:val="21"/>
        </w:rPr>
      </w:pPr>
      <w:r>
        <w:rPr>
          <w:rFonts w:hint="eastAsia" w:ascii="新宋体" w:hAnsi="新宋体" w:eastAsia="新宋体"/>
          <w:szCs w:val="21"/>
        </w:rPr>
        <w:t>评标报告签署前，经复核发现存在以上情形之一的，评审委员会应当当场修改评标结果，并在评标报告中记载；评标报告签署后，采购人或者采购代理机构发现存在以上情形之一的，应当组织原评审委员会进行重新评审，重新评审改变评标结果的，书面报告本级财政部门。</w:t>
      </w:r>
    </w:p>
    <w:p w14:paraId="16A1E651">
      <w:pPr>
        <w:spacing w:line="360" w:lineRule="auto"/>
        <w:rPr>
          <w:rFonts w:ascii="新宋体" w:hAnsi="新宋体" w:eastAsia="新宋体"/>
          <w:szCs w:val="21"/>
        </w:rPr>
      </w:pPr>
      <w:r>
        <w:rPr>
          <w:rFonts w:hint="eastAsia" w:ascii="新宋体" w:hAnsi="新宋体" w:eastAsia="新宋体"/>
          <w:szCs w:val="21"/>
        </w:rPr>
        <w:t>投标人对本条第一款情形提出质疑的，采购人或者采购代理机构可以组织原评审委员会进行重新评审，重新评审改变评标结果的，应当书面报告本级财政部门。</w:t>
      </w:r>
    </w:p>
    <w:p w14:paraId="23879936">
      <w:pPr>
        <w:spacing w:line="360" w:lineRule="auto"/>
        <w:rPr>
          <w:rFonts w:ascii="新宋体" w:hAnsi="新宋体" w:eastAsia="新宋体"/>
          <w:b/>
          <w:bCs/>
          <w:szCs w:val="21"/>
        </w:rPr>
      </w:pPr>
      <w:r>
        <w:rPr>
          <w:rFonts w:hint="eastAsia" w:ascii="新宋体" w:hAnsi="新宋体" w:eastAsia="新宋体"/>
          <w:b/>
          <w:bCs/>
          <w:szCs w:val="21"/>
        </w:rPr>
        <w:t xml:space="preserve"> 37.4重新组建评审委员会的情形</w:t>
      </w:r>
    </w:p>
    <w:p w14:paraId="26320E9E">
      <w:pPr>
        <w:spacing w:line="360" w:lineRule="auto"/>
        <w:rPr>
          <w:rFonts w:ascii="新宋体" w:hAnsi="新宋体" w:eastAsia="新宋体"/>
          <w:szCs w:val="21"/>
        </w:rPr>
      </w:pPr>
      <w:r>
        <w:rPr>
          <w:rFonts w:hint="eastAsia" w:ascii="新宋体" w:hAnsi="新宋体" w:eastAsia="新宋体"/>
          <w:szCs w:val="21"/>
        </w:rPr>
        <w:t>评审委员会或者其成员存在下列情形导致评标结果无效的，重新组建评审委员会进行评标，并书面报告本级财政部门：</w:t>
      </w:r>
    </w:p>
    <w:p w14:paraId="76381FBB">
      <w:pPr>
        <w:spacing w:line="360" w:lineRule="auto"/>
        <w:rPr>
          <w:rFonts w:ascii="新宋体" w:hAnsi="新宋体" w:eastAsia="新宋体"/>
          <w:szCs w:val="21"/>
        </w:rPr>
      </w:pPr>
      <w:r>
        <w:rPr>
          <w:rFonts w:hint="eastAsia" w:ascii="新宋体" w:hAnsi="新宋体" w:eastAsia="新宋体"/>
          <w:szCs w:val="21"/>
        </w:rPr>
        <w:t>37.4.1评审委员会组成不符合《政府采购货物和服务招标投标管理办法》规定的；</w:t>
      </w:r>
    </w:p>
    <w:p w14:paraId="58BE3C75">
      <w:pPr>
        <w:spacing w:line="360" w:lineRule="auto"/>
        <w:rPr>
          <w:rFonts w:ascii="新宋体" w:hAnsi="新宋体" w:eastAsia="新宋体"/>
          <w:szCs w:val="21"/>
        </w:rPr>
      </w:pPr>
      <w:r>
        <w:rPr>
          <w:rFonts w:hint="eastAsia" w:ascii="新宋体" w:hAnsi="新宋体" w:eastAsia="新宋体"/>
          <w:szCs w:val="21"/>
        </w:rPr>
        <w:t>37.4.2有《政府采购货物和服务招标投标管理办法》第六十二条第一至五项情形的；</w:t>
      </w:r>
    </w:p>
    <w:p w14:paraId="50CE1D84">
      <w:pPr>
        <w:spacing w:line="360" w:lineRule="auto"/>
        <w:rPr>
          <w:rFonts w:ascii="新宋体" w:hAnsi="新宋体" w:eastAsia="新宋体"/>
          <w:szCs w:val="21"/>
        </w:rPr>
      </w:pPr>
      <w:r>
        <w:rPr>
          <w:rFonts w:hint="eastAsia" w:ascii="新宋体" w:hAnsi="新宋体" w:eastAsia="新宋体"/>
          <w:szCs w:val="21"/>
        </w:rPr>
        <w:t>37.4.3评审委员会及其成员独立评标受到非法干预的；</w:t>
      </w:r>
    </w:p>
    <w:p w14:paraId="6AF2DD21">
      <w:pPr>
        <w:spacing w:line="360" w:lineRule="auto"/>
        <w:rPr>
          <w:rFonts w:ascii="新宋体" w:hAnsi="新宋体" w:eastAsia="新宋体"/>
          <w:szCs w:val="21"/>
        </w:rPr>
      </w:pPr>
      <w:r>
        <w:rPr>
          <w:rFonts w:hint="eastAsia" w:ascii="新宋体" w:hAnsi="新宋体" w:eastAsia="新宋体"/>
          <w:szCs w:val="21"/>
        </w:rPr>
        <w:t>37.4.4有政府采购法实施条例第七十五条规定的违法行为的。</w:t>
      </w:r>
    </w:p>
    <w:p w14:paraId="4111BE4F">
      <w:pPr>
        <w:spacing w:line="360" w:lineRule="auto"/>
        <w:rPr>
          <w:rFonts w:ascii="新宋体" w:hAnsi="新宋体" w:eastAsia="新宋体"/>
          <w:szCs w:val="21"/>
        </w:rPr>
      </w:pPr>
      <w:r>
        <w:rPr>
          <w:rFonts w:hint="eastAsia" w:ascii="新宋体" w:hAnsi="新宋体" w:eastAsia="新宋体"/>
          <w:szCs w:val="21"/>
        </w:rPr>
        <w:t>有违法违规行为的原评审委员会成员不得参加重新组建的评审委员会。</w:t>
      </w:r>
    </w:p>
    <w:p w14:paraId="2994ACB1">
      <w:pPr>
        <w:spacing w:line="360" w:lineRule="auto"/>
        <w:rPr>
          <w:rFonts w:ascii="新宋体" w:hAnsi="新宋体" w:eastAsia="新宋体"/>
          <w:szCs w:val="21"/>
        </w:rPr>
      </w:pPr>
    </w:p>
    <w:p w14:paraId="3F747FC6">
      <w:pPr>
        <w:pStyle w:val="6"/>
        <w:rPr>
          <w:rFonts w:ascii="新宋体" w:hAnsi="新宋体" w:eastAsia="新宋体"/>
          <w:kern w:val="44"/>
          <w:sz w:val="30"/>
          <w:szCs w:val="30"/>
        </w:rPr>
      </w:pPr>
      <w:r>
        <w:rPr>
          <w:rFonts w:hint="eastAsia" w:ascii="新宋体" w:hAnsi="新宋体" w:eastAsia="新宋体"/>
          <w:kern w:val="44"/>
          <w:sz w:val="30"/>
          <w:szCs w:val="30"/>
        </w:rPr>
        <w:t>第八章 定标及公示</w:t>
      </w:r>
    </w:p>
    <w:p w14:paraId="38F4A279">
      <w:pPr>
        <w:spacing w:line="360" w:lineRule="auto"/>
        <w:rPr>
          <w:rFonts w:ascii="新宋体" w:hAnsi="新宋体" w:eastAsia="新宋体"/>
          <w:szCs w:val="21"/>
        </w:rPr>
      </w:pPr>
      <w:r>
        <w:rPr>
          <w:rFonts w:hint="eastAsia" w:ascii="新宋体" w:hAnsi="新宋体" w:eastAsia="新宋体"/>
          <w:szCs w:val="21"/>
        </w:rPr>
        <w:t>38．定标方法</w:t>
      </w:r>
    </w:p>
    <w:p w14:paraId="5C61FEEC">
      <w:pPr>
        <w:spacing w:line="360" w:lineRule="auto"/>
        <w:rPr>
          <w:rFonts w:ascii="新宋体" w:hAnsi="新宋体" w:eastAsia="新宋体"/>
          <w:szCs w:val="21"/>
        </w:rPr>
      </w:pPr>
      <w:r>
        <w:rPr>
          <w:rFonts w:hint="eastAsia" w:ascii="新宋体" w:hAnsi="新宋体" w:eastAsia="新宋体"/>
          <w:szCs w:val="21"/>
        </w:rPr>
        <w:t>38.1非评定分离项目定标方法</w:t>
      </w:r>
    </w:p>
    <w:p w14:paraId="6994DD15">
      <w:pPr>
        <w:spacing w:line="360" w:lineRule="auto"/>
        <w:rPr>
          <w:rFonts w:ascii="新宋体" w:hAnsi="新宋体" w:eastAsia="新宋体"/>
          <w:szCs w:val="21"/>
        </w:rPr>
      </w:pPr>
      <w:r>
        <w:rPr>
          <w:rFonts w:hint="eastAsia" w:ascii="新宋体" w:hAnsi="新宋体" w:eastAsia="新宋体"/>
          <w:szCs w:val="21"/>
        </w:rPr>
        <w:t>38</w:t>
      </w:r>
      <w:r>
        <w:rPr>
          <w:rFonts w:ascii="新宋体" w:hAnsi="新宋体" w:eastAsia="新宋体"/>
          <w:szCs w:val="21"/>
        </w:rPr>
        <w:t>.</w:t>
      </w:r>
      <w:r>
        <w:rPr>
          <w:rFonts w:hint="eastAsia" w:ascii="新宋体" w:hAnsi="新宋体" w:eastAsia="新宋体"/>
          <w:szCs w:val="21"/>
        </w:rPr>
        <w:t>1.1评审委员会依据本项目招标文件所约定的评标方法进行评审和比较，向招标代理机构提交书面评标报告，并根据评标方法比较评价结果从优到劣进行排序，并推荐中标候选人或确定中标供应商。</w:t>
      </w:r>
    </w:p>
    <w:p w14:paraId="4E6C5444">
      <w:pPr>
        <w:spacing w:line="360" w:lineRule="auto"/>
        <w:rPr>
          <w:rFonts w:ascii="新宋体" w:hAnsi="新宋体" w:eastAsia="新宋体"/>
          <w:szCs w:val="21"/>
        </w:rPr>
      </w:pPr>
      <w:r>
        <w:rPr>
          <w:rFonts w:hint="eastAsia" w:ascii="新宋体" w:hAnsi="新宋体" w:eastAsia="新宋体"/>
          <w:szCs w:val="21"/>
        </w:rPr>
        <w:t>38</w:t>
      </w:r>
      <w:r>
        <w:rPr>
          <w:rFonts w:ascii="新宋体" w:hAnsi="新宋体" w:eastAsia="新宋体"/>
          <w:szCs w:val="21"/>
        </w:rPr>
        <w:t>.</w:t>
      </w:r>
      <w:r>
        <w:rPr>
          <w:rFonts w:hint="eastAsia" w:ascii="新宋体" w:hAnsi="新宋体" w:eastAsia="新宋体"/>
          <w:szCs w:val="21"/>
        </w:rPr>
        <w:t>1.2</w:t>
      </w:r>
      <w:r>
        <w:rPr>
          <w:rFonts w:ascii="新宋体" w:hAnsi="新宋体" w:eastAsia="新宋体"/>
          <w:szCs w:val="21"/>
        </w:rPr>
        <w:t>采用最低评标价法的，评标结果按投标报价由低到高顺序排列。投标报价相同的并列。投标文件满足招标文件全部实质性要求且投标报价最低的投标人为排名第一的中标候选人（</w:t>
      </w:r>
      <w:r>
        <w:rPr>
          <w:rFonts w:hint="eastAsia" w:ascii="新宋体" w:hAnsi="新宋体" w:eastAsia="新宋体"/>
          <w:szCs w:val="21"/>
        </w:rPr>
        <w:t>排名</w:t>
      </w:r>
      <w:r>
        <w:rPr>
          <w:rFonts w:ascii="新宋体" w:hAnsi="新宋体" w:eastAsia="新宋体"/>
          <w:szCs w:val="21"/>
        </w:rPr>
        <w:t>第二</w:t>
      </w:r>
      <w:r>
        <w:rPr>
          <w:rFonts w:hint="eastAsia" w:ascii="新宋体" w:hAnsi="新宋体" w:eastAsia="新宋体"/>
          <w:szCs w:val="21"/>
        </w:rPr>
        <w:t>的投标人为第一递补中标候选人、排名</w:t>
      </w:r>
      <w:r>
        <w:rPr>
          <w:rFonts w:ascii="新宋体" w:hAnsi="新宋体" w:eastAsia="新宋体"/>
          <w:szCs w:val="21"/>
        </w:rPr>
        <w:t>第</w:t>
      </w:r>
      <w:r>
        <w:rPr>
          <w:rFonts w:hint="eastAsia" w:ascii="新宋体" w:hAnsi="新宋体" w:eastAsia="新宋体"/>
          <w:szCs w:val="21"/>
        </w:rPr>
        <w:t>三的投标人为第二递补中标候选人</w:t>
      </w:r>
      <w:r>
        <w:rPr>
          <w:rFonts w:ascii="新宋体" w:hAnsi="新宋体" w:eastAsia="新宋体"/>
          <w:szCs w:val="21"/>
        </w:rPr>
        <w:t>）。</w:t>
      </w:r>
    </w:p>
    <w:p w14:paraId="64813DE7">
      <w:pPr>
        <w:spacing w:line="360" w:lineRule="auto"/>
        <w:rPr>
          <w:rFonts w:ascii="新宋体" w:hAnsi="新宋体" w:eastAsia="新宋体"/>
          <w:szCs w:val="21"/>
        </w:rPr>
      </w:pPr>
      <w:r>
        <w:rPr>
          <w:rFonts w:hint="eastAsia" w:ascii="新宋体" w:hAnsi="新宋体" w:eastAsia="新宋体"/>
          <w:szCs w:val="21"/>
        </w:rPr>
        <w:t>38</w:t>
      </w:r>
      <w:r>
        <w:rPr>
          <w:rFonts w:ascii="新宋体" w:hAnsi="新宋体" w:eastAsia="新宋体"/>
          <w:szCs w:val="21"/>
        </w:rPr>
        <w:t>.</w:t>
      </w:r>
      <w:r>
        <w:rPr>
          <w:rFonts w:hint="eastAsia" w:ascii="新宋体" w:hAnsi="新宋体" w:eastAsia="新宋体"/>
          <w:szCs w:val="21"/>
        </w:rPr>
        <w:t>1.3</w:t>
      </w:r>
      <w:r>
        <w:rPr>
          <w:rFonts w:ascii="新宋体" w:hAnsi="新宋体" w:eastAsia="新宋体"/>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新宋体" w:hAnsi="新宋体" w:eastAsia="新宋体"/>
          <w:szCs w:val="21"/>
        </w:rPr>
        <w:t>排名</w:t>
      </w:r>
      <w:r>
        <w:rPr>
          <w:rFonts w:ascii="新宋体" w:hAnsi="新宋体" w:eastAsia="新宋体"/>
          <w:szCs w:val="21"/>
        </w:rPr>
        <w:t>第二</w:t>
      </w:r>
      <w:r>
        <w:rPr>
          <w:rFonts w:hint="eastAsia" w:ascii="新宋体" w:hAnsi="新宋体" w:eastAsia="新宋体"/>
          <w:szCs w:val="21"/>
        </w:rPr>
        <w:t>的投标人为第一递补中标候选人、排名</w:t>
      </w:r>
      <w:r>
        <w:rPr>
          <w:rFonts w:ascii="新宋体" w:hAnsi="新宋体" w:eastAsia="新宋体"/>
          <w:szCs w:val="21"/>
        </w:rPr>
        <w:t>第</w:t>
      </w:r>
      <w:r>
        <w:rPr>
          <w:rFonts w:hint="eastAsia" w:ascii="新宋体" w:hAnsi="新宋体" w:eastAsia="新宋体"/>
          <w:szCs w:val="21"/>
        </w:rPr>
        <w:t>三的投标人为第二递补中标候选人</w:t>
      </w:r>
      <w:r>
        <w:rPr>
          <w:rFonts w:ascii="新宋体" w:hAnsi="新宋体" w:eastAsia="新宋体"/>
          <w:szCs w:val="21"/>
        </w:rPr>
        <w:t>）。</w:t>
      </w:r>
    </w:p>
    <w:p w14:paraId="534E3E17">
      <w:pPr>
        <w:spacing w:line="360" w:lineRule="auto"/>
        <w:rPr>
          <w:rFonts w:ascii="新宋体" w:hAnsi="新宋体" w:eastAsia="新宋体"/>
          <w:szCs w:val="21"/>
        </w:rPr>
      </w:pPr>
      <w:r>
        <w:rPr>
          <w:rFonts w:hint="eastAsia" w:ascii="新宋体" w:hAnsi="新宋体" w:eastAsia="新宋体"/>
          <w:szCs w:val="21"/>
        </w:rPr>
        <w:t>出现</w:t>
      </w:r>
      <w:r>
        <w:rPr>
          <w:rFonts w:ascii="新宋体" w:hAnsi="新宋体" w:eastAsia="新宋体"/>
          <w:szCs w:val="21"/>
        </w:rPr>
        <w:t>得分且投标报价相同的并列</w:t>
      </w:r>
      <w:r>
        <w:rPr>
          <w:rFonts w:hint="eastAsia" w:ascii="新宋体" w:hAnsi="新宋体" w:eastAsia="新宋体"/>
          <w:szCs w:val="21"/>
        </w:rPr>
        <w:t>情况时，采取随机抽取的方式确定，具体操作办法及流程由评审委员会确定。</w:t>
      </w:r>
    </w:p>
    <w:p w14:paraId="448C5252">
      <w:pPr>
        <w:spacing w:line="360" w:lineRule="auto"/>
        <w:rPr>
          <w:rFonts w:ascii="新宋体" w:hAnsi="新宋体" w:eastAsia="新宋体"/>
          <w:color w:val="FF0000"/>
          <w:szCs w:val="21"/>
        </w:rPr>
      </w:pPr>
      <w:r>
        <w:rPr>
          <w:rFonts w:hint="eastAsia" w:ascii="新宋体" w:hAnsi="新宋体" w:eastAsia="新宋体"/>
          <w:color w:val="FF0000"/>
          <w:szCs w:val="21"/>
        </w:rPr>
        <w:t>38.2评定分离项目定标方法</w:t>
      </w:r>
    </w:p>
    <w:p w14:paraId="35EF632B">
      <w:pPr>
        <w:spacing w:line="360" w:lineRule="auto"/>
        <w:rPr>
          <w:rFonts w:ascii="新宋体" w:hAnsi="新宋体" w:eastAsia="新宋体"/>
          <w:szCs w:val="21"/>
        </w:rPr>
      </w:pPr>
      <w:r>
        <w:rPr>
          <w:rFonts w:hint="eastAsia" w:ascii="新宋体" w:hAnsi="新宋体" w:eastAsia="新宋体"/>
          <w:szCs w:val="21"/>
        </w:rPr>
        <w:t>38.2.1根据《深圳经济特区政府采购条例实施细则》等有关规定，本项目采用评标和定标分离办法，即评审委员会按照本项目规定的评审方法对投标文件进行评审、推荐候选中标供应商并出具书面评审报告，由采购人根据评审委员会出具的评审报告和推荐的候选中标供应商确定中标供应商。具体所采用的评审方法和定标方法（定标规则）详见招标文件第一册关键信息的内容。</w:t>
      </w:r>
    </w:p>
    <w:p w14:paraId="04E3A4AA">
      <w:pPr>
        <w:spacing w:line="360" w:lineRule="auto"/>
        <w:rPr>
          <w:rFonts w:ascii="新宋体" w:hAnsi="新宋体" w:eastAsia="新宋体"/>
          <w:szCs w:val="21"/>
        </w:rPr>
      </w:pPr>
      <w:r>
        <w:rPr>
          <w:rFonts w:hint="eastAsia" w:ascii="新宋体" w:hAnsi="新宋体" w:eastAsia="新宋体"/>
          <w:szCs w:val="21"/>
        </w:rPr>
        <w:t>38.2.2采用“综合评分法”或“最低价法”评审方法的项目，评审委员会按照评审结果，依照招标文件第一册关键信息的内容推荐相应数量的候选中标供应商。</w:t>
      </w:r>
      <w:r>
        <w:rPr>
          <w:rFonts w:hint="eastAsia" w:ascii="新宋体" w:hAnsi="新宋体" w:eastAsia="新宋体"/>
          <w:color w:val="FF0000"/>
          <w:szCs w:val="21"/>
        </w:rPr>
        <w:t>采用“定性评审法”评审方法的项目，所有递交投标文件不被判定为无效标的投标人，均推荐为候选中标供应商。</w:t>
      </w:r>
    </w:p>
    <w:p w14:paraId="648DD8DD">
      <w:pPr>
        <w:spacing w:line="360" w:lineRule="auto"/>
        <w:rPr>
          <w:rFonts w:ascii="新宋体" w:hAnsi="新宋体" w:eastAsia="新宋体"/>
          <w:szCs w:val="21"/>
        </w:rPr>
      </w:pPr>
      <w:r>
        <w:rPr>
          <w:rFonts w:hint="eastAsia" w:ascii="新宋体" w:hAnsi="新宋体" w:eastAsia="新宋体"/>
          <w:szCs w:val="21"/>
        </w:rPr>
        <w:t>38.2.3采购人应当按照以下方法确定中标供应商：</w:t>
      </w:r>
    </w:p>
    <w:p w14:paraId="0A474094">
      <w:pPr>
        <w:spacing w:line="360" w:lineRule="auto"/>
        <w:rPr>
          <w:rFonts w:ascii="新宋体" w:hAnsi="新宋体" w:eastAsia="新宋体"/>
          <w:szCs w:val="21"/>
        </w:rPr>
      </w:pPr>
      <w:r>
        <w:rPr>
          <w:rFonts w:ascii="新宋体" w:hAnsi="新宋体" w:eastAsia="新宋体"/>
          <w:szCs w:val="21"/>
        </w:rPr>
        <w:t>38.</w:t>
      </w:r>
      <w:r>
        <w:rPr>
          <w:rFonts w:hint="eastAsia" w:ascii="新宋体" w:hAnsi="新宋体" w:eastAsia="新宋体"/>
          <w:szCs w:val="21"/>
        </w:rPr>
        <w:t>2.3.1自定法。自定法是指采购人组织定标委员会，由定标委员会在候选中标供应商中确定中标供应商。</w:t>
      </w:r>
    </w:p>
    <w:p w14:paraId="221421E7">
      <w:pPr>
        <w:spacing w:line="360" w:lineRule="auto"/>
        <w:rPr>
          <w:rFonts w:ascii="新宋体" w:hAnsi="新宋体" w:eastAsia="新宋体"/>
          <w:szCs w:val="21"/>
        </w:rPr>
      </w:pPr>
      <w:r>
        <w:rPr>
          <w:rFonts w:hint="eastAsia" w:ascii="新宋体" w:hAnsi="新宋体" w:eastAsia="新宋体"/>
          <w:szCs w:val="21"/>
        </w:rPr>
        <w:t>操作程序：</w:t>
      </w:r>
    </w:p>
    <w:p w14:paraId="0CE9FDC2">
      <w:pPr>
        <w:spacing w:line="360" w:lineRule="auto"/>
        <w:rPr>
          <w:rFonts w:ascii="新宋体" w:hAnsi="新宋体" w:eastAsia="新宋体"/>
          <w:szCs w:val="21"/>
        </w:rPr>
      </w:pPr>
      <w:r>
        <w:rPr>
          <w:rFonts w:hint="eastAsia" w:ascii="新宋体" w:hAnsi="新宋体" w:eastAsia="新宋体"/>
          <w:szCs w:val="21"/>
        </w:rPr>
        <w:t>①招标代理机构自评审结束之日起2个工作日内通过系统将评审报告送交采购人。</w:t>
      </w:r>
    </w:p>
    <w:p w14:paraId="1B3FE846">
      <w:pPr>
        <w:spacing w:line="360" w:lineRule="auto"/>
        <w:rPr>
          <w:rFonts w:ascii="新宋体" w:hAnsi="新宋体" w:eastAsia="新宋体"/>
          <w:color w:val="FF0000"/>
          <w:szCs w:val="21"/>
        </w:rPr>
      </w:pPr>
      <w:r>
        <w:rPr>
          <w:rFonts w:hint="eastAsia" w:ascii="新宋体" w:hAnsi="新宋体" w:eastAsia="新宋体"/>
          <w:szCs w:val="21"/>
        </w:rPr>
        <w:t>②采购人应当自收到评审报告之日起3个工作日内，组成定标委员会，召开定标会并确定中标供应商（中标供应商的具体数量由采购人在项目申报时确定并在招标文件中体现）。</w:t>
      </w:r>
      <w:r>
        <w:rPr>
          <w:rFonts w:hint="eastAsia" w:ascii="新宋体" w:hAnsi="新宋体" w:eastAsia="新宋体"/>
          <w:color w:val="FF0000"/>
          <w:szCs w:val="21"/>
        </w:rPr>
        <w:t>应当提交采购人领导班子集体研究, 按照“少数服从多数，且多数人数超过班子成员半数方可有效”的原则进行决策。</w:t>
      </w:r>
    </w:p>
    <w:p w14:paraId="71FFC698">
      <w:pPr>
        <w:spacing w:line="360" w:lineRule="auto"/>
        <w:ind w:firstLine="420" w:firstLineChars="200"/>
        <w:rPr>
          <w:rFonts w:ascii="新宋体" w:hAnsi="新宋体" w:eastAsia="新宋体"/>
          <w:szCs w:val="21"/>
        </w:rPr>
      </w:pPr>
      <w:r>
        <w:rPr>
          <w:rFonts w:hint="eastAsia" w:ascii="新宋体" w:hAnsi="新宋体" w:eastAsia="新宋体"/>
          <w:szCs w:val="21"/>
        </w:rPr>
        <w:t>中标供应商的确定流程：网上具体操作时，在结束辅助评标后，招标代理机构工作人员上传候选中标供应商的投标文件并录入候选中标供应商的中标信息，完成上述操作后后进入“采购人录入定标结果”的环节；采购人在“采购人录入定标结果”中可以实时的查看候选中标供应商、投标报价、投标文件，同时查看和打印综合得分表、评审报告、候选中标供应商评价表，以单选框的方式，在显示候选中标供应商名称和投标报价的列表中，由采购人根据定标结果选择中标供应商。</w:t>
      </w:r>
    </w:p>
    <w:p w14:paraId="0854BB56">
      <w:pPr>
        <w:spacing w:line="360" w:lineRule="auto"/>
        <w:rPr>
          <w:rFonts w:ascii="新宋体" w:hAnsi="新宋体" w:eastAsia="新宋体"/>
          <w:szCs w:val="21"/>
        </w:rPr>
      </w:pPr>
      <w:r>
        <w:rPr>
          <w:rFonts w:hint="eastAsia" w:ascii="新宋体" w:hAnsi="新宋体" w:eastAsia="新宋体"/>
          <w:szCs w:val="21"/>
        </w:rPr>
        <w:t>③采购人应当自定标会召开后的3个工作日内，将定标书面记录、定标报告在采购人内部网站或者内部办公区域公示，公示日期不少于3个工作日。公示内容包括定标委员会候选人员名单、正式成员名单、定标程序、定标环节及定标结果等内容。</w:t>
      </w:r>
    </w:p>
    <w:p w14:paraId="344557D7">
      <w:pPr>
        <w:spacing w:line="360" w:lineRule="auto"/>
        <w:rPr>
          <w:rFonts w:ascii="新宋体" w:hAnsi="新宋体" w:eastAsia="新宋体"/>
          <w:szCs w:val="21"/>
        </w:rPr>
      </w:pPr>
      <w:r>
        <w:rPr>
          <w:rFonts w:hint="eastAsia" w:ascii="新宋体" w:hAnsi="新宋体" w:eastAsia="新宋体"/>
          <w:szCs w:val="21"/>
        </w:rPr>
        <w:t>④采购人应当在公示结束后3个工作日内，将定标报告送招标代理机构备案。定标报告包括但不限于定标委员会候选人员名单、正式成员名单、定标委员会的产生过程、定标程序及定标结果等内容。</w:t>
      </w:r>
    </w:p>
    <w:p w14:paraId="7FAEF25F">
      <w:pPr>
        <w:spacing w:line="360" w:lineRule="auto"/>
        <w:rPr>
          <w:rFonts w:ascii="新宋体" w:hAnsi="新宋体" w:eastAsia="新宋体"/>
          <w:szCs w:val="21"/>
        </w:rPr>
      </w:pPr>
      <w:r>
        <w:rPr>
          <w:rFonts w:hint="eastAsia" w:ascii="新宋体" w:hAnsi="新宋体" w:eastAsia="新宋体"/>
          <w:szCs w:val="21"/>
        </w:rPr>
        <w:t>⑤采购人逾期不确定的，招标代理机构将报主管部门处理，处理期间不计入采购期间。</w:t>
      </w:r>
    </w:p>
    <w:p w14:paraId="1AD94D56">
      <w:pPr>
        <w:spacing w:line="360" w:lineRule="auto"/>
        <w:rPr>
          <w:rFonts w:ascii="新宋体" w:hAnsi="新宋体" w:eastAsia="新宋体"/>
          <w:szCs w:val="21"/>
        </w:rPr>
      </w:pPr>
      <w:r>
        <w:rPr>
          <w:rFonts w:ascii="新宋体" w:hAnsi="新宋体" w:eastAsia="新宋体"/>
          <w:szCs w:val="21"/>
        </w:rPr>
        <w:t>38.</w:t>
      </w:r>
      <w:r>
        <w:rPr>
          <w:rFonts w:hint="eastAsia" w:ascii="新宋体" w:hAnsi="新宋体" w:eastAsia="新宋体"/>
          <w:szCs w:val="21"/>
        </w:rPr>
        <w:t>2.3.2抽签法。抽签法是指候选中标供应商产生后，由采购人委托招标代理机构按照随机抽签的方式在候选中标供应商中确定中标供应商。抽签方式分为网上抽签和网下抽签两种。</w:t>
      </w:r>
    </w:p>
    <w:p w14:paraId="72B224A9">
      <w:pPr>
        <w:spacing w:line="360" w:lineRule="auto"/>
        <w:rPr>
          <w:rFonts w:ascii="新宋体" w:hAnsi="新宋体" w:eastAsia="新宋体"/>
          <w:szCs w:val="21"/>
        </w:rPr>
      </w:pPr>
      <w:r>
        <w:rPr>
          <w:rFonts w:hint="eastAsia" w:ascii="新宋体" w:hAnsi="新宋体" w:eastAsia="新宋体"/>
          <w:szCs w:val="21"/>
        </w:rPr>
        <w:t>网上抽签操作程序：①在结束辅助评标后，进入随机抽签的环节（相应功能点为“采购人定标结果抽签”）；②以包组为单位，由采购人在候选中标供应商中随机抽取中标供应商（中标供应商的具体数量由采购人在项目申报时确定并在招标文件中体现）；③采购人网上抽签结束，点击确认后，直接进入“起草采购结果公示”环节。</w:t>
      </w:r>
    </w:p>
    <w:p w14:paraId="2AD51D66">
      <w:pPr>
        <w:spacing w:line="360" w:lineRule="auto"/>
        <w:rPr>
          <w:rFonts w:ascii="新宋体" w:hAnsi="新宋体" w:eastAsia="新宋体"/>
          <w:szCs w:val="21"/>
        </w:rPr>
      </w:pPr>
      <w:r>
        <w:rPr>
          <w:rFonts w:hint="eastAsia" w:ascii="新宋体" w:hAnsi="新宋体" w:eastAsia="新宋体"/>
          <w:szCs w:val="21"/>
        </w:rPr>
        <w:t>网下抽签操作程序：①候选中标供应商产生后，由采购人委托招标代理机构评审结束的当日，组织抽签小组随机抽取中标供应商（中标供应商的具体数量由采购人在项目申报时确定并在招标文件中体现）。②抽签小组原则上由采购人授权代表和项目评审组织人组成，项目评审组织人指招标代理机构工作人员。③抽签采用网下组织实施，过程要求全程录音录像。④抽取流程。a、编号。抽签小组按候选中标供应商投标时间先后确定抽签编号，如A公司投标时间最早，则抽签编号为1，以此类推。b、抽签。按抽签编号的数量放入相应数量及编号的号码球，抽签小组成员随机抽取1个号码球。c、定签。按抽中的号码球编号与事先确定的抽签编号确定中标供应商。填写《抽签表》。d、确认结果。抽签小组成员签字确认抽签结果。填写《抽签结果确认书》。招标代理机构工作人员根据网下抽签的结果直接录入中标供应商信息。</w:t>
      </w:r>
    </w:p>
    <w:p w14:paraId="4460A08C">
      <w:pPr>
        <w:spacing w:line="360" w:lineRule="auto"/>
        <w:rPr>
          <w:rFonts w:ascii="新宋体" w:hAnsi="新宋体" w:eastAsia="新宋体"/>
          <w:szCs w:val="21"/>
        </w:rPr>
      </w:pPr>
      <w:r>
        <w:rPr>
          <w:rFonts w:ascii="新宋体" w:hAnsi="新宋体" w:eastAsia="新宋体"/>
          <w:szCs w:val="21"/>
        </w:rPr>
        <w:t>38.</w:t>
      </w:r>
      <w:r>
        <w:rPr>
          <w:rFonts w:hint="eastAsia" w:ascii="新宋体" w:hAnsi="新宋体" w:eastAsia="新宋体"/>
          <w:szCs w:val="21"/>
        </w:rPr>
        <w:t>2.</w:t>
      </w:r>
      <w:r>
        <w:rPr>
          <w:rFonts w:ascii="新宋体" w:hAnsi="新宋体" w:eastAsia="新宋体"/>
          <w:szCs w:val="21"/>
        </w:rPr>
        <w:t>3</w:t>
      </w:r>
      <w:r>
        <w:rPr>
          <w:rFonts w:hint="eastAsia" w:ascii="新宋体" w:hAnsi="新宋体" w:eastAsia="新宋体"/>
          <w:szCs w:val="21"/>
        </w:rPr>
        <w:t>.3竞价法。竞价法是指候选中标供应商产生后，由采购人委托招标代理机构组织候选中标供应商进行二次竞价，最终报价最低的为中标供应商。</w:t>
      </w:r>
    </w:p>
    <w:p w14:paraId="19E81172">
      <w:pPr>
        <w:spacing w:line="360" w:lineRule="auto"/>
        <w:rPr>
          <w:rFonts w:ascii="新宋体" w:hAnsi="新宋体" w:eastAsia="新宋体"/>
          <w:szCs w:val="21"/>
        </w:rPr>
      </w:pPr>
      <w:r>
        <w:rPr>
          <w:rFonts w:hint="eastAsia" w:ascii="新宋体" w:hAnsi="新宋体" w:eastAsia="新宋体"/>
          <w:szCs w:val="21"/>
        </w:rPr>
        <w:t>备注（竞价法）：①候选中标供应商竞价的价格不得高于其投标文件中的报价。②二次竞价的价格为投标总价，采购计划条目对应的分项报价按最终报价与原投标报价下浮比例统一下调。③中标供应商的具体数量由采购人在项目申报时确定并在招标文件中体现。</w:t>
      </w:r>
    </w:p>
    <w:p w14:paraId="6E6C68A7">
      <w:pPr>
        <w:spacing w:line="360" w:lineRule="auto"/>
        <w:rPr>
          <w:rFonts w:ascii="新宋体" w:hAnsi="新宋体" w:eastAsia="新宋体"/>
          <w:szCs w:val="21"/>
        </w:rPr>
      </w:pPr>
      <w:r>
        <w:rPr>
          <w:rFonts w:hint="eastAsia" w:ascii="新宋体" w:hAnsi="新宋体" w:eastAsia="新宋体"/>
          <w:szCs w:val="21"/>
        </w:rPr>
        <w:t>说明：采购人及投标供应商应按照上述方法提前做好相关准备。</w:t>
      </w:r>
    </w:p>
    <w:p w14:paraId="4AE98B33">
      <w:pPr>
        <w:spacing w:line="360" w:lineRule="auto"/>
        <w:rPr>
          <w:rFonts w:ascii="新宋体" w:hAnsi="新宋体" w:eastAsia="新宋体"/>
          <w:szCs w:val="21"/>
        </w:rPr>
      </w:pPr>
      <w:r>
        <w:rPr>
          <w:rFonts w:hint="eastAsia" w:ascii="新宋体" w:hAnsi="新宋体" w:eastAsia="新宋体"/>
          <w:szCs w:val="21"/>
        </w:rPr>
        <w:t>38.3专用条款另有规定的，按专用条款相关要求定标。</w:t>
      </w:r>
    </w:p>
    <w:p w14:paraId="30A5F701">
      <w:pPr>
        <w:spacing w:line="360" w:lineRule="auto"/>
        <w:rPr>
          <w:rFonts w:ascii="新宋体" w:hAnsi="新宋体" w:eastAsia="新宋体"/>
          <w:szCs w:val="21"/>
        </w:rPr>
      </w:pPr>
      <w:r>
        <w:rPr>
          <w:rFonts w:hint="eastAsia" w:ascii="新宋体" w:hAnsi="新宋体" w:eastAsia="新宋体"/>
          <w:szCs w:val="21"/>
        </w:rPr>
        <w:t>39．编写评标报告</w:t>
      </w:r>
    </w:p>
    <w:p w14:paraId="6D0D5E62">
      <w:pPr>
        <w:spacing w:line="360" w:lineRule="auto"/>
        <w:rPr>
          <w:rFonts w:ascii="新宋体" w:hAnsi="新宋体" w:eastAsia="新宋体"/>
          <w:szCs w:val="21"/>
        </w:rPr>
      </w:pPr>
      <w:r>
        <w:rPr>
          <w:rFonts w:hint="eastAsia" w:ascii="新宋体" w:hAnsi="新宋体" w:eastAsia="新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4F60205B">
      <w:pPr>
        <w:spacing w:line="360" w:lineRule="auto"/>
        <w:rPr>
          <w:rFonts w:ascii="新宋体" w:hAnsi="新宋体" w:eastAsia="新宋体"/>
          <w:szCs w:val="21"/>
        </w:rPr>
      </w:pPr>
      <w:r>
        <w:rPr>
          <w:rFonts w:hint="eastAsia" w:ascii="新宋体" w:hAnsi="新宋体" w:eastAsia="新宋体"/>
          <w:szCs w:val="21"/>
        </w:rPr>
        <w:t>40．中标公告</w:t>
      </w:r>
    </w:p>
    <w:p w14:paraId="388A2C23">
      <w:pPr>
        <w:spacing w:line="360" w:lineRule="auto"/>
        <w:rPr>
          <w:rFonts w:ascii="新宋体" w:hAnsi="新宋体" w:eastAsia="新宋体"/>
          <w:szCs w:val="21"/>
        </w:rPr>
      </w:pPr>
      <w:r>
        <w:rPr>
          <w:rFonts w:hint="eastAsia" w:ascii="新宋体" w:hAnsi="新宋体" w:eastAsia="新宋体"/>
          <w:szCs w:val="21"/>
        </w:rPr>
        <w:t>40.1为体现“公开、公平、公正”的原则，评标结束后，招标代理机构将在</w:t>
      </w:r>
      <w:r>
        <w:rPr>
          <w:rFonts w:hint="eastAsia" w:ascii="新宋体" w:hAnsi="新宋体" w:eastAsia="新宋体"/>
          <w:color w:val="FF0000"/>
          <w:szCs w:val="21"/>
        </w:rPr>
        <w:t>“深圳市瑞凝信招标咨询有限公司网”（</w:t>
      </w:r>
      <w:r>
        <w:rPr>
          <w:color w:val="FF0000"/>
        </w:rPr>
        <w:t>http://www.realsino.cn/</w:t>
      </w:r>
      <w:r>
        <w:rPr>
          <w:rFonts w:hint="eastAsia" w:ascii="新宋体" w:hAnsi="新宋体" w:eastAsia="新宋体"/>
          <w:color w:val="FF0000"/>
          <w:szCs w:val="21"/>
        </w:rPr>
        <w:t>）</w:t>
      </w:r>
      <w:r>
        <w:rPr>
          <w:rFonts w:hint="eastAsia" w:ascii="新宋体" w:hAnsi="新宋体" w:eastAsia="新宋体"/>
          <w:szCs w:val="21"/>
        </w:rPr>
        <w:t>上发布中标结果公告。供应商如对评标结果有异议，</w:t>
      </w:r>
      <w:r>
        <w:rPr>
          <w:rFonts w:ascii="新宋体" w:hAnsi="新宋体" w:eastAsia="新宋体"/>
          <w:szCs w:val="21"/>
        </w:rPr>
        <w:t>可在发布公示日期起五个工作日内向</w:t>
      </w:r>
      <w:r>
        <w:rPr>
          <w:rFonts w:hint="eastAsia" w:ascii="新宋体" w:hAnsi="新宋体" w:eastAsia="新宋体"/>
          <w:szCs w:val="21"/>
        </w:rPr>
        <w:t>招标代理机构</w:t>
      </w:r>
      <w:r>
        <w:rPr>
          <w:rFonts w:ascii="新宋体" w:hAnsi="新宋体" w:eastAsia="新宋体"/>
          <w:szCs w:val="21"/>
        </w:rPr>
        <w:t>提出。</w:t>
      </w:r>
      <w:r>
        <w:rPr>
          <w:rFonts w:hint="eastAsia" w:ascii="新宋体" w:hAnsi="新宋体" w:eastAsia="新宋体"/>
          <w:szCs w:val="21"/>
        </w:rPr>
        <w:t>若在公示期内未提出质疑，则视为认同该评标结果。</w:t>
      </w:r>
    </w:p>
    <w:p w14:paraId="5BF8D794">
      <w:pPr>
        <w:spacing w:line="360" w:lineRule="auto"/>
        <w:rPr>
          <w:rFonts w:ascii="新宋体" w:hAnsi="新宋体" w:eastAsia="新宋体"/>
          <w:szCs w:val="21"/>
        </w:rPr>
      </w:pPr>
      <w:r>
        <w:rPr>
          <w:rFonts w:hint="eastAsia" w:ascii="新宋体" w:hAnsi="新宋体" w:eastAsia="新宋体"/>
          <w:szCs w:val="21"/>
        </w:rPr>
        <w:t>40.2质疑投诉人应保证质疑投诉内容的真实性和可靠性，并承担相应的法律责任。</w:t>
      </w:r>
    </w:p>
    <w:p w14:paraId="7E85F24D">
      <w:pPr>
        <w:spacing w:line="360" w:lineRule="auto"/>
        <w:rPr>
          <w:rFonts w:ascii="新宋体" w:hAnsi="新宋体" w:eastAsia="新宋体"/>
          <w:szCs w:val="21"/>
        </w:rPr>
      </w:pPr>
      <w:r>
        <w:rPr>
          <w:rFonts w:hint="eastAsia" w:ascii="新宋体" w:hAnsi="新宋体" w:eastAsia="新宋体"/>
          <w:szCs w:val="21"/>
        </w:rPr>
        <w:t>41．中标通知书</w:t>
      </w:r>
    </w:p>
    <w:p w14:paraId="4D18ED05">
      <w:pPr>
        <w:spacing w:line="360" w:lineRule="auto"/>
        <w:rPr>
          <w:rFonts w:ascii="新宋体" w:hAnsi="新宋体" w:eastAsia="新宋体"/>
          <w:szCs w:val="21"/>
        </w:rPr>
      </w:pPr>
      <w:r>
        <w:rPr>
          <w:rFonts w:hint="eastAsia" w:ascii="新宋体" w:hAnsi="新宋体" w:eastAsia="新宋体"/>
          <w:szCs w:val="21"/>
        </w:rPr>
        <w:t>41</w:t>
      </w:r>
      <w:r>
        <w:rPr>
          <w:rFonts w:ascii="新宋体" w:hAnsi="新宋体" w:eastAsia="新宋体"/>
          <w:szCs w:val="21"/>
        </w:rPr>
        <w:t>.</w:t>
      </w:r>
      <w:r>
        <w:rPr>
          <w:rFonts w:hint="eastAsia" w:ascii="新宋体" w:hAnsi="新宋体" w:eastAsia="新宋体"/>
          <w:szCs w:val="21"/>
        </w:rPr>
        <w:t>1中标公告公布以后,公示期内无有效质疑投诉,采购代理机构发出中标通知书，中标通知书对采购人和中标人具有同等法律效力。中标通知书发出后，中标人无正当理由不得放弃中标，中标通知书是合同的重要组成部分。</w:t>
      </w:r>
    </w:p>
    <w:p w14:paraId="26EA2E2B">
      <w:pPr>
        <w:spacing w:line="360" w:lineRule="auto"/>
        <w:rPr>
          <w:rFonts w:ascii="新宋体" w:hAnsi="新宋体" w:eastAsia="新宋体"/>
          <w:szCs w:val="21"/>
        </w:rPr>
      </w:pPr>
      <w:r>
        <w:rPr>
          <w:rFonts w:hint="eastAsia" w:ascii="新宋体" w:hAnsi="新宋体" w:eastAsia="新宋体"/>
          <w:szCs w:val="21"/>
        </w:rPr>
        <w:t>41</w:t>
      </w:r>
      <w:r>
        <w:rPr>
          <w:rFonts w:ascii="新宋体" w:hAnsi="新宋体" w:eastAsia="新宋体"/>
          <w:szCs w:val="21"/>
        </w:rPr>
        <w:t xml:space="preserve">.2 </w:t>
      </w:r>
      <w:r>
        <w:rPr>
          <w:rFonts w:hint="eastAsia" w:ascii="新宋体" w:hAnsi="新宋体" w:eastAsia="新宋体"/>
          <w:szCs w:val="21"/>
        </w:rPr>
        <w:t>因质疑投诉或其它原因导致项目结果变更或采购终止的，招标代理机构有权吊销中标通知书或终止采购合同。</w:t>
      </w:r>
    </w:p>
    <w:p w14:paraId="63D9B304">
      <w:pPr>
        <w:spacing w:line="360" w:lineRule="auto"/>
        <w:rPr>
          <w:rFonts w:ascii="新宋体" w:hAnsi="新宋体" w:eastAsia="新宋体"/>
          <w:szCs w:val="21"/>
        </w:rPr>
      </w:pPr>
      <w:r>
        <w:rPr>
          <w:rFonts w:hint="eastAsia" w:ascii="新宋体" w:hAnsi="新宋体" w:eastAsia="新宋体"/>
          <w:color w:val="FF0000"/>
          <w:szCs w:val="21"/>
        </w:rPr>
        <w:t>41.3招标代理服务费：中标人须向招标代理机构按如下标准和规定缴纳中标服务费</w:t>
      </w:r>
    </w:p>
    <w:p w14:paraId="3647C84F">
      <w:pPr>
        <w:spacing w:line="360" w:lineRule="auto"/>
        <w:rPr>
          <w:rFonts w:ascii="新宋体" w:hAnsi="新宋体" w:eastAsia="新宋体"/>
          <w:szCs w:val="21"/>
        </w:rPr>
      </w:pPr>
      <w:r>
        <w:rPr>
          <w:rFonts w:ascii="新宋体" w:hAnsi="新宋体" w:eastAsia="新宋体"/>
          <w:szCs w:val="21"/>
        </w:rPr>
        <w:t>41.3.1</w:t>
      </w:r>
      <w:r>
        <w:rPr>
          <w:rFonts w:hint="eastAsia" w:ascii="新宋体" w:hAnsi="新宋体" w:eastAsia="新宋体"/>
          <w:szCs w:val="21"/>
        </w:rPr>
        <w:t>以中标金额作为中标服务费的计算基数。中标服务费收费采用差额定率累进法计算方式，按关于规范深圳市社会采购代理机构管理有关事项的补充通知(深财购[2018]27号)”的规定执行；</w:t>
      </w:r>
    </w:p>
    <w:p w14:paraId="5769C4F5">
      <w:pPr>
        <w:spacing w:line="360" w:lineRule="auto"/>
        <w:rPr>
          <w:rFonts w:ascii="新宋体" w:hAnsi="新宋体" w:eastAsia="新宋体"/>
          <w:szCs w:val="21"/>
        </w:rPr>
      </w:pPr>
      <w:r>
        <w:rPr>
          <w:rFonts w:ascii="新宋体" w:hAnsi="新宋体" w:eastAsia="新宋体"/>
          <w:szCs w:val="21"/>
        </w:rPr>
        <w:t>41.3.</w:t>
      </w:r>
      <w:r>
        <w:rPr>
          <w:rFonts w:hint="eastAsia" w:ascii="新宋体" w:hAnsi="新宋体" w:eastAsia="新宋体"/>
          <w:szCs w:val="21"/>
        </w:rPr>
        <w:t>2中标服务费的缴纳形式：向招标代理机构直接缴纳，可用支票、电汇等付款方式；</w:t>
      </w:r>
    </w:p>
    <w:p w14:paraId="737A4F1D">
      <w:pPr>
        <w:spacing w:line="360" w:lineRule="auto"/>
      </w:pPr>
    </w:p>
    <w:p w14:paraId="038C4AF4">
      <w:pPr>
        <w:pStyle w:val="6"/>
        <w:rPr>
          <w:rFonts w:ascii="新宋体" w:hAnsi="新宋体" w:eastAsia="新宋体"/>
          <w:kern w:val="44"/>
          <w:sz w:val="30"/>
          <w:szCs w:val="30"/>
        </w:rPr>
      </w:pPr>
      <w:r>
        <w:rPr>
          <w:rFonts w:hint="eastAsia" w:ascii="新宋体" w:hAnsi="新宋体" w:eastAsia="新宋体"/>
          <w:kern w:val="44"/>
          <w:sz w:val="30"/>
          <w:szCs w:val="30"/>
        </w:rPr>
        <w:t>第九章  公开招标失败的后续处理</w:t>
      </w:r>
    </w:p>
    <w:p w14:paraId="4B621F9F">
      <w:pPr>
        <w:spacing w:line="360" w:lineRule="auto"/>
        <w:rPr>
          <w:rFonts w:ascii="新宋体" w:hAnsi="新宋体" w:eastAsia="新宋体"/>
          <w:szCs w:val="21"/>
        </w:rPr>
      </w:pPr>
      <w:r>
        <w:rPr>
          <w:rFonts w:hint="eastAsia" w:ascii="新宋体" w:hAnsi="新宋体" w:eastAsia="新宋体"/>
          <w:szCs w:val="21"/>
        </w:rPr>
        <w:t>42．公开招标失败的处理</w:t>
      </w:r>
    </w:p>
    <w:p w14:paraId="1B7E5238">
      <w:pPr>
        <w:spacing w:line="360" w:lineRule="auto"/>
        <w:rPr>
          <w:rFonts w:ascii="新宋体" w:hAnsi="新宋体" w:eastAsia="新宋体"/>
          <w:szCs w:val="21"/>
        </w:rPr>
      </w:pPr>
      <w:r>
        <w:rPr>
          <w:rFonts w:hint="eastAsia" w:ascii="新宋体" w:hAnsi="新宋体" w:eastAsia="新宋体"/>
          <w:szCs w:val="21"/>
        </w:rPr>
        <w:t>42.1本项目公开招标过程中若由于投标截止后实际递交</w:t>
      </w:r>
      <w:r>
        <w:rPr>
          <w:rFonts w:ascii="新宋体" w:hAnsi="新宋体" w:eastAsia="新宋体"/>
          <w:szCs w:val="21"/>
        </w:rPr>
        <w:t>投标</w:t>
      </w:r>
      <w:r>
        <w:rPr>
          <w:rFonts w:hint="eastAsia" w:ascii="新宋体" w:hAnsi="新宋体" w:eastAsia="新宋体"/>
          <w:szCs w:val="21"/>
        </w:rPr>
        <w:t>文件的供应商数量不足、经评审委员会评审对招标文件作实质响应的供应商不足等原因造成公开招标失败，可由招标代理机构重新组织采购。</w:t>
      </w:r>
    </w:p>
    <w:p w14:paraId="5D8F0E1E">
      <w:pPr>
        <w:spacing w:line="360" w:lineRule="auto"/>
        <w:rPr>
          <w:rFonts w:ascii="新宋体" w:hAnsi="新宋体" w:eastAsia="新宋体"/>
          <w:szCs w:val="21"/>
        </w:rPr>
      </w:pPr>
      <w:r>
        <w:rPr>
          <w:rFonts w:hint="eastAsia" w:ascii="新宋体" w:hAnsi="新宋体" w:eastAsia="新宋体"/>
          <w:szCs w:val="21"/>
        </w:rPr>
        <w:t>42.2对公开招标失败的项目，评审委员会在出具该项目招标失败结论的同时，提出重新采购组织形式的建议，以及进一步完善招标文件的资格、技术、商务要求的修改建议。</w:t>
      </w:r>
    </w:p>
    <w:p w14:paraId="5D3F62E5">
      <w:pPr>
        <w:spacing w:line="360" w:lineRule="auto"/>
        <w:rPr>
          <w:rFonts w:ascii="新宋体" w:hAnsi="新宋体" w:eastAsia="新宋体"/>
          <w:szCs w:val="21"/>
        </w:rPr>
      </w:pPr>
      <w:r>
        <w:rPr>
          <w:rFonts w:hint="eastAsia" w:ascii="新宋体" w:hAnsi="新宋体" w:eastAsia="新宋体"/>
          <w:szCs w:val="21"/>
        </w:rPr>
        <w:t>42.3重新组织采购有以下两种组织形式：</w:t>
      </w:r>
    </w:p>
    <w:p w14:paraId="5C00B102">
      <w:pPr>
        <w:spacing w:line="360" w:lineRule="auto"/>
        <w:rPr>
          <w:rFonts w:ascii="新宋体" w:hAnsi="新宋体" w:eastAsia="新宋体"/>
          <w:szCs w:val="21"/>
        </w:rPr>
      </w:pPr>
      <w:r>
        <w:rPr>
          <w:rFonts w:hint="eastAsia" w:ascii="新宋体" w:hAnsi="新宋体" w:eastAsia="新宋体"/>
          <w:szCs w:val="21"/>
        </w:rPr>
        <w:t>（1）由招标代理机构重新组织公开招标；</w:t>
      </w:r>
    </w:p>
    <w:p w14:paraId="6D4D70DC">
      <w:pPr>
        <w:spacing w:line="360" w:lineRule="auto"/>
        <w:rPr>
          <w:rFonts w:ascii="新宋体" w:hAnsi="新宋体" w:eastAsia="新宋体"/>
          <w:szCs w:val="21"/>
        </w:rPr>
      </w:pPr>
      <w:r>
        <w:rPr>
          <w:rFonts w:hint="eastAsia" w:ascii="新宋体" w:hAnsi="新宋体" w:eastAsia="新宋体"/>
          <w:szCs w:val="21"/>
        </w:rPr>
        <w:t>（2）根据实际情况需要向政府采购监督管理部门提出非公开招标方式申请，经政府采购监督管理部门批准，公开招标失败采购项目可转为竞争性谈判或单一来源谈判方式采购。</w:t>
      </w:r>
    </w:p>
    <w:p w14:paraId="35ECF46F">
      <w:pPr>
        <w:spacing w:line="360" w:lineRule="auto"/>
        <w:rPr>
          <w:rFonts w:ascii="新宋体" w:hAnsi="新宋体" w:eastAsia="新宋体"/>
          <w:szCs w:val="21"/>
        </w:rPr>
      </w:pPr>
      <w:r>
        <w:rPr>
          <w:rFonts w:hint="eastAsia" w:ascii="新宋体" w:hAnsi="新宋体" w:eastAsia="新宋体"/>
          <w:szCs w:val="21"/>
        </w:rPr>
        <w:t>42.4公开招标失败的采购项目重新组织公开招标，由招标代理机构重新按公开招标流程组织采购活动。</w:t>
      </w:r>
    </w:p>
    <w:p w14:paraId="59E9021F">
      <w:pPr>
        <w:spacing w:line="360" w:lineRule="auto"/>
        <w:rPr>
          <w:rFonts w:ascii="新宋体" w:hAnsi="新宋体" w:eastAsia="新宋体"/>
          <w:szCs w:val="21"/>
        </w:rPr>
      </w:pPr>
      <w:r>
        <w:rPr>
          <w:rFonts w:hint="eastAsia" w:ascii="新宋体" w:hAnsi="新宋体" w:eastAsia="新宋体"/>
          <w:szCs w:val="21"/>
        </w:rPr>
        <w:t>42.5公开招标失败的采购项目经政府采购监督管理部门批准转为竞争性谈判或单一来源谈判方式采购的，按规定要求组织政府采购工作。</w:t>
      </w:r>
    </w:p>
    <w:p w14:paraId="096BE8C7">
      <w:pPr>
        <w:spacing w:line="360" w:lineRule="auto"/>
      </w:pPr>
    </w:p>
    <w:p w14:paraId="4CE05C3C">
      <w:pPr>
        <w:pStyle w:val="6"/>
        <w:rPr>
          <w:rFonts w:ascii="新宋体" w:hAnsi="新宋体" w:eastAsia="新宋体"/>
          <w:kern w:val="44"/>
          <w:sz w:val="30"/>
          <w:szCs w:val="30"/>
        </w:rPr>
      </w:pPr>
      <w:r>
        <w:rPr>
          <w:rFonts w:hint="eastAsia" w:ascii="新宋体" w:hAnsi="新宋体" w:eastAsia="新宋体"/>
          <w:kern w:val="44"/>
          <w:sz w:val="30"/>
          <w:szCs w:val="30"/>
        </w:rPr>
        <w:t>第十章  合同的授予与备案</w:t>
      </w:r>
    </w:p>
    <w:p w14:paraId="0F205B1A">
      <w:pPr>
        <w:spacing w:line="360" w:lineRule="auto"/>
        <w:rPr>
          <w:rFonts w:ascii="新宋体" w:hAnsi="新宋体" w:eastAsia="新宋体"/>
          <w:szCs w:val="21"/>
        </w:rPr>
      </w:pPr>
      <w:bookmarkStart w:id="32" w:name="_Toc73521586"/>
      <w:bookmarkStart w:id="33" w:name="_Toc100052408"/>
      <w:bookmarkStart w:id="34" w:name="_Toc73517679"/>
      <w:bookmarkStart w:id="35" w:name="_Toc73521674"/>
      <w:bookmarkStart w:id="36" w:name="_Toc73518157"/>
      <w:r>
        <w:rPr>
          <w:rFonts w:hint="eastAsia" w:ascii="新宋体" w:hAnsi="新宋体" w:eastAsia="新宋体"/>
          <w:szCs w:val="21"/>
        </w:rPr>
        <w:t>43．合同授予标准</w:t>
      </w:r>
      <w:bookmarkEnd w:id="32"/>
      <w:bookmarkEnd w:id="33"/>
      <w:bookmarkEnd w:id="34"/>
      <w:bookmarkEnd w:id="35"/>
      <w:bookmarkEnd w:id="36"/>
    </w:p>
    <w:p w14:paraId="2D2F9A69">
      <w:pPr>
        <w:spacing w:line="360" w:lineRule="auto"/>
        <w:rPr>
          <w:rFonts w:ascii="新宋体" w:hAnsi="新宋体" w:eastAsia="新宋体"/>
          <w:szCs w:val="21"/>
        </w:rPr>
      </w:pPr>
      <w:r>
        <w:rPr>
          <w:rFonts w:hint="eastAsia" w:ascii="新宋体" w:hAnsi="新宋体" w:eastAsia="新宋体"/>
          <w:szCs w:val="21"/>
        </w:rPr>
        <w:t>本项目的合同将授予按本招标文件规定评审确定的中标人。</w:t>
      </w:r>
    </w:p>
    <w:p w14:paraId="14322EF2">
      <w:pPr>
        <w:spacing w:line="360" w:lineRule="auto"/>
        <w:rPr>
          <w:rFonts w:ascii="新宋体" w:hAnsi="新宋体" w:eastAsia="新宋体"/>
          <w:szCs w:val="21"/>
        </w:rPr>
      </w:pPr>
      <w:bookmarkStart w:id="37" w:name="_Toc100052409"/>
      <w:bookmarkStart w:id="38" w:name="_Toc73518158"/>
      <w:bookmarkStart w:id="39" w:name="_Toc73521675"/>
      <w:bookmarkStart w:id="40" w:name="_Toc73521587"/>
      <w:bookmarkStart w:id="41" w:name="_Toc73517680"/>
      <w:r>
        <w:rPr>
          <w:rFonts w:hint="eastAsia" w:ascii="新宋体" w:hAnsi="新宋体" w:eastAsia="新宋体"/>
          <w:szCs w:val="21"/>
        </w:rPr>
        <w:t>44．</w:t>
      </w:r>
      <w:bookmarkEnd w:id="37"/>
      <w:bookmarkEnd w:id="38"/>
      <w:bookmarkEnd w:id="39"/>
      <w:bookmarkEnd w:id="40"/>
      <w:bookmarkEnd w:id="41"/>
      <w:r>
        <w:rPr>
          <w:rFonts w:hint="eastAsia" w:ascii="新宋体" w:hAnsi="新宋体" w:eastAsia="新宋体"/>
          <w:szCs w:val="21"/>
        </w:rPr>
        <w:t>接受和拒绝任何或所有投标的权力</w:t>
      </w:r>
    </w:p>
    <w:p w14:paraId="4F50F8E2">
      <w:pPr>
        <w:spacing w:line="360" w:lineRule="auto"/>
        <w:rPr>
          <w:rFonts w:ascii="新宋体" w:hAnsi="新宋体" w:eastAsia="新宋体"/>
          <w:szCs w:val="21"/>
        </w:rPr>
      </w:pPr>
      <w:r>
        <w:rPr>
          <w:rFonts w:hint="eastAsia" w:ascii="新宋体" w:hAnsi="新宋体" w:eastAsia="新宋体"/>
          <w:szCs w:val="21"/>
        </w:rPr>
        <w:t>招标代理机构和采购人保留在投标之前任何时候接受或拒绝任何投标或所有投标，以及宣布招标无效的权力，对受影响的投标人不承担任何责任，也无义务向受影响的投标人解释采取这一行动的理由。</w:t>
      </w:r>
    </w:p>
    <w:p w14:paraId="40630AA9">
      <w:pPr>
        <w:spacing w:line="360" w:lineRule="auto"/>
        <w:rPr>
          <w:rFonts w:ascii="新宋体" w:hAnsi="新宋体" w:eastAsia="新宋体"/>
          <w:szCs w:val="21"/>
        </w:rPr>
      </w:pPr>
      <w:bookmarkStart w:id="42" w:name="_Toc73517682"/>
      <w:bookmarkStart w:id="43" w:name="_Toc73521677"/>
      <w:bookmarkStart w:id="44" w:name="_Toc100052410"/>
      <w:bookmarkStart w:id="45" w:name="_Toc73518160"/>
      <w:bookmarkStart w:id="46" w:name="_Toc73521589"/>
      <w:r>
        <w:rPr>
          <w:rFonts w:hint="eastAsia" w:ascii="新宋体" w:hAnsi="新宋体" w:eastAsia="新宋体"/>
          <w:szCs w:val="21"/>
        </w:rPr>
        <w:t>45．合同协议书的签订</w:t>
      </w:r>
      <w:bookmarkEnd w:id="42"/>
      <w:bookmarkEnd w:id="43"/>
      <w:bookmarkEnd w:id="44"/>
      <w:bookmarkEnd w:id="45"/>
      <w:bookmarkEnd w:id="46"/>
    </w:p>
    <w:p w14:paraId="3B56D756">
      <w:pPr>
        <w:spacing w:line="360" w:lineRule="auto"/>
        <w:rPr>
          <w:rFonts w:ascii="新宋体" w:hAnsi="新宋体" w:eastAsia="新宋体"/>
          <w:color w:val="FF0000"/>
          <w:szCs w:val="21"/>
        </w:rPr>
      </w:pPr>
      <w:r>
        <w:rPr>
          <w:rFonts w:hint="eastAsia" w:ascii="新宋体" w:hAnsi="新宋体" w:eastAsia="新宋体"/>
          <w:color w:val="FF0000"/>
          <w:szCs w:val="21"/>
        </w:rPr>
        <w:t>45.1中标人将于中标通知书发出之日起十个工作日内，按照采购文件（招标文件和投标文件等）内容与采购人签订政府采购合同；合同的实质性内容应当符合招标文件的规定；</w:t>
      </w:r>
    </w:p>
    <w:p w14:paraId="2DA9BA8D">
      <w:pPr>
        <w:spacing w:line="360" w:lineRule="auto"/>
        <w:rPr>
          <w:rFonts w:ascii="新宋体" w:hAnsi="新宋体" w:eastAsia="新宋体"/>
          <w:szCs w:val="21"/>
        </w:rPr>
      </w:pPr>
      <w:r>
        <w:rPr>
          <w:rFonts w:hint="eastAsia" w:ascii="新宋体" w:hAnsi="新宋体" w:eastAsia="新宋体"/>
          <w:szCs w:val="21"/>
        </w:rPr>
        <w:t>45.2中标人如不按本通用条款第45</w:t>
      </w:r>
      <w:r>
        <w:rPr>
          <w:rFonts w:ascii="新宋体" w:hAnsi="新宋体" w:eastAsia="新宋体"/>
          <w:szCs w:val="21"/>
        </w:rPr>
        <w:t>.1</w:t>
      </w:r>
      <w:r>
        <w:rPr>
          <w:rFonts w:hint="eastAsia" w:ascii="新宋体" w:hAnsi="新宋体" w:eastAsia="新宋体"/>
          <w:szCs w:val="21"/>
        </w:rPr>
        <w:t>款的规定与采购人签订合同，</w:t>
      </w:r>
      <w:r>
        <w:rPr>
          <w:rFonts w:ascii="新宋体" w:hAnsi="新宋体" w:eastAsia="新宋体"/>
          <w:szCs w:val="21"/>
        </w:rPr>
        <w:t>情节严重的，并由主管部门记入供应商诚信档案，予以通报</w:t>
      </w:r>
      <w:r>
        <w:rPr>
          <w:rFonts w:hint="eastAsia" w:ascii="新宋体" w:hAnsi="新宋体" w:eastAsia="新宋体"/>
          <w:szCs w:val="21"/>
        </w:rPr>
        <w:t>；</w:t>
      </w:r>
    </w:p>
    <w:p w14:paraId="319D3A4E">
      <w:pPr>
        <w:spacing w:line="360" w:lineRule="auto"/>
        <w:rPr>
          <w:rFonts w:ascii="新宋体" w:hAnsi="新宋体" w:eastAsia="新宋体"/>
          <w:szCs w:val="21"/>
        </w:rPr>
      </w:pPr>
      <w:r>
        <w:rPr>
          <w:rFonts w:hint="eastAsia" w:ascii="新宋体" w:hAnsi="新宋体" w:eastAsia="新宋体"/>
          <w:szCs w:val="21"/>
        </w:rPr>
        <w:t>45.3中标人应当按照合同约定履行义务，完成中标项目，不得将中标项目转让（转包）给他人。</w:t>
      </w:r>
    </w:p>
    <w:p w14:paraId="7E375088">
      <w:pPr>
        <w:spacing w:line="360" w:lineRule="auto"/>
        <w:rPr>
          <w:rFonts w:ascii="新宋体" w:hAnsi="新宋体" w:eastAsia="新宋体"/>
          <w:szCs w:val="21"/>
        </w:rPr>
      </w:pPr>
      <w:bookmarkStart w:id="47" w:name="_Toc73521678"/>
      <w:bookmarkStart w:id="48" w:name="_Toc73518161"/>
      <w:bookmarkStart w:id="49" w:name="_Toc73517683"/>
      <w:bookmarkStart w:id="50" w:name="_Toc73521590"/>
      <w:bookmarkStart w:id="51" w:name="_Toc100052411"/>
      <w:r>
        <w:rPr>
          <w:rFonts w:hint="eastAsia" w:ascii="新宋体" w:hAnsi="新宋体" w:eastAsia="新宋体"/>
          <w:szCs w:val="21"/>
        </w:rPr>
        <w:t>46．履约担保</w:t>
      </w:r>
      <w:bookmarkEnd w:id="47"/>
      <w:bookmarkEnd w:id="48"/>
      <w:bookmarkEnd w:id="49"/>
      <w:bookmarkEnd w:id="50"/>
      <w:bookmarkEnd w:id="51"/>
    </w:p>
    <w:p w14:paraId="245D799C">
      <w:pPr>
        <w:spacing w:line="360" w:lineRule="auto"/>
        <w:rPr>
          <w:rFonts w:ascii="新宋体" w:hAnsi="新宋体" w:eastAsia="新宋体"/>
          <w:szCs w:val="21"/>
        </w:rPr>
      </w:pPr>
      <w:r>
        <w:rPr>
          <w:rFonts w:hint="eastAsia" w:ascii="新宋体" w:hAnsi="新宋体" w:eastAsia="新宋体"/>
          <w:szCs w:val="21"/>
        </w:rPr>
        <w:t>46.1在签订项目合同的同时，中标人应按“对通用条款的补充内容”中规定的金额向采购人提交履约保证金；</w:t>
      </w:r>
    </w:p>
    <w:p w14:paraId="415453E7">
      <w:pPr>
        <w:spacing w:line="360" w:lineRule="auto"/>
        <w:rPr>
          <w:rFonts w:ascii="新宋体" w:hAnsi="新宋体" w:eastAsia="新宋体"/>
          <w:szCs w:val="21"/>
        </w:rPr>
      </w:pPr>
      <w:r>
        <w:rPr>
          <w:rFonts w:hint="eastAsia" w:ascii="新宋体" w:hAnsi="新宋体" w:eastAsia="新宋体"/>
          <w:szCs w:val="21"/>
        </w:rPr>
        <w:t>46.2如果中标人不能按“对通用条款的补充内容”中规定的金额向采购人提交履约保证金，采购人将有充分的理由通过政府采购监督管理部门废除中标，给采购人造成的损失应当予以赔偿；</w:t>
      </w:r>
    </w:p>
    <w:p w14:paraId="4979A4CC">
      <w:pPr>
        <w:spacing w:line="360" w:lineRule="auto"/>
        <w:rPr>
          <w:rFonts w:ascii="新宋体" w:hAnsi="新宋体" w:eastAsia="新宋体"/>
          <w:szCs w:val="21"/>
        </w:rPr>
      </w:pPr>
      <w:r>
        <w:rPr>
          <w:rFonts w:hint="eastAsia" w:ascii="新宋体" w:hAnsi="新宋体" w:eastAsia="新宋体"/>
          <w:szCs w:val="21"/>
        </w:rPr>
        <w:t>46</w:t>
      </w:r>
      <w:r>
        <w:rPr>
          <w:rFonts w:ascii="新宋体" w:hAnsi="新宋体" w:eastAsia="新宋体"/>
          <w:szCs w:val="21"/>
        </w:rPr>
        <w:t>.</w:t>
      </w:r>
      <w:r>
        <w:rPr>
          <w:rFonts w:hint="eastAsia" w:ascii="新宋体" w:hAnsi="新宋体" w:eastAsia="新宋体"/>
          <w:szCs w:val="21"/>
        </w:rPr>
        <w:t>3项目服务期满之后,经验收合格后，采购人在七日内办理解除履约担保手续。</w:t>
      </w:r>
    </w:p>
    <w:p w14:paraId="3EEBB584">
      <w:pPr>
        <w:spacing w:line="360" w:lineRule="auto"/>
        <w:rPr>
          <w:rFonts w:ascii="新宋体" w:hAnsi="新宋体" w:eastAsia="新宋体"/>
          <w:szCs w:val="21"/>
        </w:rPr>
      </w:pPr>
      <w:r>
        <w:rPr>
          <w:rFonts w:hint="eastAsia" w:ascii="新宋体" w:hAnsi="新宋体" w:eastAsia="新宋体"/>
          <w:szCs w:val="21"/>
        </w:rPr>
        <w:t>47. 合同的备案</w:t>
      </w:r>
    </w:p>
    <w:p w14:paraId="1BB94DC3">
      <w:pPr>
        <w:spacing w:line="360" w:lineRule="auto"/>
        <w:rPr>
          <w:rFonts w:ascii="新宋体" w:hAnsi="新宋体" w:eastAsia="新宋体"/>
          <w:szCs w:val="21"/>
        </w:rPr>
      </w:pPr>
      <w:r>
        <w:rPr>
          <w:rFonts w:hint="eastAsia" w:ascii="新宋体" w:hAnsi="新宋体" w:eastAsia="新宋体"/>
          <w:szCs w:val="21"/>
        </w:rPr>
        <w:t>采购人与中标人应于合同签订之日起十日内，由采购人或委托中标人将采购合同副本抄送招标代理机构备案。</w:t>
      </w:r>
    </w:p>
    <w:p w14:paraId="0DA6394D">
      <w:pPr>
        <w:spacing w:line="360" w:lineRule="auto"/>
        <w:rPr>
          <w:rFonts w:ascii="新宋体" w:hAnsi="新宋体" w:eastAsia="新宋体"/>
          <w:szCs w:val="21"/>
        </w:rPr>
      </w:pPr>
      <w:r>
        <w:rPr>
          <w:rFonts w:hint="eastAsia" w:ascii="新宋体" w:hAnsi="新宋体" w:eastAsia="新宋体"/>
          <w:szCs w:val="21"/>
        </w:rPr>
        <w:t>48. 合同的变更</w:t>
      </w:r>
    </w:p>
    <w:p w14:paraId="0BA38436">
      <w:pPr>
        <w:spacing w:line="360" w:lineRule="auto"/>
        <w:rPr>
          <w:rFonts w:ascii="新宋体" w:hAnsi="新宋体" w:eastAsia="新宋体"/>
          <w:szCs w:val="21"/>
        </w:rPr>
      </w:pPr>
      <w:r>
        <w:rPr>
          <w:rFonts w:hint="eastAsia" w:ascii="新宋体" w:hAnsi="新宋体" w:eastAsia="新宋体"/>
          <w:szCs w:val="21"/>
        </w:rPr>
        <w:t>合同变更事宜按《深圳市财政局 深圳市政府采购中心关于进一步加强市本级政府采购合同备案管理工作的通知》（深财购〔2019〕43号）相关规定执行。</w:t>
      </w:r>
    </w:p>
    <w:p w14:paraId="62AFD81D">
      <w:pPr>
        <w:spacing w:line="360" w:lineRule="auto"/>
        <w:rPr>
          <w:rFonts w:ascii="新宋体" w:hAnsi="新宋体" w:eastAsia="新宋体"/>
          <w:szCs w:val="21"/>
        </w:rPr>
      </w:pPr>
      <w:r>
        <w:rPr>
          <w:rFonts w:hint="eastAsia" w:ascii="新宋体" w:hAnsi="新宋体" w:eastAsia="新宋体"/>
          <w:szCs w:val="21"/>
        </w:rPr>
        <w:t>49. 履约抽检及情况的反馈</w:t>
      </w:r>
    </w:p>
    <w:p w14:paraId="76075AE0">
      <w:pPr>
        <w:spacing w:line="360" w:lineRule="auto"/>
        <w:rPr>
          <w:rFonts w:ascii="新宋体" w:hAnsi="新宋体" w:eastAsia="新宋体"/>
          <w:szCs w:val="21"/>
        </w:rPr>
      </w:pPr>
      <w:r>
        <w:rPr>
          <w:rFonts w:hint="eastAsia" w:ascii="新宋体" w:hAnsi="新宋体" w:eastAsia="新宋体"/>
          <w:szCs w:val="21"/>
        </w:rPr>
        <w:t>49.1供应商必须诚信履约，采购人必须对采购项目实施组织履约验收。必要时，深圳市政府采购中心将对采购项目进行履约抽检评价。如未按合同履约，将按《深圳经济特区政府采购条例》第五十七条有关规定进行处理。</w:t>
      </w:r>
    </w:p>
    <w:p w14:paraId="0184708D">
      <w:pPr>
        <w:spacing w:line="360" w:lineRule="auto"/>
        <w:rPr>
          <w:rFonts w:ascii="新宋体" w:hAnsi="新宋体" w:eastAsia="新宋体"/>
          <w:szCs w:val="21"/>
        </w:rPr>
      </w:pPr>
      <w:r>
        <w:rPr>
          <w:rFonts w:hint="eastAsia" w:ascii="新宋体" w:hAnsi="新宋体" w:eastAsia="新宋体"/>
          <w:szCs w:val="21"/>
        </w:rPr>
        <w:t>49.2</w:t>
      </w:r>
      <w:r>
        <w:rPr>
          <w:rFonts w:ascii="新宋体" w:hAnsi="新宋体" w:eastAsia="新宋体"/>
          <w:szCs w:val="21"/>
        </w:rPr>
        <w:t>采购人和供应商应当在采购合同履行完毕三十日之内将政府采购合同履行情况和相关政府采购建议等反馈至招标代理机构。</w:t>
      </w:r>
    </w:p>
    <w:p w14:paraId="6D6991D8">
      <w:pPr>
        <w:spacing w:line="360" w:lineRule="auto"/>
        <w:rPr>
          <w:rFonts w:ascii="新宋体" w:hAnsi="新宋体" w:eastAsia="新宋体"/>
          <w:szCs w:val="21"/>
        </w:rPr>
      </w:pPr>
      <w:r>
        <w:rPr>
          <w:rFonts w:hint="eastAsia" w:ascii="新宋体" w:hAnsi="新宋体" w:eastAsia="新宋体"/>
          <w:szCs w:val="21"/>
        </w:rPr>
        <w:t>50. 宣传</w:t>
      </w:r>
    </w:p>
    <w:p w14:paraId="1DE756C2">
      <w:pPr>
        <w:spacing w:line="360" w:lineRule="auto"/>
        <w:rPr>
          <w:rFonts w:ascii="新宋体" w:hAnsi="新宋体" w:eastAsia="新宋体"/>
          <w:szCs w:val="21"/>
        </w:rPr>
      </w:pPr>
      <w:r>
        <w:rPr>
          <w:rFonts w:hint="eastAsia" w:ascii="新宋体" w:hAnsi="新宋体" w:eastAsia="新宋体"/>
          <w:szCs w:val="21"/>
        </w:rPr>
        <w:t>凡与政府采购活动有关的宣传或广告，若当中提及政府采购，</w:t>
      </w:r>
      <w:r>
        <w:rPr>
          <w:rFonts w:ascii="新宋体" w:hAnsi="新宋体" w:eastAsia="新宋体"/>
          <w:szCs w:val="21"/>
        </w:rPr>
        <w:t>必须事先将具体对外宣传方案报市财政委和招标代理机构，并征得其同意。对外市场宣传包括但不限于以下形式：</w:t>
      </w:r>
    </w:p>
    <w:p w14:paraId="756AAB19">
      <w:pPr>
        <w:spacing w:line="360" w:lineRule="auto"/>
        <w:rPr>
          <w:rFonts w:ascii="新宋体" w:hAnsi="新宋体" w:eastAsia="新宋体"/>
          <w:szCs w:val="21"/>
        </w:rPr>
      </w:pPr>
      <w:r>
        <w:rPr>
          <w:rFonts w:ascii="新宋体" w:hAnsi="新宋体" w:eastAsia="新宋体"/>
          <w:szCs w:val="21"/>
        </w:rPr>
        <w:t>a.名片、宣传册、广告标语等；</w:t>
      </w:r>
    </w:p>
    <w:p w14:paraId="6176154F">
      <w:pPr>
        <w:spacing w:line="360" w:lineRule="auto"/>
        <w:rPr>
          <w:rFonts w:ascii="新宋体" w:hAnsi="新宋体" w:eastAsia="新宋体"/>
          <w:szCs w:val="21"/>
        </w:rPr>
      </w:pPr>
      <w:r>
        <w:rPr>
          <w:rFonts w:ascii="新宋体" w:hAnsi="新宋体" w:eastAsia="新宋体"/>
          <w:szCs w:val="21"/>
        </w:rPr>
        <w:t>b.案例介绍、推广等；</w:t>
      </w:r>
    </w:p>
    <w:p w14:paraId="49DD2E30">
      <w:pPr>
        <w:spacing w:line="360" w:lineRule="auto"/>
        <w:rPr>
          <w:rFonts w:ascii="新宋体" w:hAnsi="新宋体" w:eastAsia="新宋体"/>
          <w:szCs w:val="21"/>
        </w:rPr>
      </w:pPr>
      <w:r>
        <w:rPr>
          <w:rFonts w:hint="eastAsia" w:ascii="新宋体" w:hAnsi="新宋体" w:eastAsia="新宋体"/>
          <w:szCs w:val="21"/>
        </w:rPr>
        <w:t>c.工作</w:t>
      </w:r>
      <w:r>
        <w:rPr>
          <w:rFonts w:ascii="新宋体" w:hAnsi="新宋体" w:eastAsia="新宋体"/>
          <w:szCs w:val="21"/>
        </w:rPr>
        <w:t>人员向其他消费群体宣传。</w:t>
      </w:r>
    </w:p>
    <w:p w14:paraId="1A16514F">
      <w:pPr>
        <w:spacing w:line="360" w:lineRule="auto"/>
        <w:rPr>
          <w:rFonts w:ascii="新宋体" w:hAnsi="新宋体" w:eastAsia="新宋体"/>
          <w:szCs w:val="21"/>
        </w:rPr>
      </w:pPr>
      <w:r>
        <w:rPr>
          <w:rFonts w:hint="eastAsia" w:ascii="新宋体" w:hAnsi="新宋体" w:eastAsia="新宋体"/>
          <w:szCs w:val="21"/>
        </w:rPr>
        <w:t>51. 供应商违法责任</w:t>
      </w:r>
    </w:p>
    <w:p w14:paraId="3B6775BD">
      <w:pPr>
        <w:spacing w:line="360" w:lineRule="auto"/>
        <w:rPr>
          <w:rFonts w:ascii="新宋体" w:hAnsi="新宋体" w:eastAsia="新宋体"/>
          <w:szCs w:val="21"/>
        </w:rPr>
      </w:pPr>
      <w:r>
        <w:rPr>
          <w:rFonts w:hint="eastAsia" w:ascii="新宋体" w:hAnsi="新宋体" w:eastAsia="新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99848F0">
      <w:pPr>
        <w:spacing w:line="360" w:lineRule="auto"/>
        <w:rPr>
          <w:rFonts w:ascii="新宋体" w:hAnsi="新宋体" w:eastAsia="新宋体"/>
          <w:szCs w:val="21"/>
        </w:rPr>
      </w:pPr>
      <w:r>
        <w:rPr>
          <w:rFonts w:hint="eastAsia" w:ascii="新宋体" w:hAnsi="新宋体" w:eastAsia="新宋体"/>
          <w:szCs w:val="21"/>
        </w:rPr>
        <w:t>（1）在采购活动中应当回避而未回避的；</w:t>
      </w:r>
    </w:p>
    <w:p w14:paraId="0F3ED490">
      <w:pPr>
        <w:spacing w:line="360" w:lineRule="auto"/>
        <w:rPr>
          <w:rFonts w:ascii="新宋体" w:hAnsi="新宋体" w:eastAsia="新宋体"/>
          <w:szCs w:val="21"/>
        </w:rPr>
      </w:pPr>
      <w:r>
        <w:rPr>
          <w:rFonts w:hint="eastAsia" w:ascii="新宋体" w:hAnsi="新宋体" w:eastAsia="新宋体"/>
          <w:szCs w:val="21"/>
        </w:rPr>
        <w:t>（2）未按本条例规定签订、履行采购合同，造成严重后果的；</w:t>
      </w:r>
    </w:p>
    <w:p w14:paraId="6066D78C">
      <w:pPr>
        <w:spacing w:line="360" w:lineRule="auto"/>
        <w:rPr>
          <w:rFonts w:ascii="新宋体" w:hAnsi="新宋体" w:eastAsia="新宋体"/>
          <w:szCs w:val="21"/>
        </w:rPr>
      </w:pPr>
      <w:r>
        <w:rPr>
          <w:rFonts w:hint="eastAsia" w:ascii="新宋体" w:hAnsi="新宋体" w:eastAsia="新宋体"/>
          <w:szCs w:val="21"/>
        </w:rPr>
        <w:t>（3）隐瞒真实情况，提供虚假资料的；</w:t>
      </w:r>
    </w:p>
    <w:p w14:paraId="3AF9D381">
      <w:pPr>
        <w:spacing w:line="360" w:lineRule="auto"/>
        <w:rPr>
          <w:rFonts w:ascii="新宋体" w:hAnsi="新宋体" w:eastAsia="新宋体"/>
          <w:szCs w:val="21"/>
        </w:rPr>
      </w:pPr>
      <w:r>
        <w:rPr>
          <w:rFonts w:hint="eastAsia" w:ascii="新宋体" w:hAnsi="新宋体" w:eastAsia="新宋体"/>
          <w:szCs w:val="21"/>
        </w:rPr>
        <w:t>（4）以非法手段排斥其他供应商参与竞争的；</w:t>
      </w:r>
    </w:p>
    <w:p w14:paraId="1D0D8796">
      <w:pPr>
        <w:spacing w:line="360" w:lineRule="auto"/>
        <w:rPr>
          <w:rFonts w:ascii="新宋体" w:hAnsi="新宋体" w:eastAsia="新宋体"/>
          <w:szCs w:val="21"/>
        </w:rPr>
      </w:pPr>
      <w:r>
        <w:rPr>
          <w:rFonts w:hint="eastAsia" w:ascii="新宋体" w:hAnsi="新宋体" w:eastAsia="新宋体"/>
          <w:szCs w:val="21"/>
        </w:rPr>
        <w:t>（5）与其他采购参加人串通投标的；</w:t>
      </w:r>
    </w:p>
    <w:p w14:paraId="6A7ADA44">
      <w:pPr>
        <w:spacing w:line="360" w:lineRule="auto"/>
        <w:rPr>
          <w:rFonts w:ascii="新宋体" w:hAnsi="新宋体" w:eastAsia="新宋体"/>
          <w:szCs w:val="21"/>
        </w:rPr>
      </w:pPr>
      <w:r>
        <w:rPr>
          <w:rFonts w:hint="eastAsia" w:ascii="新宋体" w:hAnsi="新宋体" w:eastAsia="新宋体"/>
          <w:szCs w:val="21"/>
        </w:rPr>
        <w:t>（6）恶意投诉的；</w:t>
      </w:r>
    </w:p>
    <w:p w14:paraId="57289BD9">
      <w:pPr>
        <w:spacing w:line="360" w:lineRule="auto"/>
        <w:rPr>
          <w:rFonts w:ascii="新宋体" w:hAnsi="新宋体" w:eastAsia="新宋体"/>
          <w:szCs w:val="21"/>
        </w:rPr>
      </w:pPr>
      <w:r>
        <w:rPr>
          <w:rFonts w:hint="eastAsia" w:ascii="新宋体" w:hAnsi="新宋体" w:eastAsia="新宋体"/>
          <w:szCs w:val="21"/>
        </w:rPr>
        <w:t>（7）向采购项目相关人行贿或者提供其他不当利益的；</w:t>
      </w:r>
    </w:p>
    <w:p w14:paraId="742CBEBB">
      <w:pPr>
        <w:spacing w:line="360" w:lineRule="auto"/>
        <w:rPr>
          <w:rFonts w:ascii="新宋体" w:hAnsi="新宋体" w:eastAsia="新宋体"/>
          <w:szCs w:val="21"/>
        </w:rPr>
      </w:pPr>
      <w:r>
        <w:rPr>
          <w:rFonts w:hint="eastAsia" w:ascii="新宋体" w:hAnsi="新宋体" w:eastAsia="新宋体"/>
          <w:szCs w:val="21"/>
        </w:rPr>
        <w:t>（8）阻碍、抗拒主管部门监督检查的；</w:t>
      </w:r>
    </w:p>
    <w:p w14:paraId="20E85286">
      <w:pPr>
        <w:spacing w:line="360" w:lineRule="auto"/>
        <w:rPr>
          <w:rFonts w:ascii="新宋体" w:hAnsi="新宋体" w:eastAsia="新宋体"/>
          <w:szCs w:val="21"/>
        </w:rPr>
      </w:pPr>
      <w:r>
        <w:rPr>
          <w:rFonts w:hint="eastAsia" w:ascii="新宋体" w:hAnsi="新宋体" w:eastAsia="新宋体"/>
          <w:szCs w:val="21"/>
        </w:rPr>
        <w:t>（9）其他违反本条例规定的行为。</w:t>
      </w:r>
    </w:p>
    <w:p w14:paraId="23D5AA47">
      <w:pPr>
        <w:spacing w:line="360" w:lineRule="auto"/>
        <w:rPr>
          <w:rFonts w:ascii="新宋体" w:hAnsi="新宋体" w:eastAsia="新宋体"/>
          <w:szCs w:val="21"/>
        </w:rPr>
      </w:pPr>
    </w:p>
    <w:p w14:paraId="40E36B93">
      <w:pPr>
        <w:pStyle w:val="6"/>
        <w:rPr>
          <w:rFonts w:ascii="新宋体" w:hAnsi="新宋体" w:eastAsia="新宋体"/>
          <w:kern w:val="44"/>
          <w:sz w:val="30"/>
          <w:szCs w:val="30"/>
        </w:rPr>
      </w:pPr>
      <w:r>
        <w:rPr>
          <w:rFonts w:hint="eastAsia" w:ascii="新宋体" w:hAnsi="新宋体" w:eastAsia="新宋体"/>
          <w:kern w:val="44"/>
          <w:sz w:val="30"/>
          <w:szCs w:val="30"/>
        </w:rPr>
        <w:t>第十一章  质疑处理</w:t>
      </w:r>
    </w:p>
    <w:p w14:paraId="18D9EA9E">
      <w:pPr>
        <w:spacing w:line="360" w:lineRule="auto"/>
        <w:rPr>
          <w:rFonts w:ascii="新宋体" w:hAnsi="新宋体" w:eastAsia="新宋体"/>
          <w:szCs w:val="21"/>
        </w:rPr>
      </w:pPr>
      <w:r>
        <w:rPr>
          <w:rFonts w:hint="eastAsia" w:ascii="新宋体" w:hAnsi="新宋体" w:eastAsia="新宋体"/>
          <w:szCs w:val="21"/>
        </w:rPr>
        <w:t>52.质疑提出与答复</w:t>
      </w:r>
    </w:p>
    <w:p w14:paraId="08EB0BE9">
      <w:pPr>
        <w:spacing w:line="360" w:lineRule="auto"/>
        <w:rPr>
          <w:rFonts w:ascii="新宋体" w:hAnsi="新宋体" w:eastAsia="新宋体"/>
          <w:szCs w:val="21"/>
        </w:rPr>
      </w:pPr>
      <w:r>
        <w:rPr>
          <w:rFonts w:hint="eastAsia" w:ascii="新宋体" w:hAnsi="新宋体" w:eastAsia="新宋体"/>
          <w:szCs w:val="21"/>
        </w:rPr>
        <w:t>52.1提出质疑</w:t>
      </w:r>
    </w:p>
    <w:p w14:paraId="3BDED1A6">
      <w:pPr>
        <w:spacing w:line="360" w:lineRule="auto"/>
        <w:ind w:firstLine="432"/>
        <w:rPr>
          <w:rFonts w:ascii="新宋体" w:hAnsi="新宋体" w:eastAsia="新宋体"/>
          <w:szCs w:val="21"/>
        </w:rPr>
      </w:pPr>
      <w:r>
        <w:rPr>
          <w:rFonts w:hint="eastAsia" w:ascii="新宋体" w:hAnsi="新宋体" w:eastAsia="新宋体"/>
          <w:szCs w:val="21"/>
        </w:rPr>
        <w:t>参与政府采购活动的供应商认为自己的权益在采购活动中受到损害的，应当自知道或者应当知道其权益受到损害之日起七个工作日内向采购人、招标代理机构以书面形式提出质疑。</w:t>
      </w:r>
    </w:p>
    <w:p w14:paraId="12437499">
      <w:pPr>
        <w:spacing w:line="360" w:lineRule="auto"/>
        <w:rPr>
          <w:rFonts w:ascii="新宋体" w:hAnsi="新宋体" w:eastAsia="新宋体"/>
          <w:szCs w:val="21"/>
        </w:rPr>
      </w:pPr>
      <w:r>
        <w:rPr>
          <w:rFonts w:hint="eastAsia" w:ascii="新宋体" w:hAnsi="新宋体" w:eastAsia="新宋体"/>
          <w:szCs w:val="21"/>
        </w:rPr>
        <w:t>52.2</w:t>
      </w:r>
      <w:r>
        <w:rPr>
          <w:rFonts w:ascii="新宋体" w:hAnsi="新宋体" w:eastAsia="新宋体"/>
          <w:szCs w:val="21"/>
        </w:rPr>
        <w:t>法律依据</w:t>
      </w:r>
    </w:p>
    <w:p w14:paraId="111EE7B0">
      <w:pPr>
        <w:spacing w:line="360" w:lineRule="auto"/>
        <w:ind w:firstLine="432"/>
        <w:rPr>
          <w:rFonts w:ascii="新宋体" w:hAnsi="新宋体" w:eastAsia="新宋体"/>
          <w:szCs w:val="21"/>
        </w:rPr>
      </w:pPr>
      <w:r>
        <w:rPr>
          <w:rFonts w:hint="eastAsia" w:ascii="新宋体" w:hAnsi="新宋体" w:eastAsia="新宋体"/>
          <w:szCs w:val="21"/>
        </w:rPr>
        <w:t>《中华人民共和国政府采购法》、《中华人民共和国政府采购法实施条例》、</w:t>
      </w:r>
      <w:r>
        <w:rPr>
          <w:rFonts w:ascii="新宋体" w:hAnsi="新宋体" w:eastAsia="新宋体"/>
          <w:szCs w:val="21"/>
        </w:rPr>
        <w:t>《</w:t>
      </w:r>
      <w:r>
        <w:rPr>
          <w:rFonts w:hint="eastAsia" w:ascii="新宋体" w:hAnsi="新宋体" w:eastAsia="新宋体"/>
          <w:szCs w:val="21"/>
        </w:rPr>
        <w:t>深圳经济特区政府采购</w:t>
      </w:r>
      <w:r>
        <w:rPr>
          <w:rFonts w:ascii="新宋体" w:hAnsi="新宋体" w:eastAsia="新宋体"/>
          <w:szCs w:val="21"/>
        </w:rPr>
        <w:t>条例</w:t>
      </w:r>
      <w:r>
        <w:rPr>
          <w:rFonts w:hint="eastAsia" w:ascii="新宋体" w:hAnsi="新宋体" w:eastAsia="新宋体"/>
          <w:szCs w:val="21"/>
        </w:rPr>
        <w:t>》、《深圳经济特区政府采购条例实施细则》、《政府采购质疑和投诉办法》（财政部令第94号）和其他有关法律法规规定。</w:t>
      </w:r>
    </w:p>
    <w:p w14:paraId="118E8EE5">
      <w:pPr>
        <w:spacing w:line="360" w:lineRule="auto"/>
        <w:rPr>
          <w:rFonts w:ascii="新宋体" w:hAnsi="新宋体" w:eastAsia="新宋体"/>
          <w:szCs w:val="21"/>
        </w:rPr>
      </w:pPr>
      <w:r>
        <w:rPr>
          <w:rFonts w:hint="eastAsia" w:ascii="新宋体" w:hAnsi="新宋体" w:eastAsia="新宋体"/>
          <w:szCs w:val="21"/>
        </w:rPr>
        <w:t>52.3质疑条件</w:t>
      </w:r>
    </w:p>
    <w:p w14:paraId="4C79E616">
      <w:pPr>
        <w:spacing w:line="360" w:lineRule="auto"/>
        <w:rPr>
          <w:rFonts w:ascii="新宋体" w:hAnsi="新宋体" w:eastAsia="新宋体"/>
          <w:szCs w:val="21"/>
        </w:rPr>
      </w:pPr>
      <w:r>
        <w:rPr>
          <w:rFonts w:hint="eastAsia" w:ascii="新宋体" w:hAnsi="新宋体" w:eastAsia="新宋体"/>
          <w:szCs w:val="21"/>
        </w:rPr>
        <w:t>52.3.1提出质疑的供应商应当是参与所质疑项目采购活动的供应商；</w:t>
      </w:r>
    </w:p>
    <w:p w14:paraId="42B6F503">
      <w:pPr>
        <w:spacing w:line="360" w:lineRule="auto"/>
        <w:rPr>
          <w:rFonts w:ascii="新宋体" w:hAnsi="新宋体" w:eastAsia="新宋体"/>
          <w:szCs w:val="21"/>
        </w:rPr>
      </w:pPr>
      <w:r>
        <w:rPr>
          <w:rFonts w:hint="eastAsia" w:ascii="新宋体" w:hAnsi="新宋体" w:eastAsia="新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430B96CA">
      <w:pPr>
        <w:spacing w:line="360" w:lineRule="auto"/>
        <w:rPr>
          <w:rFonts w:ascii="新宋体" w:hAnsi="新宋体" w:eastAsia="新宋体"/>
          <w:szCs w:val="21"/>
        </w:rPr>
      </w:pPr>
      <w:r>
        <w:rPr>
          <w:rFonts w:hint="eastAsia" w:ascii="新宋体" w:hAnsi="新宋体" w:eastAsia="新宋体"/>
          <w:szCs w:val="21"/>
        </w:rPr>
        <w:t>52.3.3应提交书面质疑函，质疑函应当包括以下内容：（1）具体、明确的质疑事项和与质疑事项相关的请求；（2）合理的事实和依据；（3）必要的证明材料和法律依据。注：质疑函范本可在招标代理机构网站下载。</w:t>
      </w:r>
    </w:p>
    <w:p w14:paraId="426EF21C">
      <w:pPr>
        <w:spacing w:line="360" w:lineRule="auto"/>
        <w:rPr>
          <w:rFonts w:ascii="新宋体" w:hAnsi="新宋体" w:eastAsia="新宋体"/>
          <w:szCs w:val="21"/>
        </w:rPr>
      </w:pPr>
      <w:r>
        <w:rPr>
          <w:rFonts w:hint="eastAsia" w:ascii="新宋体" w:hAnsi="新宋体" w:eastAsia="新宋体"/>
          <w:szCs w:val="21"/>
        </w:rPr>
        <w:t>52.4提交</w:t>
      </w:r>
      <w:r>
        <w:rPr>
          <w:rFonts w:ascii="新宋体" w:hAnsi="新宋体" w:eastAsia="新宋体"/>
          <w:szCs w:val="21"/>
        </w:rPr>
        <w:t>材料</w:t>
      </w:r>
    </w:p>
    <w:p w14:paraId="67A49F4D">
      <w:pPr>
        <w:spacing w:line="360" w:lineRule="auto"/>
        <w:ind w:firstLine="432"/>
        <w:rPr>
          <w:rFonts w:ascii="新宋体" w:hAnsi="新宋体" w:eastAsia="新宋体"/>
          <w:szCs w:val="21"/>
        </w:rPr>
      </w:pPr>
      <w:r>
        <w:rPr>
          <w:rFonts w:hint="eastAsia" w:ascii="新宋体" w:hAnsi="新宋体" w:eastAsia="新宋体"/>
          <w:szCs w:val="21"/>
        </w:rPr>
        <w:t>质疑函、营业执照复印件、法定代表人证明。如委托代理人提交的，还需提交授权委托书及代理人身份证明。</w:t>
      </w:r>
    </w:p>
    <w:p w14:paraId="4476598C">
      <w:pPr>
        <w:spacing w:line="360" w:lineRule="auto"/>
        <w:rPr>
          <w:rFonts w:ascii="新宋体" w:hAnsi="新宋体" w:eastAsia="新宋体"/>
          <w:szCs w:val="21"/>
        </w:rPr>
      </w:pPr>
      <w:r>
        <w:rPr>
          <w:rFonts w:hint="eastAsia" w:ascii="新宋体" w:hAnsi="新宋体" w:eastAsia="新宋体"/>
          <w:szCs w:val="21"/>
        </w:rPr>
        <w:t>52.5收文部门</w:t>
      </w:r>
    </w:p>
    <w:p w14:paraId="4CDB9B4F">
      <w:pPr>
        <w:spacing w:line="360" w:lineRule="auto"/>
        <w:ind w:firstLine="424" w:firstLineChars="202"/>
        <w:rPr>
          <w:rFonts w:ascii="新宋体" w:hAnsi="新宋体" w:eastAsia="新宋体"/>
          <w:szCs w:val="21"/>
        </w:rPr>
      </w:pPr>
      <w:r>
        <w:rPr>
          <w:rFonts w:hint="eastAsia" w:ascii="新宋体" w:hAnsi="新宋体" w:eastAsia="新宋体"/>
          <w:szCs w:val="21"/>
        </w:rPr>
        <w:t>招标代理机构地址：深圳市福田区天安数码城创新科技广场一期B座811室。</w:t>
      </w:r>
    </w:p>
    <w:p w14:paraId="0F1747A2">
      <w:pPr>
        <w:spacing w:line="360" w:lineRule="auto"/>
        <w:rPr>
          <w:rFonts w:ascii="新宋体" w:hAnsi="新宋体" w:eastAsia="新宋体"/>
          <w:szCs w:val="21"/>
        </w:rPr>
      </w:pPr>
      <w:r>
        <w:rPr>
          <w:rFonts w:hint="eastAsia" w:ascii="新宋体" w:hAnsi="新宋体" w:eastAsia="新宋体"/>
          <w:szCs w:val="21"/>
        </w:rPr>
        <w:t>52.6收文办理</w:t>
      </w:r>
      <w:r>
        <w:rPr>
          <w:rFonts w:ascii="新宋体" w:hAnsi="新宋体" w:eastAsia="新宋体"/>
          <w:szCs w:val="21"/>
        </w:rPr>
        <w:t>程序</w:t>
      </w:r>
    </w:p>
    <w:p w14:paraId="525822D8">
      <w:pPr>
        <w:spacing w:line="360" w:lineRule="auto"/>
        <w:rPr>
          <w:rFonts w:ascii="新宋体" w:hAnsi="新宋体" w:eastAsia="新宋体"/>
          <w:szCs w:val="21"/>
        </w:rPr>
      </w:pPr>
      <w:r>
        <w:rPr>
          <w:rFonts w:hint="eastAsia" w:ascii="新宋体" w:hAnsi="新宋体" w:eastAsia="新宋体"/>
          <w:szCs w:val="21"/>
        </w:rPr>
        <w:t>52.6.1供应商提交的质疑材料符合质疑条件的办理收文，出具收文回执；</w:t>
      </w:r>
    </w:p>
    <w:p w14:paraId="3F830076">
      <w:pPr>
        <w:spacing w:line="360" w:lineRule="auto"/>
        <w:rPr>
          <w:rFonts w:ascii="新宋体" w:hAnsi="新宋体" w:eastAsia="新宋体"/>
          <w:szCs w:val="21"/>
        </w:rPr>
      </w:pPr>
      <w:r>
        <w:rPr>
          <w:rFonts w:hint="eastAsia" w:ascii="新宋体" w:hAnsi="新宋体" w:eastAsia="新宋体"/>
          <w:szCs w:val="21"/>
        </w:rPr>
        <w:t>52.6.2供应商提交的质疑材料不符合质疑条件的，视情况处理：（1）质疑主体、时限不符合的，不予收文；（2）质疑函内容、提交人身份证明不符合的，开具补正告知书，供应商可在质疑期内补正后重新提交。</w:t>
      </w:r>
    </w:p>
    <w:p w14:paraId="6F0830B8">
      <w:pPr>
        <w:spacing w:line="360" w:lineRule="auto"/>
        <w:rPr>
          <w:rFonts w:ascii="新宋体" w:hAnsi="新宋体" w:eastAsia="新宋体"/>
          <w:szCs w:val="21"/>
        </w:rPr>
      </w:pPr>
      <w:r>
        <w:rPr>
          <w:rFonts w:hint="eastAsia" w:ascii="新宋体" w:hAnsi="新宋体" w:eastAsia="新宋体"/>
          <w:szCs w:val="21"/>
        </w:rPr>
        <w:t>52.7质疑答复时限</w:t>
      </w:r>
    </w:p>
    <w:p w14:paraId="268ADFE6">
      <w:pPr>
        <w:spacing w:line="360" w:lineRule="auto"/>
        <w:ind w:firstLine="420"/>
        <w:rPr>
          <w:rFonts w:ascii="新宋体" w:hAnsi="新宋体" w:eastAsia="新宋体"/>
          <w:color w:val="FF0000"/>
          <w:szCs w:val="21"/>
        </w:rPr>
      </w:pPr>
      <w:r>
        <w:rPr>
          <w:rFonts w:hint="eastAsia" w:ascii="新宋体" w:hAnsi="新宋体" w:eastAsia="新宋体"/>
          <w:color w:val="FF0000"/>
          <w:szCs w:val="21"/>
        </w:rPr>
        <w:t>自收文之日起七个工作日内。</w:t>
      </w:r>
    </w:p>
    <w:p w14:paraId="3AB32774">
      <w:pPr>
        <w:spacing w:line="360" w:lineRule="auto"/>
        <w:rPr>
          <w:rFonts w:ascii="新宋体" w:hAnsi="新宋体" w:eastAsia="新宋体"/>
          <w:szCs w:val="21"/>
        </w:rPr>
      </w:pPr>
      <w:r>
        <w:rPr>
          <w:rFonts w:hint="eastAsia" w:ascii="新宋体" w:hAnsi="新宋体" w:eastAsia="新宋体"/>
          <w:szCs w:val="21"/>
        </w:rPr>
        <w:t>53. 质疑后续处理</w:t>
      </w:r>
    </w:p>
    <w:p w14:paraId="507622CD">
      <w:pPr>
        <w:spacing w:line="360" w:lineRule="auto"/>
        <w:rPr>
          <w:rFonts w:ascii="新宋体" w:hAnsi="新宋体" w:eastAsia="新宋体"/>
          <w:szCs w:val="21"/>
        </w:rPr>
      </w:pPr>
      <w:r>
        <w:rPr>
          <w:rFonts w:hint="eastAsia" w:ascii="新宋体" w:hAnsi="新宋体" w:eastAsia="新宋体"/>
          <w:szCs w:val="21"/>
        </w:rPr>
        <w:t>53.1供应商质疑不成立，或者成立但未对中标、成交结果构成影响的，继续开展采购活动。</w:t>
      </w:r>
    </w:p>
    <w:p w14:paraId="6D9B6826">
      <w:pPr>
        <w:spacing w:line="360" w:lineRule="auto"/>
        <w:rPr>
          <w:rFonts w:ascii="新宋体" w:hAnsi="新宋体" w:eastAsia="新宋体"/>
          <w:szCs w:val="21"/>
        </w:rPr>
      </w:pPr>
      <w:r>
        <w:rPr>
          <w:rFonts w:hint="eastAsia" w:ascii="新宋体" w:hAnsi="新宋体" w:eastAsia="新宋体"/>
          <w:szCs w:val="21"/>
        </w:rPr>
        <w:t>53.2供应商质疑成立且影响或者可能影响中标、成交结果的，按照下列情况处理：</w:t>
      </w:r>
    </w:p>
    <w:p w14:paraId="186F29A4">
      <w:pPr>
        <w:spacing w:line="360" w:lineRule="auto"/>
        <w:rPr>
          <w:rFonts w:ascii="新宋体" w:hAnsi="新宋体" w:eastAsia="新宋体"/>
          <w:szCs w:val="21"/>
        </w:rPr>
      </w:pPr>
      <w:r>
        <w:rPr>
          <w:rFonts w:hint="eastAsia" w:ascii="新宋体" w:hAnsi="新宋体" w:eastAsia="新宋体"/>
          <w:szCs w:val="21"/>
        </w:rPr>
        <w:t>（1）对采购文件提出的质疑，依法通过澄清或者修改可以继续开展采购活动的，澄清或者修改采购文件后继续开展采购活动；否则应当修改采购文件后重新开展采购活动。</w:t>
      </w:r>
    </w:p>
    <w:p w14:paraId="452DDD41">
      <w:pPr>
        <w:spacing w:line="360" w:lineRule="auto"/>
        <w:rPr>
          <w:rFonts w:ascii="新宋体" w:hAnsi="新宋体" w:eastAsia="新宋体"/>
          <w:szCs w:val="21"/>
        </w:rPr>
      </w:pPr>
      <w:r>
        <w:rPr>
          <w:rFonts w:hint="eastAsia" w:ascii="新宋体" w:hAnsi="新宋体" w:eastAsia="新宋体"/>
          <w:szCs w:val="21"/>
        </w:rPr>
        <w:t>（2）对采购过程、中标或者成交结果提出的质疑，如果合格供应商符合法定数量，依法从合格的中标或者成交候选人中另行确定中标、成交供应商；如果合格供应商不符合法定数量，应当重新开展采购活动。</w:t>
      </w:r>
    </w:p>
    <w:p w14:paraId="7F15C1A0">
      <w:pPr>
        <w:spacing w:line="360" w:lineRule="auto"/>
        <w:rPr>
          <w:sz w:val="24"/>
        </w:rPr>
      </w:pPr>
    </w:p>
    <w:p w14:paraId="68ACFD8A">
      <w:pPr>
        <w:rPr>
          <w:rFonts w:ascii="宋体" w:hAnsi="宋体"/>
          <w:szCs w:val="21"/>
        </w:rPr>
      </w:pPr>
    </w:p>
    <w:sectPr>
      <w:headerReference r:id="rId3" w:type="first"/>
      <w:footerReference r:id="rId4" w:type="default"/>
      <w:footerReference r:id="rId5" w:type="even"/>
      <w:pgSz w:w="11907" w:h="16840"/>
      <w:pgMar w:top="1418" w:right="1418" w:bottom="1418"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汉仪细等线简">
    <w:altName w:val="仿宋"/>
    <w:panose1 w:val="00000000000000000000"/>
    <w:charset w:val="86"/>
    <w:family w:val="auto"/>
    <w:pitch w:val="default"/>
    <w:sig w:usb0="00000000" w:usb1="00000000" w:usb2="00000012" w:usb3="00000000" w:csb0="00040000" w:csb1="00000000"/>
  </w:font>
  <w:font w:name="H Yb 2gj">
    <w:altName w:val="仿宋"/>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方正小标宋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83B2">
    <w:pPr>
      <w:pStyle w:val="27"/>
      <w:framePr w:wrap="around" w:vAnchor="text" w:hAnchor="margin" w:xAlign="center" w:y="1"/>
      <w:rPr>
        <w:rStyle w:val="48"/>
      </w:rPr>
    </w:pPr>
    <w:r>
      <w:t xml:space="preserve">- </w:t>
    </w:r>
    <w:r>
      <w:fldChar w:fldCharType="begin"/>
    </w:r>
    <w:r>
      <w:instrText xml:space="preserve"> PAGE </w:instrText>
    </w:r>
    <w:r>
      <w:fldChar w:fldCharType="separate"/>
    </w:r>
    <w:r>
      <w:t>7</w:t>
    </w:r>
    <w:r>
      <w:fldChar w:fldCharType="end"/>
    </w:r>
    <w:r>
      <w:t xml:space="preserve"> -</w:t>
    </w:r>
  </w:p>
  <w:p w14:paraId="39A36234">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91B97">
    <w:pPr>
      <w:pStyle w:val="27"/>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79D4FC25">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68C8">
    <w:pPr>
      <w:pStyle w:val="2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AC5FD"/>
    <w:multiLevelType w:val="singleLevel"/>
    <w:tmpl w:val="909AC5FD"/>
    <w:lvl w:ilvl="0" w:tentative="0">
      <w:start w:val="1"/>
      <w:numFmt w:val="chineseCounting"/>
      <w:suff w:val="nothing"/>
      <w:lvlText w:val="（%1）"/>
      <w:lvlJc w:val="left"/>
      <w:rPr>
        <w:rFonts w:hint="eastAsia"/>
      </w:rPr>
    </w:lvl>
  </w:abstractNum>
  <w:abstractNum w:abstractNumId="1">
    <w:nsid w:val="9D145932"/>
    <w:multiLevelType w:val="singleLevel"/>
    <w:tmpl w:val="9D145932"/>
    <w:lvl w:ilvl="0" w:tentative="0">
      <w:start w:val="1"/>
      <w:numFmt w:val="decimal"/>
      <w:suff w:val="nothing"/>
      <w:lvlText w:val="%1、"/>
      <w:lvlJc w:val="left"/>
    </w:lvl>
  </w:abstractNum>
  <w:abstractNum w:abstractNumId="2">
    <w:nsid w:val="B1687C4D"/>
    <w:multiLevelType w:val="singleLevel"/>
    <w:tmpl w:val="B1687C4D"/>
    <w:lvl w:ilvl="0" w:tentative="0">
      <w:start w:val="1"/>
      <w:numFmt w:val="decimal"/>
      <w:suff w:val="nothing"/>
      <w:lvlText w:val="%1、"/>
      <w:lvlJc w:val="left"/>
    </w:lvl>
  </w:abstractNum>
  <w:abstractNum w:abstractNumId="3">
    <w:nsid w:val="CA88831B"/>
    <w:multiLevelType w:val="singleLevel"/>
    <w:tmpl w:val="CA88831B"/>
    <w:lvl w:ilvl="0" w:tentative="0">
      <w:start w:val="2"/>
      <w:numFmt w:val="decimal"/>
      <w:suff w:val="nothing"/>
      <w:lvlText w:val="%1、"/>
      <w:lvlJc w:val="left"/>
    </w:lvl>
  </w:abstractNum>
  <w:abstractNum w:abstractNumId="4">
    <w:nsid w:val="FFFFFF7C"/>
    <w:multiLevelType w:val="singleLevel"/>
    <w:tmpl w:val="FFFFFF7C"/>
    <w:lvl w:ilvl="0" w:tentative="0">
      <w:start w:val="1"/>
      <w:numFmt w:val="decimal"/>
      <w:pStyle w:val="59"/>
      <w:lvlText w:val="%1."/>
      <w:lvlJc w:val="left"/>
      <w:pPr>
        <w:tabs>
          <w:tab w:val="left" w:pos="2040"/>
        </w:tabs>
        <w:ind w:left="2040" w:leftChars="800" w:hanging="360" w:hangingChars="200"/>
      </w:pPr>
    </w:lvl>
  </w:abstractNum>
  <w:abstractNum w:abstractNumId="5">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6">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75"/>
      <w:lvlText w:val=""/>
      <w:lvlJc w:val="left"/>
      <w:pPr>
        <w:tabs>
          <w:tab w:val="left" w:pos="840"/>
        </w:tabs>
        <w:ind w:left="840" w:hanging="420"/>
      </w:pPr>
      <w:rPr>
        <w:rFonts w:hint="default" w:ascii="Wingdings" w:hAnsi="Wingdings"/>
      </w:rPr>
    </w:lvl>
    <w:lvl w:ilvl="1" w:tentative="0">
      <w:start w:val="1"/>
      <w:numFmt w:val="bullet"/>
      <w:pStyle w:val="7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7D297B4"/>
    <w:multiLevelType w:val="singleLevel"/>
    <w:tmpl w:val="27D297B4"/>
    <w:lvl w:ilvl="0" w:tentative="0">
      <w:start w:val="1"/>
      <w:numFmt w:val="decimal"/>
      <w:suff w:val="nothing"/>
      <w:lvlText w:val="%1、"/>
      <w:lvlJc w:val="left"/>
    </w:lvl>
  </w:abstractNum>
  <w:abstractNum w:abstractNumId="9">
    <w:nsid w:val="2F395B7B"/>
    <w:multiLevelType w:val="multilevel"/>
    <w:tmpl w:val="2F395B7B"/>
    <w:lvl w:ilvl="0" w:tentative="0">
      <w:start w:val="1"/>
      <w:numFmt w:val="bullet"/>
      <w:pStyle w:val="16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2BE3C88"/>
    <w:multiLevelType w:val="singleLevel"/>
    <w:tmpl w:val="52BE3C88"/>
    <w:lvl w:ilvl="0" w:tentative="0">
      <w:start w:val="1"/>
      <w:numFmt w:val="decimal"/>
      <w:suff w:val="nothing"/>
      <w:lvlText w:val="%1、"/>
      <w:lvlJc w:val="left"/>
    </w:lvl>
  </w:abstractNum>
  <w:abstractNum w:abstractNumId="12">
    <w:nsid w:val="5B2C1DB4"/>
    <w:multiLevelType w:val="singleLevel"/>
    <w:tmpl w:val="5B2C1DB4"/>
    <w:lvl w:ilvl="0" w:tentative="0">
      <w:start w:val="1"/>
      <w:numFmt w:val="decimal"/>
      <w:suff w:val="nothing"/>
      <w:lvlText w:val="%1、"/>
      <w:lvlJc w:val="left"/>
    </w:lvl>
  </w:abstractNum>
  <w:abstractNum w:abstractNumId="13">
    <w:nsid w:val="5CBB37F4"/>
    <w:multiLevelType w:val="multilevel"/>
    <w:tmpl w:val="5CBB37F4"/>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EF7716"/>
    <w:multiLevelType w:val="multilevel"/>
    <w:tmpl w:val="7AEF7716"/>
    <w:lvl w:ilvl="0" w:tentative="0">
      <w:start w:val="1"/>
      <w:numFmt w:val="chineseCountingThousand"/>
      <w:pStyle w:val="12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7"/>
  </w:num>
  <w:num w:numId="4">
    <w:abstractNumId w:val="6"/>
  </w:num>
  <w:num w:numId="5">
    <w:abstractNumId w:val="14"/>
  </w:num>
  <w:num w:numId="6">
    <w:abstractNumId w:val="9"/>
  </w:num>
  <w:num w:numId="7">
    <w:abstractNumId w:val="0"/>
  </w:num>
  <w:num w:numId="8">
    <w:abstractNumId w:val="13"/>
  </w:num>
  <w:num w:numId="9">
    <w:abstractNumId w:val="3"/>
  </w:num>
  <w:num w:numId="10">
    <w:abstractNumId w:val="11"/>
  </w:num>
  <w:num w:numId="11">
    <w:abstractNumId w:val="1"/>
  </w:num>
  <w:num w:numId="12">
    <w:abstractNumId w:val="8"/>
  </w:num>
  <w:num w:numId="13">
    <w:abstractNumId w:val="12"/>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ZWE1MzJlYzhlMzYwM2NlNjg2NGE5OWUzY2ZhZTgifQ=="/>
  </w:docVars>
  <w:rsids>
    <w:rsidRoot w:val="006C5683"/>
    <w:rsid w:val="00000AD9"/>
    <w:rsid w:val="000043C0"/>
    <w:rsid w:val="000050CA"/>
    <w:rsid w:val="000051C6"/>
    <w:rsid w:val="00005215"/>
    <w:rsid w:val="00005A10"/>
    <w:rsid w:val="00005D3D"/>
    <w:rsid w:val="0000667D"/>
    <w:rsid w:val="00006F7B"/>
    <w:rsid w:val="00007951"/>
    <w:rsid w:val="00010063"/>
    <w:rsid w:val="00010102"/>
    <w:rsid w:val="0001019E"/>
    <w:rsid w:val="00011586"/>
    <w:rsid w:val="00011EA6"/>
    <w:rsid w:val="00012640"/>
    <w:rsid w:val="00012B21"/>
    <w:rsid w:val="0001300F"/>
    <w:rsid w:val="0001323A"/>
    <w:rsid w:val="0001480D"/>
    <w:rsid w:val="00014A5C"/>
    <w:rsid w:val="00015388"/>
    <w:rsid w:val="0001716B"/>
    <w:rsid w:val="00017F81"/>
    <w:rsid w:val="000211EA"/>
    <w:rsid w:val="000234B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267A"/>
    <w:rsid w:val="0006335B"/>
    <w:rsid w:val="00063C25"/>
    <w:rsid w:val="00064892"/>
    <w:rsid w:val="00066026"/>
    <w:rsid w:val="0006660A"/>
    <w:rsid w:val="0006670C"/>
    <w:rsid w:val="00067960"/>
    <w:rsid w:val="0007003A"/>
    <w:rsid w:val="00070210"/>
    <w:rsid w:val="000707BF"/>
    <w:rsid w:val="00072CB4"/>
    <w:rsid w:val="000734CD"/>
    <w:rsid w:val="00074403"/>
    <w:rsid w:val="000750DC"/>
    <w:rsid w:val="0007583C"/>
    <w:rsid w:val="00075E26"/>
    <w:rsid w:val="00076057"/>
    <w:rsid w:val="000770EC"/>
    <w:rsid w:val="00080613"/>
    <w:rsid w:val="00082667"/>
    <w:rsid w:val="00082AD2"/>
    <w:rsid w:val="00083DC6"/>
    <w:rsid w:val="00084857"/>
    <w:rsid w:val="000850AF"/>
    <w:rsid w:val="000852EB"/>
    <w:rsid w:val="000856B7"/>
    <w:rsid w:val="000867B8"/>
    <w:rsid w:val="000869D8"/>
    <w:rsid w:val="00086CA6"/>
    <w:rsid w:val="00090213"/>
    <w:rsid w:val="00092FC7"/>
    <w:rsid w:val="00093133"/>
    <w:rsid w:val="0009395E"/>
    <w:rsid w:val="000954D5"/>
    <w:rsid w:val="00095723"/>
    <w:rsid w:val="00095A74"/>
    <w:rsid w:val="0009618D"/>
    <w:rsid w:val="0009709B"/>
    <w:rsid w:val="000975E3"/>
    <w:rsid w:val="000A1DD1"/>
    <w:rsid w:val="000A21A5"/>
    <w:rsid w:val="000A3908"/>
    <w:rsid w:val="000A4C29"/>
    <w:rsid w:val="000A6E2B"/>
    <w:rsid w:val="000A79D3"/>
    <w:rsid w:val="000B05E2"/>
    <w:rsid w:val="000B2568"/>
    <w:rsid w:val="000B41BB"/>
    <w:rsid w:val="000B5357"/>
    <w:rsid w:val="000B597F"/>
    <w:rsid w:val="000B634D"/>
    <w:rsid w:val="000B7465"/>
    <w:rsid w:val="000C14CB"/>
    <w:rsid w:val="000C18BC"/>
    <w:rsid w:val="000C1EE4"/>
    <w:rsid w:val="000C1FF9"/>
    <w:rsid w:val="000C4151"/>
    <w:rsid w:val="000C4425"/>
    <w:rsid w:val="000C4B12"/>
    <w:rsid w:val="000C5FA7"/>
    <w:rsid w:val="000C6373"/>
    <w:rsid w:val="000C7E71"/>
    <w:rsid w:val="000D16AA"/>
    <w:rsid w:val="000D1A7D"/>
    <w:rsid w:val="000D2309"/>
    <w:rsid w:val="000D2CCA"/>
    <w:rsid w:val="000D366B"/>
    <w:rsid w:val="000D38F9"/>
    <w:rsid w:val="000D5D6B"/>
    <w:rsid w:val="000D7A20"/>
    <w:rsid w:val="000E0C6D"/>
    <w:rsid w:val="000E161C"/>
    <w:rsid w:val="000E2C39"/>
    <w:rsid w:val="000E355C"/>
    <w:rsid w:val="000E4445"/>
    <w:rsid w:val="000E470B"/>
    <w:rsid w:val="000E4DE8"/>
    <w:rsid w:val="000E50F5"/>
    <w:rsid w:val="000E5E99"/>
    <w:rsid w:val="000E6A66"/>
    <w:rsid w:val="000E7E2D"/>
    <w:rsid w:val="000F0C3B"/>
    <w:rsid w:val="000F0E9F"/>
    <w:rsid w:val="000F1540"/>
    <w:rsid w:val="000F2065"/>
    <w:rsid w:val="000F2A88"/>
    <w:rsid w:val="000F2C23"/>
    <w:rsid w:val="000F2D1B"/>
    <w:rsid w:val="000F3658"/>
    <w:rsid w:val="000F3B37"/>
    <w:rsid w:val="000F3C85"/>
    <w:rsid w:val="000F3F12"/>
    <w:rsid w:val="000F565B"/>
    <w:rsid w:val="000F5C6C"/>
    <w:rsid w:val="000F5F3F"/>
    <w:rsid w:val="00100570"/>
    <w:rsid w:val="00101CE5"/>
    <w:rsid w:val="00101DD0"/>
    <w:rsid w:val="00102555"/>
    <w:rsid w:val="0010259D"/>
    <w:rsid w:val="0010291B"/>
    <w:rsid w:val="00102B4B"/>
    <w:rsid w:val="00103AB9"/>
    <w:rsid w:val="00103E80"/>
    <w:rsid w:val="00107187"/>
    <w:rsid w:val="00107272"/>
    <w:rsid w:val="00107D54"/>
    <w:rsid w:val="00110383"/>
    <w:rsid w:val="00110B62"/>
    <w:rsid w:val="001113A9"/>
    <w:rsid w:val="00111581"/>
    <w:rsid w:val="00111CEB"/>
    <w:rsid w:val="0011245C"/>
    <w:rsid w:val="0011500F"/>
    <w:rsid w:val="00115A55"/>
    <w:rsid w:val="0011665D"/>
    <w:rsid w:val="00116AAC"/>
    <w:rsid w:val="00117D55"/>
    <w:rsid w:val="001204B2"/>
    <w:rsid w:val="001212EF"/>
    <w:rsid w:val="001217DC"/>
    <w:rsid w:val="00121F81"/>
    <w:rsid w:val="0012203F"/>
    <w:rsid w:val="001222D0"/>
    <w:rsid w:val="00123CC6"/>
    <w:rsid w:val="00123E74"/>
    <w:rsid w:val="00125689"/>
    <w:rsid w:val="00125C8A"/>
    <w:rsid w:val="001261FC"/>
    <w:rsid w:val="00127BE4"/>
    <w:rsid w:val="001306FE"/>
    <w:rsid w:val="00130827"/>
    <w:rsid w:val="001308A2"/>
    <w:rsid w:val="00131140"/>
    <w:rsid w:val="0013281E"/>
    <w:rsid w:val="00132FD3"/>
    <w:rsid w:val="001337FC"/>
    <w:rsid w:val="001339CF"/>
    <w:rsid w:val="0013673A"/>
    <w:rsid w:val="001410EB"/>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6BD"/>
    <w:rsid w:val="00162C33"/>
    <w:rsid w:val="0016340E"/>
    <w:rsid w:val="00164E23"/>
    <w:rsid w:val="0016595F"/>
    <w:rsid w:val="00166A2C"/>
    <w:rsid w:val="00166BF2"/>
    <w:rsid w:val="00166CC3"/>
    <w:rsid w:val="001706BB"/>
    <w:rsid w:val="00170A9E"/>
    <w:rsid w:val="0017121A"/>
    <w:rsid w:val="00171401"/>
    <w:rsid w:val="00171777"/>
    <w:rsid w:val="001719FB"/>
    <w:rsid w:val="00172B65"/>
    <w:rsid w:val="00172EF5"/>
    <w:rsid w:val="001732E1"/>
    <w:rsid w:val="0017613E"/>
    <w:rsid w:val="00177167"/>
    <w:rsid w:val="00177753"/>
    <w:rsid w:val="00181A71"/>
    <w:rsid w:val="00182329"/>
    <w:rsid w:val="0018261B"/>
    <w:rsid w:val="0018326D"/>
    <w:rsid w:val="001834A7"/>
    <w:rsid w:val="0018373B"/>
    <w:rsid w:val="00183C79"/>
    <w:rsid w:val="00183C8B"/>
    <w:rsid w:val="00183E75"/>
    <w:rsid w:val="001845CF"/>
    <w:rsid w:val="001865BB"/>
    <w:rsid w:val="00187518"/>
    <w:rsid w:val="00187743"/>
    <w:rsid w:val="0019096C"/>
    <w:rsid w:val="00191EA7"/>
    <w:rsid w:val="00192164"/>
    <w:rsid w:val="00192883"/>
    <w:rsid w:val="00194C98"/>
    <w:rsid w:val="00194FB7"/>
    <w:rsid w:val="00195D28"/>
    <w:rsid w:val="00195DDB"/>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0ABA"/>
    <w:rsid w:val="001B1339"/>
    <w:rsid w:val="001B1B58"/>
    <w:rsid w:val="001B1F55"/>
    <w:rsid w:val="001B2049"/>
    <w:rsid w:val="001B2934"/>
    <w:rsid w:val="001B4A37"/>
    <w:rsid w:val="001B6FAD"/>
    <w:rsid w:val="001C04B2"/>
    <w:rsid w:val="001C14C1"/>
    <w:rsid w:val="001C1FDE"/>
    <w:rsid w:val="001C2063"/>
    <w:rsid w:val="001C21E1"/>
    <w:rsid w:val="001C3426"/>
    <w:rsid w:val="001C425D"/>
    <w:rsid w:val="001C4768"/>
    <w:rsid w:val="001C5755"/>
    <w:rsid w:val="001C5839"/>
    <w:rsid w:val="001C6AF6"/>
    <w:rsid w:val="001C7129"/>
    <w:rsid w:val="001C77E1"/>
    <w:rsid w:val="001C7ADA"/>
    <w:rsid w:val="001C7B48"/>
    <w:rsid w:val="001D121D"/>
    <w:rsid w:val="001D2A62"/>
    <w:rsid w:val="001D3543"/>
    <w:rsid w:val="001D4151"/>
    <w:rsid w:val="001D58E5"/>
    <w:rsid w:val="001D7299"/>
    <w:rsid w:val="001E0FAB"/>
    <w:rsid w:val="001E2084"/>
    <w:rsid w:val="001E2502"/>
    <w:rsid w:val="001E292F"/>
    <w:rsid w:val="001E351C"/>
    <w:rsid w:val="001E474D"/>
    <w:rsid w:val="001E5194"/>
    <w:rsid w:val="001E5A81"/>
    <w:rsid w:val="001E62FB"/>
    <w:rsid w:val="001E6A0B"/>
    <w:rsid w:val="001E77DA"/>
    <w:rsid w:val="001E7A2F"/>
    <w:rsid w:val="001E7AB0"/>
    <w:rsid w:val="001E7DD0"/>
    <w:rsid w:val="001F0349"/>
    <w:rsid w:val="001F077B"/>
    <w:rsid w:val="001F0B74"/>
    <w:rsid w:val="001F2648"/>
    <w:rsid w:val="001F41B9"/>
    <w:rsid w:val="001F43DE"/>
    <w:rsid w:val="001F4BE8"/>
    <w:rsid w:val="001F4EB8"/>
    <w:rsid w:val="001F560A"/>
    <w:rsid w:val="001F6318"/>
    <w:rsid w:val="001F65B1"/>
    <w:rsid w:val="001F6B83"/>
    <w:rsid w:val="001F6F6A"/>
    <w:rsid w:val="001F7595"/>
    <w:rsid w:val="002000B8"/>
    <w:rsid w:val="002005CD"/>
    <w:rsid w:val="00200A2B"/>
    <w:rsid w:val="00200B4C"/>
    <w:rsid w:val="00202F46"/>
    <w:rsid w:val="00203267"/>
    <w:rsid w:val="00203897"/>
    <w:rsid w:val="0020391D"/>
    <w:rsid w:val="00205F9C"/>
    <w:rsid w:val="002060F7"/>
    <w:rsid w:val="00207BC6"/>
    <w:rsid w:val="00210771"/>
    <w:rsid w:val="00210EE2"/>
    <w:rsid w:val="00211885"/>
    <w:rsid w:val="00212ADF"/>
    <w:rsid w:val="002134CF"/>
    <w:rsid w:val="00213A60"/>
    <w:rsid w:val="0021429B"/>
    <w:rsid w:val="00215699"/>
    <w:rsid w:val="002159DE"/>
    <w:rsid w:val="00215E99"/>
    <w:rsid w:val="0021667D"/>
    <w:rsid w:val="002166A1"/>
    <w:rsid w:val="002166A6"/>
    <w:rsid w:val="00216BB6"/>
    <w:rsid w:val="0022048B"/>
    <w:rsid w:val="0022175C"/>
    <w:rsid w:val="00222261"/>
    <w:rsid w:val="002227DF"/>
    <w:rsid w:val="002232BC"/>
    <w:rsid w:val="00223AC8"/>
    <w:rsid w:val="00223C96"/>
    <w:rsid w:val="00224852"/>
    <w:rsid w:val="0022634D"/>
    <w:rsid w:val="00227512"/>
    <w:rsid w:val="0022766E"/>
    <w:rsid w:val="002278D5"/>
    <w:rsid w:val="00227C13"/>
    <w:rsid w:val="00227D49"/>
    <w:rsid w:val="00227FC7"/>
    <w:rsid w:val="002308EC"/>
    <w:rsid w:val="00233A54"/>
    <w:rsid w:val="00234440"/>
    <w:rsid w:val="002347C9"/>
    <w:rsid w:val="00236E72"/>
    <w:rsid w:val="002411BD"/>
    <w:rsid w:val="00244711"/>
    <w:rsid w:val="00244AE4"/>
    <w:rsid w:val="00245EBE"/>
    <w:rsid w:val="002472C1"/>
    <w:rsid w:val="002473F4"/>
    <w:rsid w:val="00247D64"/>
    <w:rsid w:val="00250F42"/>
    <w:rsid w:val="00252EBA"/>
    <w:rsid w:val="0025361A"/>
    <w:rsid w:val="0025423C"/>
    <w:rsid w:val="002545EF"/>
    <w:rsid w:val="00254A2A"/>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B4E"/>
    <w:rsid w:val="00271500"/>
    <w:rsid w:val="00272E57"/>
    <w:rsid w:val="00274663"/>
    <w:rsid w:val="00275641"/>
    <w:rsid w:val="0027569A"/>
    <w:rsid w:val="002767D9"/>
    <w:rsid w:val="00280382"/>
    <w:rsid w:val="00280CD3"/>
    <w:rsid w:val="00280F4B"/>
    <w:rsid w:val="002821E9"/>
    <w:rsid w:val="002827D2"/>
    <w:rsid w:val="002835B7"/>
    <w:rsid w:val="00284C1F"/>
    <w:rsid w:val="002851AF"/>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97E47"/>
    <w:rsid w:val="002A11CE"/>
    <w:rsid w:val="002A13E2"/>
    <w:rsid w:val="002A180F"/>
    <w:rsid w:val="002A1B36"/>
    <w:rsid w:val="002A2886"/>
    <w:rsid w:val="002A37E6"/>
    <w:rsid w:val="002A4DFC"/>
    <w:rsid w:val="002B18D6"/>
    <w:rsid w:val="002B22D4"/>
    <w:rsid w:val="002B3984"/>
    <w:rsid w:val="002B4BF3"/>
    <w:rsid w:val="002B55C8"/>
    <w:rsid w:val="002B5E4B"/>
    <w:rsid w:val="002B660D"/>
    <w:rsid w:val="002B7969"/>
    <w:rsid w:val="002C0031"/>
    <w:rsid w:val="002C0485"/>
    <w:rsid w:val="002C0762"/>
    <w:rsid w:val="002C2381"/>
    <w:rsid w:val="002C257A"/>
    <w:rsid w:val="002C2BEC"/>
    <w:rsid w:val="002C30C0"/>
    <w:rsid w:val="002C4F4B"/>
    <w:rsid w:val="002C6EC0"/>
    <w:rsid w:val="002C7258"/>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8A"/>
    <w:rsid w:val="002E505D"/>
    <w:rsid w:val="002E6F69"/>
    <w:rsid w:val="002E7296"/>
    <w:rsid w:val="002E73B8"/>
    <w:rsid w:val="002F0823"/>
    <w:rsid w:val="002F12AE"/>
    <w:rsid w:val="002F2471"/>
    <w:rsid w:val="002F2B7A"/>
    <w:rsid w:val="002F3105"/>
    <w:rsid w:val="002F5E6C"/>
    <w:rsid w:val="002F72FF"/>
    <w:rsid w:val="0030083A"/>
    <w:rsid w:val="00300BF3"/>
    <w:rsid w:val="0030143F"/>
    <w:rsid w:val="003018DC"/>
    <w:rsid w:val="00301A2B"/>
    <w:rsid w:val="00301BCD"/>
    <w:rsid w:val="00303ACF"/>
    <w:rsid w:val="0030463E"/>
    <w:rsid w:val="00304ED6"/>
    <w:rsid w:val="00306654"/>
    <w:rsid w:val="00306D5D"/>
    <w:rsid w:val="00306FF4"/>
    <w:rsid w:val="00310EE1"/>
    <w:rsid w:val="003122B0"/>
    <w:rsid w:val="00312390"/>
    <w:rsid w:val="00313487"/>
    <w:rsid w:val="003138EB"/>
    <w:rsid w:val="00315880"/>
    <w:rsid w:val="00315A06"/>
    <w:rsid w:val="0031678B"/>
    <w:rsid w:val="0031683C"/>
    <w:rsid w:val="00317146"/>
    <w:rsid w:val="003176EA"/>
    <w:rsid w:val="00317CCE"/>
    <w:rsid w:val="00317D36"/>
    <w:rsid w:val="00321473"/>
    <w:rsid w:val="003225FB"/>
    <w:rsid w:val="00323A7C"/>
    <w:rsid w:val="00323BE9"/>
    <w:rsid w:val="00323C32"/>
    <w:rsid w:val="00323CC7"/>
    <w:rsid w:val="00324A1D"/>
    <w:rsid w:val="00324C55"/>
    <w:rsid w:val="003250B4"/>
    <w:rsid w:val="00325742"/>
    <w:rsid w:val="00327224"/>
    <w:rsid w:val="00327AB3"/>
    <w:rsid w:val="00327F9E"/>
    <w:rsid w:val="00330527"/>
    <w:rsid w:val="003318A6"/>
    <w:rsid w:val="003321A8"/>
    <w:rsid w:val="00332EB1"/>
    <w:rsid w:val="00333E63"/>
    <w:rsid w:val="00334044"/>
    <w:rsid w:val="00335188"/>
    <w:rsid w:val="00335234"/>
    <w:rsid w:val="00336257"/>
    <w:rsid w:val="00336E5E"/>
    <w:rsid w:val="003373B8"/>
    <w:rsid w:val="003413F4"/>
    <w:rsid w:val="00342DC1"/>
    <w:rsid w:val="00342EF7"/>
    <w:rsid w:val="003432B6"/>
    <w:rsid w:val="00343F41"/>
    <w:rsid w:val="00344BF3"/>
    <w:rsid w:val="00345CC1"/>
    <w:rsid w:val="00345EA7"/>
    <w:rsid w:val="0034652C"/>
    <w:rsid w:val="00346606"/>
    <w:rsid w:val="00346E73"/>
    <w:rsid w:val="0035067B"/>
    <w:rsid w:val="00350681"/>
    <w:rsid w:val="00350B6E"/>
    <w:rsid w:val="00351A4A"/>
    <w:rsid w:val="00351D95"/>
    <w:rsid w:val="00351FB4"/>
    <w:rsid w:val="00353860"/>
    <w:rsid w:val="00354CD9"/>
    <w:rsid w:val="003556C1"/>
    <w:rsid w:val="00355EEE"/>
    <w:rsid w:val="00357883"/>
    <w:rsid w:val="00360494"/>
    <w:rsid w:val="00360C00"/>
    <w:rsid w:val="00361633"/>
    <w:rsid w:val="00361935"/>
    <w:rsid w:val="003626AE"/>
    <w:rsid w:val="0036292A"/>
    <w:rsid w:val="00362AF3"/>
    <w:rsid w:val="00364BEE"/>
    <w:rsid w:val="0036508D"/>
    <w:rsid w:val="003651C8"/>
    <w:rsid w:val="00366321"/>
    <w:rsid w:val="003669F1"/>
    <w:rsid w:val="00366F10"/>
    <w:rsid w:val="003700A3"/>
    <w:rsid w:val="00370B40"/>
    <w:rsid w:val="00371C15"/>
    <w:rsid w:val="00372CDF"/>
    <w:rsid w:val="00373411"/>
    <w:rsid w:val="00373676"/>
    <w:rsid w:val="00373D40"/>
    <w:rsid w:val="003741F6"/>
    <w:rsid w:val="00374A29"/>
    <w:rsid w:val="00374FA4"/>
    <w:rsid w:val="003756C6"/>
    <w:rsid w:val="00376E35"/>
    <w:rsid w:val="00377F6C"/>
    <w:rsid w:val="00380094"/>
    <w:rsid w:val="00380256"/>
    <w:rsid w:val="0038165D"/>
    <w:rsid w:val="00383071"/>
    <w:rsid w:val="00385091"/>
    <w:rsid w:val="00385175"/>
    <w:rsid w:val="00385444"/>
    <w:rsid w:val="00385F39"/>
    <w:rsid w:val="00386070"/>
    <w:rsid w:val="003900A5"/>
    <w:rsid w:val="003917AD"/>
    <w:rsid w:val="00391E33"/>
    <w:rsid w:val="00391FAB"/>
    <w:rsid w:val="00392539"/>
    <w:rsid w:val="00392677"/>
    <w:rsid w:val="00393431"/>
    <w:rsid w:val="00393633"/>
    <w:rsid w:val="003945E2"/>
    <w:rsid w:val="00394981"/>
    <w:rsid w:val="00395100"/>
    <w:rsid w:val="003953A8"/>
    <w:rsid w:val="003958E6"/>
    <w:rsid w:val="00395D76"/>
    <w:rsid w:val="00396F7B"/>
    <w:rsid w:val="00396FA3"/>
    <w:rsid w:val="0039788E"/>
    <w:rsid w:val="00397F0D"/>
    <w:rsid w:val="003A0011"/>
    <w:rsid w:val="003A0DC3"/>
    <w:rsid w:val="003A1CF5"/>
    <w:rsid w:val="003A2812"/>
    <w:rsid w:val="003A2D0C"/>
    <w:rsid w:val="003A3304"/>
    <w:rsid w:val="003A3551"/>
    <w:rsid w:val="003A38F0"/>
    <w:rsid w:val="003A443D"/>
    <w:rsid w:val="003A4DE4"/>
    <w:rsid w:val="003A6A5A"/>
    <w:rsid w:val="003A72E9"/>
    <w:rsid w:val="003B169E"/>
    <w:rsid w:val="003B175A"/>
    <w:rsid w:val="003B3231"/>
    <w:rsid w:val="003B357A"/>
    <w:rsid w:val="003B499C"/>
    <w:rsid w:val="003B4CCD"/>
    <w:rsid w:val="003B53D4"/>
    <w:rsid w:val="003B56D7"/>
    <w:rsid w:val="003B7298"/>
    <w:rsid w:val="003C0FF8"/>
    <w:rsid w:val="003C1D0C"/>
    <w:rsid w:val="003C4FD5"/>
    <w:rsid w:val="003C582B"/>
    <w:rsid w:val="003C6BFF"/>
    <w:rsid w:val="003D2333"/>
    <w:rsid w:val="003D3241"/>
    <w:rsid w:val="003D39AE"/>
    <w:rsid w:val="003D4804"/>
    <w:rsid w:val="003D5413"/>
    <w:rsid w:val="003D7685"/>
    <w:rsid w:val="003D7E9A"/>
    <w:rsid w:val="003E0366"/>
    <w:rsid w:val="003E100C"/>
    <w:rsid w:val="003E2FFE"/>
    <w:rsid w:val="003E37AA"/>
    <w:rsid w:val="003E4310"/>
    <w:rsid w:val="003E47DE"/>
    <w:rsid w:val="003E4FFA"/>
    <w:rsid w:val="003E6E11"/>
    <w:rsid w:val="003F0536"/>
    <w:rsid w:val="003F10D3"/>
    <w:rsid w:val="003F1548"/>
    <w:rsid w:val="003F16E6"/>
    <w:rsid w:val="003F2B3D"/>
    <w:rsid w:val="003F2FBA"/>
    <w:rsid w:val="003F3105"/>
    <w:rsid w:val="003F3C44"/>
    <w:rsid w:val="003F4172"/>
    <w:rsid w:val="003F4249"/>
    <w:rsid w:val="003F4768"/>
    <w:rsid w:val="003F4E3B"/>
    <w:rsid w:val="003F5086"/>
    <w:rsid w:val="003F5108"/>
    <w:rsid w:val="003F5D2C"/>
    <w:rsid w:val="003F6BFD"/>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11B37"/>
    <w:rsid w:val="004125ED"/>
    <w:rsid w:val="00413B39"/>
    <w:rsid w:val="0041450E"/>
    <w:rsid w:val="0041456E"/>
    <w:rsid w:val="00415370"/>
    <w:rsid w:val="00415781"/>
    <w:rsid w:val="00416485"/>
    <w:rsid w:val="00416F40"/>
    <w:rsid w:val="00417769"/>
    <w:rsid w:val="00417F0D"/>
    <w:rsid w:val="00421EF2"/>
    <w:rsid w:val="00422668"/>
    <w:rsid w:val="004248C6"/>
    <w:rsid w:val="00424946"/>
    <w:rsid w:val="0042602D"/>
    <w:rsid w:val="004261DA"/>
    <w:rsid w:val="00427004"/>
    <w:rsid w:val="00431AC1"/>
    <w:rsid w:val="00431DE1"/>
    <w:rsid w:val="004329C9"/>
    <w:rsid w:val="00432CD5"/>
    <w:rsid w:val="00432EF0"/>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9A3"/>
    <w:rsid w:val="004578ED"/>
    <w:rsid w:val="0046064C"/>
    <w:rsid w:val="004611B6"/>
    <w:rsid w:val="004615EF"/>
    <w:rsid w:val="00461997"/>
    <w:rsid w:val="00463F8B"/>
    <w:rsid w:val="004649AD"/>
    <w:rsid w:val="004650E7"/>
    <w:rsid w:val="0046687B"/>
    <w:rsid w:val="00466CB4"/>
    <w:rsid w:val="00470418"/>
    <w:rsid w:val="004704EA"/>
    <w:rsid w:val="0047071D"/>
    <w:rsid w:val="004721E6"/>
    <w:rsid w:val="004727C4"/>
    <w:rsid w:val="00472F62"/>
    <w:rsid w:val="00473579"/>
    <w:rsid w:val="00473C4B"/>
    <w:rsid w:val="00473E50"/>
    <w:rsid w:val="00474E5A"/>
    <w:rsid w:val="0047558F"/>
    <w:rsid w:val="00475FD5"/>
    <w:rsid w:val="004812F4"/>
    <w:rsid w:val="0048231B"/>
    <w:rsid w:val="004838D4"/>
    <w:rsid w:val="004845AC"/>
    <w:rsid w:val="00484C31"/>
    <w:rsid w:val="00485E3C"/>
    <w:rsid w:val="00486F09"/>
    <w:rsid w:val="004877FB"/>
    <w:rsid w:val="004906DB"/>
    <w:rsid w:val="00490C0F"/>
    <w:rsid w:val="00491FF2"/>
    <w:rsid w:val="004925EE"/>
    <w:rsid w:val="00492735"/>
    <w:rsid w:val="004945E8"/>
    <w:rsid w:val="00494FC9"/>
    <w:rsid w:val="00495228"/>
    <w:rsid w:val="004963B6"/>
    <w:rsid w:val="004A10F9"/>
    <w:rsid w:val="004A1AB1"/>
    <w:rsid w:val="004A2013"/>
    <w:rsid w:val="004A201B"/>
    <w:rsid w:val="004A2B7A"/>
    <w:rsid w:val="004A3EB3"/>
    <w:rsid w:val="004A4377"/>
    <w:rsid w:val="004A55A8"/>
    <w:rsid w:val="004A57EB"/>
    <w:rsid w:val="004A5824"/>
    <w:rsid w:val="004A59D3"/>
    <w:rsid w:val="004A6D7C"/>
    <w:rsid w:val="004A6F11"/>
    <w:rsid w:val="004A74DD"/>
    <w:rsid w:val="004B00D1"/>
    <w:rsid w:val="004B0B57"/>
    <w:rsid w:val="004B0BBE"/>
    <w:rsid w:val="004B1246"/>
    <w:rsid w:val="004B1CAB"/>
    <w:rsid w:val="004B2268"/>
    <w:rsid w:val="004B2FF9"/>
    <w:rsid w:val="004B3506"/>
    <w:rsid w:val="004B36ED"/>
    <w:rsid w:val="004B40DB"/>
    <w:rsid w:val="004B4EF6"/>
    <w:rsid w:val="004B612E"/>
    <w:rsid w:val="004B623B"/>
    <w:rsid w:val="004B6554"/>
    <w:rsid w:val="004B6B22"/>
    <w:rsid w:val="004B6C50"/>
    <w:rsid w:val="004B7D93"/>
    <w:rsid w:val="004C0DA0"/>
    <w:rsid w:val="004C3E02"/>
    <w:rsid w:val="004C422D"/>
    <w:rsid w:val="004C4CEB"/>
    <w:rsid w:val="004C5CBA"/>
    <w:rsid w:val="004C64F7"/>
    <w:rsid w:val="004C6C09"/>
    <w:rsid w:val="004C6EA3"/>
    <w:rsid w:val="004D000F"/>
    <w:rsid w:val="004D055D"/>
    <w:rsid w:val="004D1240"/>
    <w:rsid w:val="004D3E71"/>
    <w:rsid w:val="004D49EE"/>
    <w:rsid w:val="004D4AE0"/>
    <w:rsid w:val="004D4C0B"/>
    <w:rsid w:val="004D69FC"/>
    <w:rsid w:val="004D72BA"/>
    <w:rsid w:val="004D77BD"/>
    <w:rsid w:val="004D77DE"/>
    <w:rsid w:val="004D7BF4"/>
    <w:rsid w:val="004D7C92"/>
    <w:rsid w:val="004E11AF"/>
    <w:rsid w:val="004E295C"/>
    <w:rsid w:val="004E2CCC"/>
    <w:rsid w:val="004E35A8"/>
    <w:rsid w:val="004E38B2"/>
    <w:rsid w:val="004E3936"/>
    <w:rsid w:val="004E3A36"/>
    <w:rsid w:val="004E490B"/>
    <w:rsid w:val="004E57F7"/>
    <w:rsid w:val="004E5D9C"/>
    <w:rsid w:val="004E6707"/>
    <w:rsid w:val="004E6B8E"/>
    <w:rsid w:val="004F0543"/>
    <w:rsid w:val="004F0D33"/>
    <w:rsid w:val="004F2385"/>
    <w:rsid w:val="004F246C"/>
    <w:rsid w:val="004F3A97"/>
    <w:rsid w:val="004F5591"/>
    <w:rsid w:val="004F5D14"/>
    <w:rsid w:val="004F62AF"/>
    <w:rsid w:val="004F68DC"/>
    <w:rsid w:val="00500F7A"/>
    <w:rsid w:val="005012AD"/>
    <w:rsid w:val="005016E5"/>
    <w:rsid w:val="00501A56"/>
    <w:rsid w:val="00502317"/>
    <w:rsid w:val="005027BB"/>
    <w:rsid w:val="00503415"/>
    <w:rsid w:val="005037E1"/>
    <w:rsid w:val="00503B5C"/>
    <w:rsid w:val="0050456A"/>
    <w:rsid w:val="00506555"/>
    <w:rsid w:val="005068E1"/>
    <w:rsid w:val="00506C46"/>
    <w:rsid w:val="005070B6"/>
    <w:rsid w:val="005077C5"/>
    <w:rsid w:val="00510B80"/>
    <w:rsid w:val="0051168A"/>
    <w:rsid w:val="005117D2"/>
    <w:rsid w:val="005118A6"/>
    <w:rsid w:val="005122F4"/>
    <w:rsid w:val="0051405F"/>
    <w:rsid w:val="0051444F"/>
    <w:rsid w:val="005156A6"/>
    <w:rsid w:val="00516393"/>
    <w:rsid w:val="00516669"/>
    <w:rsid w:val="005179A5"/>
    <w:rsid w:val="00520B4F"/>
    <w:rsid w:val="00524AD7"/>
    <w:rsid w:val="005254FD"/>
    <w:rsid w:val="005268A9"/>
    <w:rsid w:val="00526D8F"/>
    <w:rsid w:val="0052720F"/>
    <w:rsid w:val="00527421"/>
    <w:rsid w:val="005275C4"/>
    <w:rsid w:val="00527D36"/>
    <w:rsid w:val="00531076"/>
    <w:rsid w:val="00531B7C"/>
    <w:rsid w:val="00531D28"/>
    <w:rsid w:val="005328A8"/>
    <w:rsid w:val="005338EE"/>
    <w:rsid w:val="00533920"/>
    <w:rsid w:val="00535141"/>
    <w:rsid w:val="00535324"/>
    <w:rsid w:val="00535504"/>
    <w:rsid w:val="005363B4"/>
    <w:rsid w:val="0053712D"/>
    <w:rsid w:val="005403F4"/>
    <w:rsid w:val="00541136"/>
    <w:rsid w:val="0054216F"/>
    <w:rsid w:val="00542F18"/>
    <w:rsid w:val="00544853"/>
    <w:rsid w:val="00544CA5"/>
    <w:rsid w:val="005450E2"/>
    <w:rsid w:val="00545803"/>
    <w:rsid w:val="00545B19"/>
    <w:rsid w:val="00546F50"/>
    <w:rsid w:val="00547404"/>
    <w:rsid w:val="0055035F"/>
    <w:rsid w:val="005507FD"/>
    <w:rsid w:val="005511C0"/>
    <w:rsid w:val="0055232C"/>
    <w:rsid w:val="0055278E"/>
    <w:rsid w:val="0055323A"/>
    <w:rsid w:val="00554B5C"/>
    <w:rsid w:val="00555488"/>
    <w:rsid w:val="0055549A"/>
    <w:rsid w:val="00555B18"/>
    <w:rsid w:val="00555C9C"/>
    <w:rsid w:val="00556A4D"/>
    <w:rsid w:val="00557319"/>
    <w:rsid w:val="0055764E"/>
    <w:rsid w:val="00560528"/>
    <w:rsid w:val="00560699"/>
    <w:rsid w:val="00561923"/>
    <w:rsid w:val="005622F8"/>
    <w:rsid w:val="0056310A"/>
    <w:rsid w:val="0056336F"/>
    <w:rsid w:val="00565AF7"/>
    <w:rsid w:val="00566024"/>
    <w:rsid w:val="0057189C"/>
    <w:rsid w:val="00571BD2"/>
    <w:rsid w:val="00571CD7"/>
    <w:rsid w:val="00571D59"/>
    <w:rsid w:val="00572E3E"/>
    <w:rsid w:val="005737FC"/>
    <w:rsid w:val="0057420B"/>
    <w:rsid w:val="0057593B"/>
    <w:rsid w:val="005762CE"/>
    <w:rsid w:val="0057682E"/>
    <w:rsid w:val="00580280"/>
    <w:rsid w:val="00580B9E"/>
    <w:rsid w:val="00580DAB"/>
    <w:rsid w:val="0058135A"/>
    <w:rsid w:val="00581F7C"/>
    <w:rsid w:val="00583358"/>
    <w:rsid w:val="005839BF"/>
    <w:rsid w:val="00584058"/>
    <w:rsid w:val="005844A5"/>
    <w:rsid w:val="005846B4"/>
    <w:rsid w:val="005850E5"/>
    <w:rsid w:val="005851E0"/>
    <w:rsid w:val="00585571"/>
    <w:rsid w:val="005856F9"/>
    <w:rsid w:val="00585B91"/>
    <w:rsid w:val="00586BB0"/>
    <w:rsid w:val="00586BF1"/>
    <w:rsid w:val="00587DC4"/>
    <w:rsid w:val="005903E4"/>
    <w:rsid w:val="005907D5"/>
    <w:rsid w:val="005910C0"/>
    <w:rsid w:val="005913EE"/>
    <w:rsid w:val="00592461"/>
    <w:rsid w:val="005950D6"/>
    <w:rsid w:val="0059519C"/>
    <w:rsid w:val="00595524"/>
    <w:rsid w:val="00595A4A"/>
    <w:rsid w:val="005974F3"/>
    <w:rsid w:val="0059751C"/>
    <w:rsid w:val="00597919"/>
    <w:rsid w:val="005A0B9F"/>
    <w:rsid w:val="005A0EFC"/>
    <w:rsid w:val="005A44E7"/>
    <w:rsid w:val="005A5D8E"/>
    <w:rsid w:val="005A63D8"/>
    <w:rsid w:val="005A7C14"/>
    <w:rsid w:val="005A7DBE"/>
    <w:rsid w:val="005B0599"/>
    <w:rsid w:val="005B152C"/>
    <w:rsid w:val="005B1C64"/>
    <w:rsid w:val="005B1DE8"/>
    <w:rsid w:val="005B2807"/>
    <w:rsid w:val="005B3606"/>
    <w:rsid w:val="005B3E08"/>
    <w:rsid w:val="005B49B6"/>
    <w:rsid w:val="005B56EE"/>
    <w:rsid w:val="005B62C2"/>
    <w:rsid w:val="005B672C"/>
    <w:rsid w:val="005B6BE3"/>
    <w:rsid w:val="005B747D"/>
    <w:rsid w:val="005B7733"/>
    <w:rsid w:val="005B7A22"/>
    <w:rsid w:val="005C0602"/>
    <w:rsid w:val="005C0D5D"/>
    <w:rsid w:val="005C1415"/>
    <w:rsid w:val="005C191A"/>
    <w:rsid w:val="005C2AA9"/>
    <w:rsid w:val="005C330D"/>
    <w:rsid w:val="005C40C7"/>
    <w:rsid w:val="005C4114"/>
    <w:rsid w:val="005C4EFF"/>
    <w:rsid w:val="005C4F4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543"/>
    <w:rsid w:val="005E7ECB"/>
    <w:rsid w:val="005F0C00"/>
    <w:rsid w:val="005F1037"/>
    <w:rsid w:val="005F2BF8"/>
    <w:rsid w:val="005F2EA8"/>
    <w:rsid w:val="005F4518"/>
    <w:rsid w:val="005F5D1D"/>
    <w:rsid w:val="005F60C9"/>
    <w:rsid w:val="005F64C6"/>
    <w:rsid w:val="006008F1"/>
    <w:rsid w:val="00601714"/>
    <w:rsid w:val="00601735"/>
    <w:rsid w:val="00601FE2"/>
    <w:rsid w:val="00602BD2"/>
    <w:rsid w:val="006045C8"/>
    <w:rsid w:val="00604980"/>
    <w:rsid w:val="0060614D"/>
    <w:rsid w:val="00610871"/>
    <w:rsid w:val="00610E48"/>
    <w:rsid w:val="00610FE0"/>
    <w:rsid w:val="00613C47"/>
    <w:rsid w:val="00615086"/>
    <w:rsid w:val="00616201"/>
    <w:rsid w:val="00616225"/>
    <w:rsid w:val="0061705E"/>
    <w:rsid w:val="00617914"/>
    <w:rsid w:val="00617A8B"/>
    <w:rsid w:val="00621904"/>
    <w:rsid w:val="00622248"/>
    <w:rsid w:val="00622FEA"/>
    <w:rsid w:val="00623CDF"/>
    <w:rsid w:val="00623DB1"/>
    <w:rsid w:val="006245F3"/>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477E2"/>
    <w:rsid w:val="0065012E"/>
    <w:rsid w:val="00650F81"/>
    <w:rsid w:val="00650FC7"/>
    <w:rsid w:val="00651F86"/>
    <w:rsid w:val="0065395E"/>
    <w:rsid w:val="00653C24"/>
    <w:rsid w:val="00653D68"/>
    <w:rsid w:val="00653E4E"/>
    <w:rsid w:val="00654275"/>
    <w:rsid w:val="0065446D"/>
    <w:rsid w:val="00654891"/>
    <w:rsid w:val="00654894"/>
    <w:rsid w:val="00655104"/>
    <w:rsid w:val="006553EF"/>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738E"/>
    <w:rsid w:val="00677F23"/>
    <w:rsid w:val="0068055B"/>
    <w:rsid w:val="00680936"/>
    <w:rsid w:val="00680D8C"/>
    <w:rsid w:val="00680D99"/>
    <w:rsid w:val="006821B2"/>
    <w:rsid w:val="00682725"/>
    <w:rsid w:val="00682A1B"/>
    <w:rsid w:val="00682D73"/>
    <w:rsid w:val="00682ED3"/>
    <w:rsid w:val="00683993"/>
    <w:rsid w:val="006846E8"/>
    <w:rsid w:val="00685EBD"/>
    <w:rsid w:val="006861C3"/>
    <w:rsid w:val="00686AF3"/>
    <w:rsid w:val="00690F1F"/>
    <w:rsid w:val="006915BD"/>
    <w:rsid w:val="00692582"/>
    <w:rsid w:val="00692592"/>
    <w:rsid w:val="00692A2F"/>
    <w:rsid w:val="0069322C"/>
    <w:rsid w:val="006933A2"/>
    <w:rsid w:val="00693652"/>
    <w:rsid w:val="006939E7"/>
    <w:rsid w:val="00693D3E"/>
    <w:rsid w:val="006942F7"/>
    <w:rsid w:val="006956FB"/>
    <w:rsid w:val="00697D85"/>
    <w:rsid w:val="006A1A2A"/>
    <w:rsid w:val="006A1A71"/>
    <w:rsid w:val="006A1D3D"/>
    <w:rsid w:val="006A2150"/>
    <w:rsid w:val="006A2216"/>
    <w:rsid w:val="006A241D"/>
    <w:rsid w:val="006A3288"/>
    <w:rsid w:val="006A43E6"/>
    <w:rsid w:val="006A4AEE"/>
    <w:rsid w:val="006A70BE"/>
    <w:rsid w:val="006A7934"/>
    <w:rsid w:val="006B0001"/>
    <w:rsid w:val="006B054B"/>
    <w:rsid w:val="006B059F"/>
    <w:rsid w:val="006B2048"/>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78E"/>
    <w:rsid w:val="006D4C8F"/>
    <w:rsid w:val="006D52A0"/>
    <w:rsid w:val="006D57CB"/>
    <w:rsid w:val="006D5819"/>
    <w:rsid w:val="006D5E6F"/>
    <w:rsid w:val="006D693F"/>
    <w:rsid w:val="006D6B64"/>
    <w:rsid w:val="006D6CDD"/>
    <w:rsid w:val="006D7604"/>
    <w:rsid w:val="006D765E"/>
    <w:rsid w:val="006D76CB"/>
    <w:rsid w:val="006E0455"/>
    <w:rsid w:val="006E4238"/>
    <w:rsid w:val="006E4551"/>
    <w:rsid w:val="006E5F01"/>
    <w:rsid w:val="006E7404"/>
    <w:rsid w:val="006E7B97"/>
    <w:rsid w:val="006F05B9"/>
    <w:rsid w:val="006F1EA3"/>
    <w:rsid w:val="006F2627"/>
    <w:rsid w:val="006F3187"/>
    <w:rsid w:val="006F3568"/>
    <w:rsid w:val="006F40AD"/>
    <w:rsid w:val="006F53EB"/>
    <w:rsid w:val="006F6360"/>
    <w:rsid w:val="006F6436"/>
    <w:rsid w:val="006F65C5"/>
    <w:rsid w:val="006F687A"/>
    <w:rsid w:val="006F68EF"/>
    <w:rsid w:val="006F6D4C"/>
    <w:rsid w:val="006F6E67"/>
    <w:rsid w:val="006F7157"/>
    <w:rsid w:val="006F78E0"/>
    <w:rsid w:val="006F7C11"/>
    <w:rsid w:val="007023EA"/>
    <w:rsid w:val="00702B1B"/>
    <w:rsid w:val="007032B3"/>
    <w:rsid w:val="00704164"/>
    <w:rsid w:val="00705925"/>
    <w:rsid w:val="007063BD"/>
    <w:rsid w:val="00706A58"/>
    <w:rsid w:val="00707517"/>
    <w:rsid w:val="007078ED"/>
    <w:rsid w:val="00710187"/>
    <w:rsid w:val="007110E1"/>
    <w:rsid w:val="00711B18"/>
    <w:rsid w:val="007126D1"/>
    <w:rsid w:val="00714394"/>
    <w:rsid w:val="00714ED6"/>
    <w:rsid w:val="00715E8D"/>
    <w:rsid w:val="00721A43"/>
    <w:rsid w:val="00721C26"/>
    <w:rsid w:val="00721F7E"/>
    <w:rsid w:val="00722E29"/>
    <w:rsid w:val="007236E2"/>
    <w:rsid w:val="00723ECB"/>
    <w:rsid w:val="00724606"/>
    <w:rsid w:val="00724A36"/>
    <w:rsid w:val="00724A60"/>
    <w:rsid w:val="00724E85"/>
    <w:rsid w:val="0072525D"/>
    <w:rsid w:val="00726E8A"/>
    <w:rsid w:val="00727047"/>
    <w:rsid w:val="00727A0E"/>
    <w:rsid w:val="00734510"/>
    <w:rsid w:val="00734887"/>
    <w:rsid w:val="007365B6"/>
    <w:rsid w:val="00737394"/>
    <w:rsid w:val="007401E2"/>
    <w:rsid w:val="00740205"/>
    <w:rsid w:val="007411E5"/>
    <w:rsid w:val="00741605"/>
    <w:rsid w:val="00742788"/>
    <w:rsid w:val="007436F2"/>
    <w:rsid w:val="0074436D"/>
    <w:rsid w:val="00746951"/>
    <w:rsid w:val="00746F65"/>
    <w:rsid w:val="007472C3"/>
    <w:rsid w:val="0074791E"/>
    <w:rsid w:val="00750948"/>
    <w:rsid w:val="0075115D"/>
    <w:rsid w:val="00751A33"/>
    <w:rsid w:val="00753890"/>
    <w:rsid w:val="007555DF"/>
    <w:rsid w:val="007569DC"/>
    <w:rsid w:val="0075711E"/>
    <w:rsid w:val="007579F2"/>
    <w:rsid w:val="00761434"/>
    <w:rsid w:val="00761FD5"/>
    <w:rsid w:val="00762BB6"/>
    <w:rsid w:val="0076341D"/>
    <w:rsid w:val="0076446D"/>
    <w:rsid w:val="007647EF"/>
    <w:rsid w:val="00765DD8"/>
    <w:rsid w:val="00766B33"/>
    <w:rsid w:val="00766D36"/>
    <w:rsid w:val="00767607"/>
    <w:rsid w:val="00767ACD"/>
    <w:rsid w:val="007705B5"/>
    <w:rsid w:val="0077270D"/>
    <w:rsid w:val="00773874"/>
    <w:rsid w:val="0077393B"/>
    <w:rsid w:val="00775D3B"/>
    <w:rsid w:val="0077615A"/>
    <w:rsid w:val="007806A0"/>
    <w:rsid w:val="00782346"/>
    <w:rsid w:val="007838CD"/>
    <w:rsid w:val="007840F3"/>
    <w:rsid w:val="007849BE"/>
    <w:rsid w:val="00785491"/>
    <w:rsid w:val="007858C0"/>
    <w:rsid w:val="0078679A"/>
    <w:rsid w:val="007871FE"/>
    <w:rsid w:val="00787C89"/>
    <w:rsid w:val="007908ED"/>
    <w:rsid w:val="00790F74"/>
    <w:rsid w:val="00792288"/>
    <w:rsid w:val="00792447"/>
    <w:rsid w:val="007928C6"/>
    <w:rsid w:val="00792E73"/>
    <w:rsid w:val="007937E6"/>
    <w:rsid w:val="0079694C"/>
    <w:rsid w:val="007A0187"/>
    <w:rsid w:val="007A19AC"/>
    <w:rsid w:val="007A268F"/>
    <w:rsid w:val="007A29EC"/>
    <w:rsid w:val="007A4A53"/>
    <w:rsid w:val="007A4C93"/>
    <w:rsid w:val="007A4E17"/>
    <w:rsid w:val="007A7F6D"/>
    <w:rsid w:val="007B0FBD"/>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2B91"/>
    <w:rsid w:val="007D358B"/>
    <w:rsid w:val="007D370E"/>
    <w:rsid w:val="007D4624"/>
    <w:rsid w:val="007D563E"/>
    <w:rsid w:val="007D5A49"/>
    <w:rsid w:val="007D5FC1"/>
    <w:rsid w:val="007D6EB6"/>
    <w:rsid w:val="007D715A"/>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A4C"/>
    <w:rsid w:val="007F3F6F"/>
    <w:rsid w:val="007F48A9"/>
    <w:rsid w:val="007F4E28"/>
    <w:rsid w:val="007F4F82"/>
    <w:rsid w:val="007F6758"/>
    <w:rsid w:val="007F6D96"/>
    <w:rsid w:val="007F7295"/>
    <w:rsid w:val="00800D05"/>
    <w:rsid w:val="00801D7A"/>
    <w:rsid w:val="008020F2"/>
    <w:rsid w:val="00803F74"/>
    <w:rsid w:val="00804653"/>
    <w:rsid w:val="00804C48"/>
    <w:rsid w:val="0080505A"/>
    <w:rsid w:val="008060B3"/>
    <w:rsid w:val="008060F8"/>
    <w:rsid w:val="00806639"/>
    <w:rsid w:val="00806A84"/>
    <w:rsid w:val="008073A4"/>
    <w:rsid w:val="00807C6C"/>
    <w:rsid w:val="008115ED"/>
    <w:rsid w:val="0081254B"/>
    <w:rsid w:val="008128E9"/>
    <w:rsid w:val="0081340B"/>
    <w:rsid w:val="00815822"/>
    <w:rsid w:val="00815B93"/>
    <w:rsid w:val="00816585"/>
    <w:rsid w:val="0081760E"/>
    <w:rsid w:val="00817BB4"/>
    <w:rsid w:val="00817E4F"/>
    <w:rsid w:val="008203B1"/>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01B0"/>
    <w:rsid w:val="00841F21"/>
    <w:rsid w:val="00842991"/>
    <w:rsid w:val="008429B0"/>
    <w:rsid w:val="00843900"/>
    <w:rsid w:val="00844C5B"/>
    <w:rsid w:val="00845A15"/>
    <w:rsid w:val="0084632F"/>
    <w:rsid w:val="008474A9"/>
    <w:rsid w:val="00851180"/>
    <w:rsid w:val="00852528"/>
    <w:rsid w:val="008543F7"/>
    <w:rsid w:val="008545DC"/>
    <w:rsid w:val="00854A7E"/>
    <w:rsid w:val="00855B06"/>
    <w:rsid w:val="00856B95"/>
    <w:rsid w:val="00856D1A"/>
    <w:rsid w:val="00857D29"/>
    <w:rsid w:val="0086161C"/>
    <w:rsid w:val="008617AF"/>
    <w:rsid w:val="00861DB0"/>
    <w:rsid w:val="00861E83"/>
    <w:rsid w:val="0086225C"/>
    <w:rsid w:val="008629A8"/>
    <w:rsid w:val="00863225"/>
    <w:rsid w:val="00863ADA"/>
    <w:rsid w:val="00865BAA"/>
    <w:rsid w:val="00866790"/>
    <w:rsid w:val="008677CB"/>
    <w:rsid w:val="0087056E"/>
    <w:rsid w:val="00870776"/>
    <w:rsid w:val="00870CB6"/>
    <w:rsid w:val="00871BD1"/>
    <w:rsid w:val="008737AE"/>
    <w:rsid w:val="00873FEA"/>
    <w:rsid w:val="0087419B"/>
    <w:rsid w:val="008744CC"/>
    <w:rsid w:val="00874592"/>
    <w:rsid w:val="008751C1"/>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531"/>
    <w:rsid w:val="00892833"/>
    <w:rsid w:val="00893479"/>
    <w:rsid w:val="0089375D"/>
    <w:rsid w:val="008943CB"/>
    <w:rsid w:val="008946B9"/>
    <w:rsid w:val="008A0882"/>
    <w:rsid w:val="008A10C1"/>
    <w:rsid w:val="008A181A"/>
    <w:rsid w:val="008A183F"/>
    <w:rsid w:val="008A1C47"/>
    <w:rsid w:val="008A2289"/>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A5"/>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319"/>
    <w:rsid w:val="008E1C27"/>
    <w:rsid w:val="008E1E54"/>
    <w:rsid w:val="008E2057"/>
    <w:rsid w:val="008E31EC"/>
    <w:rsid w:val="008E3C88"/>
    <w:rsid w:val="008E4E17"/>
    <w:rsid w:val="008E4EF2"/>
    <w:rsid w:val="008E5337"/>
    <w:rsid w:val="008E610D"/>
    <w:rsid w:val="008E69A2"/>
    <w:rsid w:val="008E78F2"/>
    <w:rsid w:val="008E7B12"/>
    <w:rsid w:val="008F022C"/>
    <w:rsid w:val="008F152D"/>
    <w:rsid w:val="008F2A60"/>
    <w:rsid w:val="008F310D"/>
    <w:rsid w:val="008F3888"/>
    <w:rsid w:val="008F3B22"/>
    <w:rsid w:val="008F43C7"/>
    <w:rsid w:val="008F4823"/>
    <w:rsid w:val="008F52FA"/>
    <w:rsid w:val="008F606D"/>
    <w:rsid w:val="008F7150"/>
    <w:rsid w:val="008F71CC"/>
    <w:rsid w:val="008F721C"/>
    <w:rsid w:val="00900662"/>
    <w:rsid w:val="00901953"/>
    <w:rsid w:val="00902166"/>
    <w:rsid w:val="00903C31"/>
    <w:rsid w:val="009040A1"/>
    <w:rsid w:val="0090473B"/>
    <w:rsid w:val="0090487F"/>
    <w:rsid w:val="00904EAC"/>
    <w:rsid w:val="00905282"/>
    <w:rsid w:val="00905908"/>
    <w:rsid w:val="00905D18"/>
    <w:rsid w:val="009075A4"/>
    <w:rsid w:val="009101AF"/>
    <w:rsid w:val="00911808"/>
    <w:rsid w:val="009145FB"/>
    <w:rsid w:val="0091555E"/>
    <w:rsid w:val="00915786"/>
    <w:rsid w:val="0091746C"/>
    <w:rsid w:val="00917816"/>
    <w:rsid w:val="00917D06"/>
    <w:rsid w:val="009207DB"/>
    <w:rsid w:val="00922024"/>
    <w:rsid w:val="009222A3"/>
    <w:rsid w:val="00922D24"/>
    <w:rsid w:val="00924853"/>
    <w:rsid w:val="009252E0"/>
    <w:rsid w:val="00925501"/>
    <w:rsid w:val="00926982"/>
    <w:rsid w:val="00926D4C"/>
    <w:rsid w:val="009270C4"/>
    <w:rsid w:val="009276A3"/>
    <w:rsid w:val="0093083B"/>
    <w:rsid w:val="0093092B"/>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93E"/>
    <w:rsid w:val="00946136"/>
    <w:rsid w:val="00946CD9"/>
    <w:rsid w:val="00946E7C"/>
    <w:rsid w:val="00947046"/>
    <w:rsid w:val="00950297"/>
    <w:rsid w:val="009505F4"/>
    <w:rsid w:val="00951216"/>
    <w:rsid w:val="0095279B"/>
    <w:rsid w:val="009533C3"/>
    <w:rsid w:val="00954282"/>
    <w:rsid w:val="00954427"/>
    <w:rsid w:val="0095611C"/>
    <w:rsid w:val="009564ED"/>
    <w:rsid w:val="009569EF"/>
    <w:rsid w:val="00956CA2"/>
    <w:rsid w:val="0096079B"/>
    <w:rsid w:val="0096218D"/>
    <w:rsid w:val="00964509"/>
    <w:rsid w:val="0096501B"/>
    <w:rsid w:val="0096662B"/>
    <w:rsid w:val="009666AF"/>
    <w:rsid w:val="00967180"/>
    <w:rsid w:val="0096797D"/>
    <w:rsid w:val="00970704"/>
    <w:rsid w:val="00970B65"/>
    <w:rsid w:val="00971127"/>
    <w:rsid w:val="0097119E"/>
    <w:rsid w:val="009718E9"/>
    <w:rsid w:val="009734B8"/>
    <w:rsid w:val="00973514"/>
    <w:rsid w:val="009741E7"/>
    <w:rsid w:val="00975C75"/>
    <w:rsid w:val="00977506"/>
    <w:rsid w:val="00977DFD"/>
    <w:rsid w:val="0098177A"/>
    <w:rsid w:val="00983583"/>
    <w:rsid w:val="00983EFD"/>
    <w:rsid w:val="009855B0"/>
    <w:rsid w:val="009859A8"/>
    <w:rsid w:val="00986257"/>
    <w:rsid w:val="0098658A"/>
    <w:rsid w:val="00986861"/>
    <w:rsid w:val="00987CBC"/>
    <w:rsid w:val="00991EB0"/>
    <w:rsid w:val="0099212B"/>
    <w:rsid w:val="0099245F"/>
    <w:rsid w:val="00995768"/>
    <w:rsid w:val="00995F21"/>
    <w:rsid w:val="00996203"/>
    <w:rsid w:val="00996326"/>
    <w:rsid w:val="00996F95"/>
    <w:rsid w:val="00997B35"/>
    <w:rsid w:val="00997EA5"/>
    <w:rsid w:val="009A07D5"/>
    <w:rsid w:val="009A1FE7"/>
    <w:rsid w:val="009A2967"/>
    <w:rsid w:val="009A36B7"/>
    <w:rsid w:val="009A3720"/>
    <w:rsid w:val="009A392B"/>
    <w:rsid w:val="009A42CF"/>
    <w:rsid w:val="009A44E8"/>
    <w:rsid w:val="009A581E"/>
    <w:rsid w:val="009B1DA5"/>
    <w:rsid w:val="009B1E1D"/>
    <w:rsid w:val="009B28FD"/>
    <w:rsid w:val="009B2AD6"/>
    <w:rsid w:val="009B3172"/>
    <w:rsid w:val="009B461D"/>
    <w:rsid w:val="009B4F1F"/>
    <w:rsid w:val="009B5594"/>
    <w:rsid w:val="009B59ED"/>
    <w:rsid w:val="009B6405"/>
    <w:rsid w:val="009B729E"/>
    <w:rsid w:val="009B7498"/>
    <w:rsid w:val="009C264B"/>
    <w:rsid w:val="009C34F1"/>
    <w:rsid w:val="009C3B80"/>
    <w:rsid w:val="009C3D84"/>
    <w:rsid w:val="009C48C6"/>
    <w:rsid w:val="009C5D76"/>
    <w:rsid w:val="009C5DFB"/>
    <w:rsid w:val="009C5FDE"/>
    <w:rsid w:val="009C7B1D"/>
    <w:rsid w:val="009C7F10"/>
    <w:rsid w:val="009C7FF8"/>
    <w:rsid w:val="009D03F1"/>
    <w:rsid w:val="009D0921"/>
    <w:rsid w:val="009D0B38"/>
    <w:rsid w:val="009D101B"/>
    <w:rsid w:val="009D118E"/>
    <w:rsid w:val="009D1CF4"/>
    <w:rsid w:val="009D380F"/>
    <w:rsid w:val="009D57A7"/>
    <w:rsid w:val="009D65EE"/>
    <w:rsid w:val="009D6903"/>
    <w:rsid w:val="009E0525"/>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54CB"/>
    <w:rsid w:val="00A05E8F"/>
    <w:rsid w:val="00A06A54"/>
    <w:rsid w:val="00A10423"/>
    <w:rsid w:val="00A10A6F"/>
    <w:rsid w:val="00A115B1"/>
    <w:rsid w:val="00A118B4"/>
    <w:rsid w:val="00A129C6"/>
    <w:rsid w:val="00A14BDD"/>
    <w:rsid w:val="00A15A52"/>
    <w:rsid w:val="00A1706F"/>
    <w:rsid w:val="00A1721D"/>
    <w:rsid w:val="00A20630"/>
    <w:rsid w:val="00A20956"/>
    <w:rsid w:val="00A210DB"/>
    <w:rsid w:val="00A21667"/>
    <w:rsid w:val="00A220FB"/>
    <w:rsid w:val="00A223A5"/>
    <w:rsid w:val="00A24BC5"/>
    <w:rsid w:val="00A2504C"/>
    <w:rsid w:val="00A26CA4"/>
    <w:rsid w:val="00A26E5D"/>
    <w:rsid w:val="00A276A6"/>
    <w:rsid w:val="00A276FF"/>
    <w:rsid w:val="00A30C82"/>
    <w:rsid w:val="00A31A01"/>
    <w:rsid w:val="00A32211"/>
    <w:rsid w:val="00A33FDC"/>
    <w:rsid w:val="00A34114"/>
    <w:rsid w:val="00A34C81"/>
    <w:rsid w:val="00A34E19"/>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8A9"/>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A2E"/>
    <w:rsid w:val="00A60A60"/>
    <w:rsid w:val="00A61263"/>
    <w:rsid w:val="00A614AD"/>
    <w:rsid w:val="00A61886"/>
    <w:rsid w:val="00A61E92"/>
    <w:rsid w:val="00A63D89"/>
    <w:rsid w:val="00A650F1"/>
    <w:rsid w:val="00A6526E"/>
    <w:rsid w:val="00A65DA4"/>
    <w:rsid w:val="00A66E04"/>
    <w:rsid w:val="00A67194"/>
    <w:rsid w:val="00A671B3"/>
    <w:rsid w:val="00A67864"/>
    <w:rsid w:val="00A7040E"/>
    <w:rsid w:val="00A7286F"/>
    <w:rsid w:val="00A734F2"/>
    <w:rsid w:val="00A73DEE"/>
    <w:rsid w:val="00A74678"/>
    <w:rsid w:val="00A75AEA"/>
    <w:rsid w:val="00A76063"/>
    <w:rsid w:val="00A767EB"/>
    <w:rsid w:val="00A771BF"/>
    <w:rsid w:val="00A77299"/>
    <w:rsid w:val="00A77A36"/>
    <w:rsid w:val="00A803C1"/>
    <w:rsid w:val="00A815B6"/>
    <w:rsid w:val="00A81953"/>
    <w:rsid w:val="00A827C9"/>
    <w:rsid w:val="00A85B31"/>
    <w:rsid w:val="00A861F3"/>
    <w:rsid w:val="00A86C48"/>
    <w:rsid w:val="00A90DB1"/>
    <w:rsid w:val="00A9147B"/>
    <w:rsid w:val="00A91BA8"/>
    <w:rsid w:val="00A91EF1"/>
    <w:rsid w:val="00A91EF2"/>
    <w:rsid w:val="00A9325C"/>
    <w:rsid w:val="00A93680"/>
    <w:rsid w:val="00A9430B"/>
    <w:rsid w:val="00A9436B"/>
    <w:rsid w:val="00A94483"/>
    <w:rsid w:val="00A959CA"/>
    <w:rsid w:val="00A96FC6"/>
    <w:rsid w:val="00A97A16"/>
    <w:rsid w:val="00A97B61"/>
    <w:rsid w:val="00A97C2E"/>
    <w:rsid w:val="00A97CE3"/>
    <w:rsid w:val="00A97E0C"/>
    <w:rsid w:val="00AA01DA"/>
    <w:rsid w:val="00AA02CC"/>
    <w:rsid w:val="00AA11BA"/>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58D"/>
    <w:rsid w:val="00AB1CE8"/>
    <w:rsid w:val="00AB2F06"/>
    <w:rsid w:val="00AB4FFF"/>
    <w:rsid w:val="00AB5190"/>
    <w:rsid w:val="00AB5513"/>
    <w:rsid w:val="00AB6070"/>
    <w:rsid w:val="00AB6DFC"/>
    <w:rsid w:val="00AB7354"/>
    <w:rsid w:val="00AB7C46"/>
    <w:rsid w:val="00AC3637"/>
    <w:rsid w:val="00AC3D4F"/>
    <w:rsid w:val="00AC3DB7"/>
    <w:rsid w:val="00AC4699"/>
    <w:rsid w:val="00AC5650"/>
    <w:rsid w:val="00AC59DF"/>
    <w:rsid w:val="00AC72C7"/>
    <w:rsid w:val="00AC7899"/>
    <w:rsid w:val="00AD13D6"/>
    <w:rsid w:val="00AD4087"/>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2315"/>
    <w:rsid w:val="00B02BF0"/>
    <w:rsid w:val="00B034DD"/>
    <w:rsid w:val="00B03AB4"/>
    <w:rsid w:val="00B05B91"/>
    <w:rsid w:val="00B06ED4"/>
    <w:rsid w:val="00B077CC"/>
    <w:rsid w:val="00B07A28"/>
    <w:rsid w:val="00B12A63"/>
    <w:rsid w:val="00B13397"/>
    <w:rsid w:val="00B1400D"/>
    <w:rsid w:val="00B147C9"/>
    <w:rsid w:val="00B15BB2"/>
    <w:rsid w:val="00B16EBE"/>
    <w:rsid w:val="00B21D0E"/>
    <w:rsid w:val="00B22C57"/>
    <w:rsid w:val="00B23C76"/>
    <w:rsid w:val="00B23EEE"/>
    <w:rsid w:val="00B27298"/>
    <w:rsid w:val="00B27384"/>
    <w:rsid w:val="00B276E4"/>
    <w:rsid w:val="00B27A6D"/>
    <w:rsid w:val="00B309F9"/>
    <w:rsid w:val="00B30DAD"/>
    <w:rsid w:val="00B31782"/>
    <w:rsid w:val="00B36612"/>
    <w:rsid w:val="00B36928"/>
    <w:rsid w:val="00B37293"/>
    <w:rsid w:val="00B4076A"/>
    <w:rsid w:val="00B413EB"/>
    <w:rsid w:val="00B42C20"/>
    <w:rsid w:val="00B43287"/>
    <w:rsid w:val="00B43864"/>
    <w:rsid w:val="00B43AD9"/>
    <w:rsid w:val="00B443D5"/>
    <w:rsid w:val="00B44482"/>
    <w:rsid w:val="00B450D9"/>
    <w:rsid w:val="00B46FF2"/>
    <w:rsid w:val="00B5125E"/>
    <w:rsid w:val="00B516AC"/>
    <w:rsid w:val="00B51B75"/>
    <w:rsid w:val="00B52AD3"/>
    <w:rsid w:val="00B539EB"/>
    <w:rsid w:val="00B54B76"/>
    <w:rsid w:val="00B55ECC"/>
    <w:rsid w:val="00B560E5"/>
    <w:rsid w:val="00B576E1"/>
    <w:rsid w:val="00B6088D"/>
    <w:rsid w:val="00B608F1"/>
    <w:rsid w:val="00B60F79"/>
    <w:rsid w:val="00B6252C"/>
    <w:rsid w:val="00B62CBE"/>
    <w:rsid w:val="00B62EFD"/>
    <w:rsid w:val="00B63999"/>
    <w:rsid w:val="00B63B4A"/>
    <w:rsid w:val="00B63E1F"/>
    <w:rsid w:val="00B641C5"/>
    <w:rsid w:val="00B64F8D"/>
    <w:rsid w:val="00B6533C"/>
    <w:rsid w:val="00B6731A"/>
    <w:rsid w:val="00B673CA"/>
    <w:rsid w:val="00B70903"/>
    <w:rsid w:val="00B7108D"/>
    <w:rsid w:val="00B7117A"/>
    <w:rsid w:val="00B713F0"/>
    <w:rsid w:val="00B71A3E"/>
    <w:rsid w:val="00B72053"/>
    <w:rsid w:val="00B73BEF"/>
    <w:rsid w:val="00B74530"/>
    <w:rsid w:val="00B74E4D"/>
    <w:rsid w:val="00B75D3F"/>
    <w:rsid w:val="00B75D4C"/>
    <w:rsid w:val="00B76F2C"/>
    <w:rsid w:val="00B77723"/>
    <w:rsid w:val="00B77863"/>
    <w:rsid w:val="00B801AC"/>
    <w:rsid w:val="00B815D3"/>
    <w:rsid w:val="00B8270D"/>
    <w:rsid w:val="00B82B33"/>
    <w:rsid w:val="00B8384C"/>
    <w:rsid w:val="00B843A1"/>
    <w:rsid w:val="00B854BE"/>
    <w:rsid w:val="00B85704"/>
    <w:rsid w:val="00B866BF"/>
    <w:rsid w:val="00B868D6"/>
    <w:rsid w:val="00B86D0A"/>
    <w:rsid w:val="00B8748B"/>
    <w:rsid w:val="00B87B3F"/>
    <w:rsid w:val="00B91818"/>
    <w:rsid w:val="00B922D6"/>
    <w:rsid w:val="00B93E18"/>
    <w:rsid w:val="00B93E2C"/>
    <w:rsid w:val="00B94BE5"/>
    <w:rsid w:val="00B96069"/>
    <w:rsid w:val="00B968DB"/>
    <w:rsid w:val="00BA0A76"/>
    <w:rsid w:val="00BA11A9"/>
    <w:rsid w:val="00BA1642"/>
    <w:rsid w:val="00BA30C2"/>
    <w:rsid w:val="00BA31C6"/>
    <w:rsid w:val="00BA4B0A"/>
    <w:rsid w:val="00BA4FE7"/>
    <w:rsid w:val="00BA699B"/>
    <w:rsid w:val="00BA76AB"/>
    <w:rsid w:val="00BB0225"/>
    <w:rsid w:val="00BB0423"/>
    <w:rsid w:val="00BB1D73"/>
    <w:rsid w:val="00BB2CE4"/>
    <w:rsid w:val="00BB2D1B"/>
    <w:rsid w:val="00BB42D2"/>
    <w:rsid w:val="00BB6ECF"/>
    <w:rsid w:val="00BB74B3"/>
    <w:rsid w:val="00BB777A"/>
    <w:rsid w:val="00BB7E1F"/>
    <w:rsid w:val="00BC06FE"/>
    <w:rsid w:val="00BC0911"/>
    <w:rsid w:val="00BC1765"/>
    <w:rsid w:val="00BC1FD6"/>
    <w:rsid w:val="00BC25D7"/>
    <w:rsid w:val="00BC320C"/>
    <w:rsid w:val="00BC4883"/>
    <w:rsid w:val="00BC5454"/>
    <w:rsid w:val="00BC5F7F"/>
    <w:rsid w:val="00BC74EE"/>
    <w:rsid w:val="00BC777E"/>
    <w:rsid w:val="00BD219A"/>
    <w:rsid w:val="00BD2C42"/>
    <w:rsid w:val="00BD2EF9"/>
    <w:rsid w:val="00BD2F1D"/>
    <w:rsid w:val="00BD3997"/>
    <w:rsid w:val="00BD5D7E"/>
    <w:rsid w:val="00BD6EF9"/>
    <w:rsid w:val="00BD754C"/>
    <w:rsid w:val="00BD78C6"/>
    <w:rsid w:val="00BE01E1"/>
    <w:rsid w:val="00BE15DA"/>
    <w:rsid w:val="00BE19AD"/>
    <w:rsid w:val="00BE369C"/>
    <w:rsid w:val="00BE3C5A"/>
    <w:rsid w:val="00BE4FBC"/>
    <w:rsid w:val="00BE5B7C"/>
    <w:rsid w:val="00BE72FD"/>
    <w:rsid w:val="00BE733C"/>
    <w:rsid w:val="00BE73D4"/>
    <w:rsid w:val="00BE7AF2"/>
    <w:rsid w:val="00BF1EF8"/>
    <w:rsid w:val="00BF25A9"/>
    <w:rsid w:val="00BF2DE5"/>
    <w:rsid w:val="00BF4429"/>
    <w:rsid w:val="00BF4C49"/>
    <w:rsid w:val="00BF4D1A"/>
    <w:rsid w:val="00BF5168"/>
    <w:rsid w:val="00BF51C9"/>
    <w:rsid w:val="00BF5A5B"/>
    <w:rsid w:val="00BF6338"/>
    <w:rsid w:val="00BF6D56"/>
    <w:rsid w:val="00C00D03"/>
    <w:rsid w:val="00C00D9C"/>
    <w:rsid w:val="00C01DFC"/>
    <w:rsid w:val="00C0270E"/>
    <w:rsid w:val="00C0282B"/>
    <w:rsid w:val="00C03557"/>
    <w:rsid w:val="00C047A4"/>
    <w:rsid w:val="00C05013"/>
    <w:rsid w:val="00C067E0"/>
    <w:rsid w:val="00C0773D"/>
    <w:rsid w:val="00C1025D"/>
    <w:rsid w:val="00C10CC4"/>
    <w:rsid w:val="00C11733"/>
    <w:rsid w:val="00C12CC1"/>
    <w:rsid w:val="00C12D93"/>
    <w:rsid w:val="00C12EE2"/>
    <w:rsid w:val="00C1324B"/>
    <w:rsid w:val="00C139DE"/>
    <w:rsid w:val="00C13B55"/>
    <w:rsid w:val="00C13CB8"/>
    <w:rsid w:val="00C151CE"/>
    <w:rsid w:val="00C15BBB"/>
    <w:rsid w:val="00C2092E"/>
    <w:rsid w:val="00C20F37"/>
    <w:rsid w:val="00C213FD"/>
    <w:rsid w:val="00C21C42"/>
    <w:rsid w:val="00C23520"/>
    <w:rsid w:val="00C24AE3"/>
    <w:rsid w:val="00C25082"/>
    <w:rsid w:val="00C2570A"/>
    <w:rsid w:val="00C25E15"/>
    <w:rsid w:val="00C265D4"/>
    <w:rsid w:val="00C26DC6"/>
    <w:rsid w:val="00C27447"/>
    <w:rsid w:val="00C275FC"/>
    <w:rsid w:val="00C30615"/>
    <w:rsid w:val="00C30715"/>
    <w:rsid w:val="00C30D84"/>
    <w:rsid w:val="00C3131B"/>
    <w:rsid w:val="00C317A7"/>
    <w:rsid w:val="00C33254"/>
    <w:rsid w:val="00C33614"/>
    <w:rsid w:val="00C33AEC"/>
    <w:rsid w:val="00C357CB"/>
    <w:rsid w:val="00C35C8E"/>
    <w:rsid w:val="00C36B1D"/>
    <w:rsid w:val="00C3742C"/>
    <w:rsid w:val="00C410D2"/>
    <w:rsid w:val="00C41363"/>
    <w:rsid w:val="00C42A78"/>
    <w:rsid w:val="00C437D6"/>
    <w:rsid w:val="00C4601D"/>
    <w:rsid w:val="00C46CA5"/>
    <w:rsid w:val="00C509D2"/>
    <w:rsid w:val="00C51CCA"/>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443F"/>
    <w:rsid w:val="00C745D7"/>
    <w:rsid w:val="00C7702A"/>
    <w:rsid w:val="00C7732F"/>
    <w:rsid w:val="00C773C8"/>
    <w:rsid w:val="00C80A25"/>
    <w:rsid w:val="00C80E5E"/>
    <w:rsid w:val="00C82930"/>
    <w:rsid w:val="00C82C9E"/>
    <w:rsid w:val="00C841BF"/>
    <w:rsid w:val="00C8531E"/>
    <w:rsid w:val="00C85560"/>
    <w:rsid w:val="00C85A50"/>
    <w:rsid w:val="00C85B6C"/>
    <w:rsid w:val="00C85ECE"/>
    <w:rsid w:val="00C86BFE"/>
    <w:rsid w:val="00C86D8A"/>
    <w:rsid w:val="00C86FF3"/>
    <w:rsid w:val="00C87E2F"/>
    <w:rsid w:val="00C900B0"/>
    <w:rsid w:val="00C9080B"/>
    <w:rsid w:val="00C90EA7"/>
    <w:rsid w:val="00C90EF9"/>
    <w:rsid w:val="00C9146C"/>
    <w:rsid w:val="00C91711"/>
    <w:rsid w:val="00C91EDB"/>
    <w:rsid w:val="00C92931"/>
    <w:rsid w:val="00C92949"/>
    <w:rsid w:val="00C9312F"/>
    <w:rsid w:val="00C94499"/>
    <w:rsid w:val="00C9491A"/>
    <w:rsid w:val="00C94BE9"/>
    <w:rsid w:val="00C95DD7"/>
    <w:rsid w:val="00C95ED6"/>
    <w:rsid w:val="00C96BBB"/>
    <w:rsid w:val="00C9763F"/>
    <w:rsid w:val="00CA04D5"/>
    <w:rsid w:val="00CA1AC8"/>
    <w:rsid w:val="00CA1FB0"/>
    <w:rsid w:val="00CA24D1"/>
    <w:rsid w:val="00CA39CC"/>
    <w:rsid w:val="00CA403D"/>
    <w:rsid w:val="00CA4743"/>
    <w:rsid w:val="00CA57FE"/>
    <w:rsid w:val="00CA5FF6"/>
    <w:rsid w:val="00CA6F32"/>
    <w:rsid w:val="00CA735E"/>
    <w:rsid w:val="00CB01B1"/>
    <w:rsid w:val="00CB138F"/>
    <w:rsid w:val="00CB13CF"/>
    <w:rsid w:val="00CB13E0"/>
    <w:rsid w:val="00CB2F02"/>
    <w:rsid w:val="00CB44CC"/>
    <w:rsid w:val="00CB4522"/>
    <w:rsid w:val="00CB76B8"/>
    <w:rsid w:val="00CB7703"/>
    <w:rsid w:val="00CB77EE"/>
    <w:rsid w:val="00CB783B"/>
    <w:rsid w:val="00CB7AE2"/>
    <w:rsid w:val="00CC1C1E"/>
    <w:rsid w:val="00CC2611"/>
    <w:rsid w:val="00CC2803"/>
    <w:rsid w:val="00CC295E"/>
    <w:rsid w:val="00CC48D6"/>
    <w:rsid w:val="00CC544C"/>
    <w:rsid w:val="00CC559E"/>
    <w:rsid w:val="00CC707F"/>
    <w:rsid w:val="00CC708A"/>
    <w:rsid w:val="00CC79CD"/>
    <w:rsid w:val="00CD1447"/>
    <w:rsid w:val="00CD1841"/>
    <w:rsid w:val="00CD1BF1"/>
    <w:rsid w:val="00CD1D2E"/>
    <w:rsid w:val="00CD27CD"/>
    <w:rsid w:val="00CD4BF8"/>
    <w:rsid w:val="00CD52CD"/>
    <w:rsid w:val="00CD652E"/>
    <w:rsid w:val="00CD68DD"/>
    <w:rsid w:val="00CD7B8B"/>
    <w:rsid w:val="00CE01F8"/>
    <w:rsid w:val="00CE24B9"/>
    <w:rsid w:val="00CE2B04"/>
    <w:rsid w:val="00CE3E8B"/>
    <w:rsid w:val="00CE47DC"/>
    <w:rsid w:val="00CE5298"/>
    <w:rsid w:val="00CE5322"/>
    <w:rsid w:val="00CE58EB"/>
    <w:rsid w:val="00CE705F"/>
    <w:rsid w:val="00CF0041"/>
    <w:rsid w:val="00CF0D4B"/>
    <w:rsid w:val="00CF2605"/>
    <w:rsid w:val="00CF2804"/>
    <w:rsid w:val="00CF35B2"/>
    <w:rsid w:val="00CF36C4"/>
    <w:rsid w:val="00CF38D4"/>
    <w:rsid w:val="00CF5C07"/>
    <w:rsid w:val="00CF5CFC"/>
    <w:rsid w:val="00D00AF5"/>
    <w:rsid w:val="00D00E75"/>
    <w:rsid w:val="00D00EE2"/>
    <w:rsid w:val="00D01917"/>
    <w:rsid w:val="00D01EBC"/>
    <w:rsid w:val="00D03DE1"/>
    <w:rsid w:val="00D03EDD"/>
    <w:rsid w:val="00D03EEF"/>
    <w:rsid w:val="00D04F08"/>
    <w:rsid w:val="00D050BB"/>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7131"/>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EAF"/>
    <w:rsid w:val="00D50B2A"/>
    <w:rsid w:val="00D51285"/>
    <w:rsid w:val="00D51517"/>
    <w:rsid w:val="00D52D7F"/>
    <w:rsid w:val="00D53034"/>
    <w:rsid w:val="00D541A8"/>
    <w:rsid w:val="00D55A05"/>
    <w:rsid w:val="00D562A8"/>
    <w:rsid w:val="00D56650"/>
    <w:rsid w:val="00D60F59"/>
    <w:rsid w:val="00D61A9F"/>
    <w:rsid w:val="00D61EDD"/>
    <w:rsid w:val="00D628AF"/>
    <w:rsid w:val="00D6294B"/>
    <w:rsid w:val="00D654F8"/>
    <w:rsid w:val="00D6560B"/>
    <w:rsid w:val="00D66697"/>
    <w:rsid w:val="00D676B3"/>
    <w:rsid w:val="00D6787A"/>
    <w:rsid w:val="00D67ACA"/>
    <w:rsid w:val="00D67F69"/>
    <w:rsid w:val="00D71103"/>
    <w:rsid w:val="00D71213"/>
    <w:rsid w:val="00D713E4"/>
    <w:rsid w:val="00D72CA7"/>
    <w:rsid w:val="00D72F47"/>
    <w:rsid w:val="00D72FAD"/>
    <w:rsid w:val="00D7314F"/>
    <w:rsid w:val="00D73259"/>
    <w:rsid w:val="00D732D3"/>
    <w:rsid w:val="00D73678"/>
    <w:rsid w:val="00D73AF1"/>
    <w:rsid w:val="00D73E64"/>
    <w:rsid w:val="00D74504"/>
    <w:rsid w:val="00D74639"/>
    <w:rsid w:val="00D74926"/>
    <w:rsid w:val="00D75407"/>
    <w:rsid w:val="00D75449"/>
    <w:rsid w:val="00D770D5"/>
    <w:rsid w:val="00D809B7"/>
    <w:rsid w:val="00D812A9"/>
    <w:rsid w:val="00D813B0"/>
    <w:rsid w:val="00D8141C"/>
    <w:rsid w:val="00D81A57"/>
    <w:rsid w:val="00D81A98"/>
    <w:rsid w:val="00D8269A"/>
    <w:rsid w:val="00D82962"/>
    <w:rsid w:val="00D82A4C"/>
    <w:rsid w:val="00D83A65"/>
    <w:rsid w:val="00D846CF"/>
    <w:rsid w:val="00D84999"/>
    <w:rsid w:val="00D85683"/>
    <w:rsid w:val="00D86D21"/>
    <w:rsid w:val="00D8772B"/>
    <w:rsid w:val="00D90824"/>
    <w:rsid w:val="00D90D5F"/>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84F"/>
    <w:rsid w:val="00DA09FC"/>
    <w:rsid w:val="00DA16AA"/>
    <w:rsid w:val="00DA28A7"/>
    <w:rsid w:val="00DA2BB0"/>
    <w:rsid w:val="00DA2FCA"/>
    <w:rsid w:val="00DA348E"/>
    <w:rsid w:val="00DA373A"/>
    <w:rsid w:val="00DA59D2"/>
    <w:rsid w:val="00DA5A9C"/>
    <w:rsid w:val="00DA5F60"/>
    <w:rsid w:val="00DA6E9D"/>
    <w:rsid w:val="00DA6FF3"/>
    <w:rsid w:val="00DB0F33"/>
    <w:rsid w:val="00DB1595"/>
    <w:rsid w:val="00DB297D"/>
    <w:rsid w:val="00DB2B7E"/>
    <w:rsid w:val="00DB2BA7"/>
    <w:rsid w:val="00DB2F6C"/>
    <w:rsid w:val="00DB345D"/>
    <w:rsid w:val="00DB5719"/>
    <w:rsid w:val="00DB624E"/>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3385"/>
    <w:rsid w:val="00DE3CA1"/>
    <w:rsid w:val="00DE4007"/>
    <w:rsid w:val="00DE4638"/>
    <w:rsid w:val="00DE4651"/>
    <w:rsid w:val="00DE534A"/>
    <w:rsid w:val="00DE55FD"/>
    <w:rsid w:val="00DE60A8"/>
    <w:rsid w:val="00DE7265"/>
    <w:rsid w:val="00DE7525"/>
    <w:rsid w:val="00DE7C1C"/>
    <w:rsid w:val="00DF0111"/>
    <w:rsid w:val="00DF0346"/>
    <w:rsid w:val="00DF0877"/>
    <w:rsid w:val="00DF2247"/>
    <w:rsid w:val="00DF2353"/>
    <w:rsid w:val="00DF3AB2"/>
    <w:rsid w:val="00DF4116"/>
    <w:rsid w:val="00DF4A98"/>
    <w:rsid w:val="00DF5129"/>
    <w:rsid w:val="00DF5784"/>
    <w:rsid w:val="00DF58B8"/>
    <w:rsid w:val="00DF5FF8"/>
    <w:rsid w:val="00DF6EE5"/>
    <w:rsid w:val="00E0077B"/>
    <w:rsid w:val="00E00898"/>
    <w:rsid w:val="00E03634"/>
    <w:rsid w:val="00E050B6"/>
    <w:rsid w:val="00E0557E"/>
    <w:rsid w:val="00E05D14"/>
    <w:rsid w:val="00E0628E"/>
    <w:rsid w:val="00E06460"/>
    <w:rsid w:val="00E073CF"/>
    <w:rsid w:val="00E07997"/>
    <w:rsid w:val="00E07A6A"/>
    <w:rsid w:val="00E07EB8"/>
    <w:rsid w:val="00E107B2"/>
    <w:rsid w:val="00E10EB1"/>
    <w:rsid w:val="00E114CF"/>
    <w:rsid w:val="00E120E4"/>
    <w:rsid w:val="00E13636"/>
    <w:rsid w:val="00E149F4"/>
    <w:rsid w:val="00E17F53"/>
    <w:rsid w:val="00E20354"/>
    <w:rsid w:val="00E207DB"/>
    <w:rsid w:val="00E21F5A"/>
    <w:rsid w:val="00E221D8"/>
    <w:rsid w:val="00E25124"/>
    <w:rsid w:val="00E261F8"/>
    <w:rsid w:val="00E26E25"/>
    <w:rsid w:val="00E27DF3"/>
    <w:rsid w:val="00E3110A"/>
    <w:rsid w:val="00E319DC"/>
    <w:rsid w:val="00E324AD"/>
    <w:rsid w:val="00E3342D"/>
    <w:rsid w:val="00E33683"/>
    <w:rsid w:val="00E33734"/>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EEE"/>
    <w:rsid w:val="00E66F49"/>
    <w:rsid w:val="00E71D8A"/>
    <w:rsid w:val="00E721A9"/>
    <w:rsid w:val="00E73549"/>
    <w:rsid w:val="00E7484F"/>
    <w:rsid w:val="00E74861"/>
    <w:rsid w:val="00E74B50"/>
    <w:rsid w:val="00E74EC9"/>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AE4"/>
    <w:rsid w:val="00E90C1F"/>
    <w:rsid w:val="00E9124A"/>
    <w:rsid w:val="00E9222C"/>
    <w:rsid w:val="00E9296D"/>
    <w:rsid w:val="00E92AA5"/>
    <w:rsid w:val="00E94509"/>
    <w:rsid w:val="00E9558B"/>
    <w:rsid w:val="00E95D1B"/>
    <w:rsid w:val="00E969A4"/>
    <w:rsid w:val="00E9735C"/>
    <w:rsid w:val="00EA234B"/>
    <w:rsid w:val="00EA274B"/>
    <w:rsid w:val="00EA2EFA"/>
    <w:rsid w:val="00EA3184"/>
    <w:rsid w:val="00EA3732"/>
    <w:rsid w:val="00EA3CDD"/>
    <w:rsid w:val="00EA4124"/>
    <w:rsid w:val="00EA5028"/>
    <w:rsid w:val="00EA50D6"/>
    <w:rsid w:val="00EA5714"/>
    <w:rsid w:val="00EA5E70"/>
    <w:rsid w:val="00EA60EF"/>
    <w:rsid w:val="00EA6A30"/>
    <w:rsid w:val="00EA6A41"/>
    <w:rsid w:val="00EA7662"/>
    <w:rsid w:val="00EA7CC3"/>
    <w:rsid w:val="00EB016F"/>
    <w:rsid w:val="00EB04F4"/>
    <w:rsid w:val="00EB05E3"/>
    <w:rsid w:val="00EB2216"/>
    <w:rsid w:val="00EB27D1"/>
    <w:rsid w:val="00EB33F4"/>
    <w:rsid w:val="00EB3B9C"/>
    <w:rsid w:val="00EB4C04"/>
    <w:rsid w:val="00EB6502"/>
    <w:rsid w:val="00EB7D9C"/>
    <w:rsid w:val="00EC1406"/>
    <w:rsid w:val="00EC1526"/>
    <w:rsid w:val="00EC23F3"/>
    <w:rsid w:val="00EC2677"/>
    <w:rsid w:val="00EC2AB5"/>
    <w:rsid w:val="00EC36F2"/>
    <w:rsid w:val="00EC4B79"/>
    <w:rsid w:val="00EC4F33"/>
    <w:rsid w:val="00EC7E82"/>
    <w:rsid w:val="00ED02FC"/>
    <w:rsid w:val="00ED0B81"/>
    <w:rsid w:val="00ED19B3"/>
    <w:rsid w:val="00ED1A64"/>
    <w:rsid w:val="00ED28DD"/>
    <w:rsid w:val="00ED421C"/>
    <w:rsid w:val="00ED43A6"/>
    <w:rsid w:val="00ED502A"/>
    <w:rsid w:val="00ED69B3"/>
    <w:rsid w:val="00ED6FB9"/>
    <w:rsid w:val="00ED6FE2"/>
    <w:rsid w:val="00ED7371"/>
    <w:rsid w:val="00ED7E2F"/>
    <w:rsid w:val="00ED7EA8"/>
    <w:rsid w:val="00EE1313"/>
    <w:rsid w:val="00EE2126"/>
    <w:rsid w:val="00EE3363"/>
    <w:rsid w:val="00EE3F3C"/>
    <w:rsid w:val="00EE4C7E"/>
    <w:rsid w:val="00EE4EA3"/>
    <w:rsid w:val="00EE556D"/>
    <w:rsid w:val="00EE60A2"/>
    <w:rsid w:val="00EE6184"/>
    <w:rsid w:val="00EE679C"/>
    <w:rsid w:val="00EE7A2C"/>
    <w:rsid w:val="00EF06D3"/>
    <w:rsid w:val="00EF09D3"/>
    <w:rsid w:val="00EF108A"/>
    <w:rsid w:val="00EF1240"/>
    <w:rsid w:val="00EF1F75"/>
    <w:rsid w:val="00EF2240"/>
    <w:rsid w:val="00EF3069"/>
    <w:rsid w:val="00EF31A5"/>
    <w:rsid w:val="00EF3742"/>
    <w:rsid w:val="00EF3EB5"/>
    <w:rsid w:val="00EF57B9"/>
    <w:rsid w:val="00EF57DF"/>
    <w:rsid w:val="00EF632B"/>
    <w:rsid w:val="00EF6556"/>
    <w:rsid w:val="00EF689A"/>
    <w:rsid w:val="00F01CDD"/>
    <w:rsid w:val="00F02BAD"/>
    <w:rsid w:val="00F0319D"/>
    <w:rsid w:val="00F07890"/>
    <w:rsid w:val="00F11635"/>
    <w:rsid w:val="00F12D86"/>
    <w:rsid w:val="00F131AA"/>
    <w:rsid w:val="00F131FD"/>
    <w:rsid w:val="00F1350B"/>
    <w:rsid w:val="00F13B05"/>
    <w:rsid w:val="00F13B5A"/>
    <w:rsid w:val="00F13EED"/>
    <w:rsid w:val="00F144E1"/>
    <w:rsid w:val="00F15AF2"/>
    <w:rsid w:val="00F21290"/>
    <w:rsid w:val="00F2299F"/>
    <w:rsid w:val="00F231F0"/>
    <w:rsid w:val="00F24787"/>
    <w:rsid w:val="00F259A5"/>
    <w:rsid w:val="00F263E5"/>
    <w:rsid w:val="00F301E0"/>
    <w:rsid w:val="00F307CC"/>
    <w:rsid w:val="00F30BBA"/>
    <w:rsid w:val="00F31630"/>
    <w:rsid w:val="00F31A8F"/>
    <w:rsid w:val="00F320C0"/>
    <w:rsid w:val="00F32D63"/>
    <w:rsid w:val="00F34012"/>
    <w:rsid w:val="00F343A3"/>
    <w:rsid w:val="00F34C99"/>
    <w:rsid w:val="00F3531A"/>
    <w:rsid w:val="00F41DB0"/>
    <w:rsid w:val="00F439BB"/>
    <w:rsid w:val="00F43CEB"/>
    <w:rsid w:val="00F449D7"/>
    <w:rsid w:val="00F455AF"/>
    <w:rsid w:val="00F460C4"/>
    <w:rsid w:val="00F461AE"/>
    <w:rsid w:val="00F467F9"/>
    <w:rsid w:val="00F46D63"/>
    <w:rsid w:val="00F5184D"/>
    <w:rsid w:val="00F51B88"/>
    <w:rsid w:val="00F51CB2"/>
    <w:rsid w:val="00F534D3"/>
    <w:rsid w:val="00F5421D"/>
    <w:rsid w:val="00F55022"/>
    <w:rsid w:val="00F55184"/>
    <w:rsid w:val="00F5704A"/>
    <w:rsid w:val="00F57C02"/>
    <w:rsid w:val="00F60DF3"/>
    <w:rsid w:val="00F6192A"/>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2021"/>
    <w:rsid w:val="00F82080"/>
    <w:rsid w:val="00F82A7B"/>
    <w:rsid w:val="00F8476C"/>
    <w:rsid w:val="00F850A1"/>
    <w:rsid w:val="00F85CBD"/>
    <w:rsid w:val="00F87810"/>
    <w:rsid w:val="00F905B8"/>
    <w:rsid w:val="00F91164"/>
    <w:rsid w:val="00F91D47"/>
    <w:rsid w:val="00F92B0F"/>
    <w:rsid w:val="00F9354E"/>
    <w:rsid w:val="00F941FC"/>
    <w:rsid w:val="00F96D24"/>
    <w:rsid w:val="00F97093"/>
    <w:rsid w:val="00F97FF3"/>
    <w:rsid w:val="00FA0091"/>
    <w:rsid w:val="00FA1AA9"/>
    <w:rsid w:val="00FA2C8B"/>
    <w:rsid w:val="00FA3E0C"/>
    <w:rsid w:val="00FA4FBA"/>
    <w:rsid w:val="00FA5580"/>
    <w:rsid w:val="00FA655A"/>
    <w:rsid w:val="00FA69C3"/>
    <w:rsid w:val="00FA6AAC"/>
    <w:rsid w:val="00FA6CBC"/>
    <w:rsid w:val="00FA6D48"/>
    <w:rsid w:val="00FA7027"/>
    <w:rsid w:val="00FA7EC0"/>
    <w:rsid w:val="00FB1729"/>
    <w:rsid w:val="00FB30A2"/>
    <w:rsid w:val="00FB4E86"/>
    <w:rsid w:val="00FC072E"/>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5688"/>
    <w:rsid w:val="00FD5725"/>
    <w:rsid w:val="00FD5E1C"/>
    <w:rsid w:val="00FD5F36"/>
    <w:rsid w:val="00FD7F6B"/>
    <w:rsid w:val="00FE0948"/>
    <w:rsid w:val="00FE1880"/>
    <w:rsid w:val="00FE292B"/>
    <w:rsid w:val="00FE3256"/>
    <w:rsid w:val="00FE3F8E"/>
    <w:rsid w:val="00FE47ED"/>
    <w:rsid w:val="00FE5101"/>
    <w:rsid w:val="00FE61DC"/>
    <w:rsid w:val="00FE67D0"/>
    <w:rsid w:val="00FE689B"/>
    <w:rsid w:val="00FE7081"/>
    <w:rsid w:val="00FE79CE"/>
    <w:rsid w:val="00FF081E"/>
    <w:rsid w:val="00FF145C"/>
    <w:rsid w:val="00FF26EE"/>
    <w:rsid w:val="00FF28EC"/>
    <w:rsid w:val="00FF47A3"/>
    <w:rsid w:val="00FF4B3F"/>
    <w:rsid w:val="00FF4B43"/>
    <w:rsid w:val="00FF574F"/>
    <w:rsid w:val="00FF749A"/>
    <w:rsid w:val="090C7C1B"/>
    <w:rsid w:val="096B2561"/>
    <w:rsid w:val="09DB7F65"/>
    <w:rsid w:val="0C267B8D"/>
    <w:rsid w:val="0C4C5587"/>
    <w:rsid w:val="16207C24"/>
    <w:rsid w:val="1984650D"/>
    <w:rsid w:val="24922853"/>
    <w:rsid w:val="31E57DFB"/>
    <w:rsid w:val="323E226B"/>
    <w:rsid w:val="3DE507F3"/>
    <w:rsid w:val="3EFD3A34"/>
    <w:rsid w:val="44FA5EC6"/>
    <w:rsid w:val="4D044E79"/>
    <w:rsid w:val="55722322"/>
    <w:rsid w:val="56AF6ADB"/>
    <w:rsid w:val="580249E9"/>
    <w:rsid w:val="5E531634"/>
    <w:rsid w:val="611154F3"/>
    <w:rsid w:val="624B574A"/>
    <w:rsid w:val="65CA414A"/>
    <w:rsid w:val="69D4537F"/>
    <w:rsid w:val="7421052B"/>
    <w:rsid w:val="774F1C9A"/>
    <w:rsid w:val="79FA5FCD"/>
    <w:rsid w:val="7BC45A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6"/>
    <w:autoRedefine/>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1"/>
    <w:autoRedefine/>
    <w:qFormat/>
    <w:uiPriority w:val="0"/>
    <w:pPr>
      <w:adjustRightInd w:val="0"/>
      <w:jc w:val="center"/>
      <w:textAlignment w:val="baseline"/>
      <w:outlineLvl w:val="1"/>
    </w:pPr>
    <w:rPr>
      <w:kern w:val="0"/>
      <w:sz w:val="24"/>
      <w:szCs w:val="20"/>
    </w:rPr>
  </w:style>
  <w:style w:type="paragraph" w:styleId="4">
    <w:name w:val="heading 3"/>
    <w:basedOn w:val="5"/>
    <w:next w:val="1"/>
    <w:link w:val="55"/>
    <w:qFormat/>
    <w:uiPriority w:val="0"/>
    <w:pPr>
      <w:spacing w:before="260" w:after="260" w:line="240" w:lineRule="auto"/>
      <w:outlineLvl w:val="2"/>
    </w:pPr>
    <w:rPr>
      <w:rFonts w:ascii="宋体" w:hAnsi="宋体" w:eastAsia="宋体"/>
      <w:szCs w:val="32"/>
    </w:rPr>
  </w:style>
  <w:style w:type="paragraph" w:styleId="5">
    <w:name w:val="heading 4"/>
    <w:basedOn w:val="1"/>
    <w:next w:val="1"/>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0"/>
    <w:qFormat/>
    <w:uiPriority w:val="0"/>
    <w:pPr>
      <w:keepNext/>
      <w:keepLines/>
      <w:spacing w:before="280" w:after="290" w:line="376" w:lineRule="auto"/>
      <w:outlineLvl w:val="4"/>
    </w:pPr>
    <w:rPr>
      <w:b/>
      <w:sz w:val="28"/>
      <w:szCs w:val="20"/>
    </w:rPr>
  </w:style>
  <w:style w:type="paragraph" w:styleId="9">
    <w:name w:val="heading 6"/>
    <w:basedOn w:val="1"/>
    <w:next w:val="8"/>
    <w:link w:val="83"/>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4"/>
    <w:qFormat/>
    <w:uiPriority w:val="0"/>
    <w:pPr>
      <w:keepNext/>
      <w:keepLines/>
      <w:spacing w:before="240" w:after="64" w:line="320" w:lineRule="auto"/>
      <w:outlineLvl w:val="6"/>
    </w:pPr>
    <w:rPr>
      <w:b/>
      <w:sz w:val="24"/>
      <w:szCs w:val="20"/>
    </w:rPr>
  </w:style>
  <w:style w:type="paragraph" w:styleId="11">
    <w:name w:val="heading 8"/>
    <w:basedOn w:val="1"/>
    <w:next w:val="8"/>
    <w:link w:val="85"/>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6"/>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92"/>
    <w:qFormat/>
    <w:uiPriority w:val="0"/>
    <w:pPr>
      <w:spacing w:line="360" w:lineRule="auto"/>
    </w:pPr>
    <w:rPr>
      <w:b/>
      <w:bCs/>
      <w:sz w:val="24"/>
    </w:rPr>
  </w:style>
  <w:style w:type="paragraph" w:styleId="8">
    <w:name w:val="Normal Indent"/>
    <w:basedOn w:val="1"/>
    <w:link w:val="57"/>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4"/>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98"/>
    <w:qFormat/>
    <w:uiPriority w:val="0"/>
    <w:pPr>
      <w:spacing w:after="120"/>
    </w:pPr>
    <w:rPr>
      <w:sz w:val="16"/>
      <w:szCs w:val="16"/>
    </w:rPr>
  </w:style>
  <w:style w:type="paragraph" w:styleId="19">
    <w:name w:val="Body Text Indent"/>
    <w:basedOn w:val="1"/>
    <w:link w:val="79"/>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0"/>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8"/>
    <w:qFormat/>
    <w:uiPriority w:val="0"/>
    <w:rPr>
      <w:rFonts w:ascii="宋体" w:hAnsi="Courier New"/>
      <w:sz w:val="32"/>
      <w:szCs w:val="20"/>
    </w:rPr>
  </w:style>
  <w:style w:type="paragraph" w:styleId="25">
    <w:name w:val="Body Text Indent 2"/>
    <w:basedOn w:val="1"/>
    <w:link w:val="93"/>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9"/>
    <w:semiHidden/>
    <w:qFormat/>
    <w:uiPriority w:val="0"/>
    <w:rPr>
      <w:sz w:val="18"/>
      <w:szCs w:val="18"/>
    </w:rPr>
  </w:style>
  <w:style w:type="paragraph" w:styleId="27">
    <w:name w:val="footer"/>
    <w:basedOn w:val="1"/>
    <w:link w:val="97"/>
    <w:autoRedefine/>
    <w:qFormat/>
    <w:uiPriority w:val="0"/>
    <w:pPr>
      <w:tabs>
        <w:tab w:val="center" w:pos="4153"/>
        <w:tab w:val="right" w:pos="8306"/>
      </w:tabs>
      <w:snapToGrid w:val="0"/>
      <w:jc w:val="left"/>
    </w:pPr>
    <w:rPr>
      <w:sz w:val="18"/>
      <w:szCs w:val="18"/>
    </w:rPr>
  </w:style>
  <w:style w:type="paragraph" w:styleId="28">
    <w:name w:val="header"/>
    <w:basedOn w:val="1"/>
    <w:link w:val="94"/>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Subtitle"/>
    <w:next w:val="1"/>
    <w:link w:val="309"/>
    <w:autoRedefine/>
    <w:qFormat/>
    <w:uiPriority w:val="0"/>
    <w:pPr>
      <w:wordWrap w:val="0"/>
      <w:spacing w:after="60"/>
      <w:jc w:val="center"/>
    </w:pPr>
    <w:rPr>
      <w:rFonts w:ascii="Calibri" w:hAnsi="Calibri" w:eastAsia="宋体" w:cs="Times New Roman"/>
      <w:sz w:val="24"/>
      <w:lang w:val="en-US" w:eastAsia="zh-CN" w:bidi="ar-SA"/>
    </w:rPr>
  </w:style>
  <w:style w:type="paragraph" w:styleId="32">
    <w:name w:val="toc 6"/>
    <w:basedOn w:val="1"/>
    <w:next w:val="1"/>
    <w:autoRedefine/>
    <w:semiHidden/>
    <w:qFormat/>
    <w:uiPriority w:val="0"/>
    <w:pPr>
      <w:ind w:left="1050"/>
      <w:jc w:val="left"/>
    </w:pPr>
    <w:rPr>
      <w:szCs w:val="21"/>
    </w:rPr>
  </w:style>
  <w:style w:type="paragraph" w:styleId="33">
    <w:name w:val="Body Text Indent 3"/>
    <w:basedOn w:val="1"/>
    <w:link w:val="95"/>
    <w:autoRedefine/>
    <w:qFormat/>
    <w:uiPriority w:val="0"/>
    <w:pPr>
      <w:spacing w:line="360" w:lineRule="auto"/>
      <w:ind w:firstLine="482" w:firstLineChars="200"/>
    </w:pPr>
    <w:rPr>
      <w:rFonts w:ascii="宋体"/>
      <w:b/>
      <w:bCs/>
      <w:sz w:val="24"/>
    </w:rPr>
  </w:style>
  <w:style w:type="paragraph" w:styleId="34">
    <w:name w:val="toc 2"/>
    <w:basedOn w:val="1"/>
    <w:next w:val="1"/>
    <w:autoRedefine/>
    <w:semiHidden/>
    <w:qFormat/>
    <w:uiPriority w:val="0"/>
    <w:pPr>
      <w:tabs>
        <w:tab w:val="right" w:leader="dot" w:pos="8296"/>
      </w:tabs>
      <w:ind w:left="210"/>
      <w:jc w:val="left"/>
    </w:pPr>
    <w:rPr>
      <w:smallCaps/>
    </w:rPr>
  </w:style>
  <w:style w:type="paragraph" w:styleId="35">
    <w:name w:val="toc 9"/>
    <w:basedOn w:val="1"/>
    <w:next w:val="1"/>
    <w:autoRedefine/>
    <w:semiHidden/>
    <w:qFormat/>
    <w:uiPriority w:val="0"/>
    <w:pPr>
      <w:ind w:left="1680"/>
      <w:jc w:val="left"/>
    </w:pPr>
    <w:rPr>
      <w:szCs w:val="21"/>
    </w:rPr>
  </w:style>
  <w:style w:type="paragraph" w:styleId="36">
    <w:name w:val="Body Text 2"/>
    <w:basedOn w:val="1"/>
    <w:link w:val="96"/>
    <w:autoRedefine/>
    <w:qFormat/>
    <w:uiPriority w:val="0"/>
    <w:pPr>
      <w:spacing w:line="360" w:lineRule="auto"/>
    </w:pPr>
    <w:rPr>
      <w:sz w:val="24"/>
    </w:rPr>
  </w:style>
  <w:style w:type="paragraph" w:styleId="37">
    <w:name w:val="HTML Preformatted"/>
    <w:basedOn w:val="1"/>
    <w:link w:val="8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470"/>
    <w:autoRedefine/>
    <w:qFormat/>
    <w:uiPriority w:val="99"/>
    <w:rPr>
      <w:sz w:val="24"/>
    </w:rPr>
  </w:style>
  <w:style w:type="paragraph" w:styleId="39">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7"/>
    <w:autoRedefine/>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185"/>
    <w:autoRedefine/>
    <w:qFormat/>
    <w:uiPriority w:val="0"/>
    <w:pPr>
      <w:autoSpaceDE/>
      <w:autoSpaceDN/>
      <w:adjustRightInd/>
      <w:textAlignment w:val="auto"/>
    </w:pPr>
    <w:rPr>
      <w:rFonts w:ascii="Times New Roman"/>
      <w:b/>
      <w:bCs/>
      <w:kern w:val="2"/>
      <w:sz w:val="21"/>
      <w:szCs w:val="24"/>
    </w:rPr>
  </w:style>
  <w:style w:type="paragraph" w:styleId="42">
    <w:name w:val="Body Text First Indent"/>
    <w:basedOn w:val="2"/>
    <w:link w:val="130"/>
    <w:autoRedefine/>
    <w:qFormat/>
    <w:uiPriority w:val="0"/>
    <w:pPr>
      <w:spacing w:after="120" w:line="240" w:lineRule="auto"/>
      <w:ind w:firstLine="420" w:firstLineChars="100"/>
    </w:pPr>
    <w:rPr>
      <w:sz w:val="21"/>
    </w:r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Table Elegant"/>
    <w:basedOn w:val="43"/>
    <w:autoRedefine/>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i/>
      <w:sz w:val="20"/>
    </w:rPr>
  </w:style>
  <w:style w:type="character" w:styleId="51">
    <w:name w:val="Hyperlink"/>
    <w:autoRedefine/>
    <w:qFormat/>
    <w:uiPriority w:val="0"/>
    <w:rPr>
      <w:color w:val="0000FF"/>
      <w:u w:val="single"/>
    </w:rPr>
  </w:style>
  <w:style w:type="character" w:styleId="52">
    <w:name w:val="annotation reference"/>
    <w:basedOn w:val="46"/>
    <w:autoRedefine/>
    <w:qFormat/>
    <w:uiPriority w:val="0"/>
    <w:rPr>
      <w:sz w:val="21"/>
      <w:szCs w:val="21"/>
    </w:rPr>
  </w:style>
  <w:style w:type="character" w:customStyle="1" w:styleId="53">
    <w:name w:val="标题 4 Char"/>
    <w:link w:val="5"/>
    <w:autoRedefine/>
    <w:qFormat/>
    <w:uiPriority w:val="0"/>
    <w:rPr>
      <w:rFonts w:ascii="Arial" w:hAnsi="Arial" w:eastAsia="黑体"/>
      <w:b/>
      <w:bCs/>
      <w:kern w:val="2"/>
      <w:sz w:val="28"/>
      <w:szCs w:val="28"/>
      <w:lang w:val="en-US" w:eastAsia="zh-CN" w:bidi="ar-SA"/>
    </w:rPr>
  </w:style>
  <w:style w:type="paragraph" w:customStyle="1" w:styleId="54">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标题 3 Char1"/>
    <w:link w:val="4"/>
    <w:autoRedefine/>
    <w:qFormat/>
    <w:uiPriority w:val="0"/>
    <w:rPr>
      <w:rFonts w:ascii="宋体" w:hAnsi="宋体" w:eastAsia="宋体"/>
      <w:b/>
      <w:bCs/>
      <w:kern w:val="2"/>
      <w:sz w:val="28"/>
      <w:szCs w:val="32"/>
      <w:lang w:val="en-US" w:eastAsia="zh-CN" w:bidi="ar-SA"/>
    </w:rPr>
  </w:style>
  <w:style w:type="character" w:customStyle="1" w:styleId="56">
    <w:name w:val="标题 1 Char"/>
    <w:link w:val="3"/>
    <w:autoRedefine/>
    <w:qFormat/>
    <w:uiPriority w:val="0"/>
    <w:rPr>
      <w:rFonts w:ascii="宋体" w:hAnsi="宋体" w:eastAsia="黑体"/>
      <w:b/>
      <w:bCs/>
      <w:kern w:val="44"/>
      <w:sz w:val="28"/>
      <w:szCs w:val="44"/>
      <w:lang w:val="en-US" w:eastAsia="zh-CN" w:bidi="ar-SA"/>
    </w:rPr>
  </w:style>
  <w:style w:type="character" w:customStyle="1" w:styleId="57">
    <w:name w:val="正文缩进 Char"/>
    <w:link w:val="8"/>
    <w:autoRedefine/>
    <w:qFormat/>
    <w:uiPriority w:val="0"/>
    <w:rPr>
      <w:rFonts w:eastAsia="宋体"/>
      <w:kern w:val="2"/>
      <w:sz w:val="21"/>
      <w:lang w:val="en-US" w:eastAsia="zh-CN" w:bidi="ar-SA"/>
    </w:rPr>
  </w:style>
  <w:style w:type="character" w:customStyle="1" w:styleId="58">
    <w:name w:val="标题 3 Char"/>
    <w:autoRedefine/>
    <w:qFormat/>
    <w:uiPriority w:val="0"/>
    <w:rPr>
      <w:rFonts w:ascii="黑体" w:eastAsia="黑体"/>
      <w:bCs/>
      <w:sz w:val="30"/>
    </w:rPr>
  </w:style>
  <w:style w:type="paragraph" w:customStyle="1" w:styleId="59">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0">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6">
    <w:name w:val="自定义正文"/>
    <w:basedOn w:val="1"/>
    <w:autoRedefine/>
    <w:qFormat/>
    <w:uiPriority w:val="0"/>
    <w:pPr>
      <w:spacing w:afterLines="50"/>
      <w:ind w:left="600" w:leftChars="600"/>
    </w:pPr>
  </w:style>
  <w:style w:type="paragraph" w:customStyle="1" w:styleId="67">
    <w:name w:val="Char Char Char Char Char"/>
    <w:basedOn w:val="1"/>
    <w:autoRedefine/>
    <w:qFormat/>
    <w:uiPriority w:val="0"/>
    <w:rPr>
      <w:rFonts w:ascii="Tahoma" w:hAnsi="Tahoma"/>
      <w:sz w:val="24"/>
      <w:szCs w:val="20"/>
    </w:rPr>
  </w:style>
  <w:style w:type="paragraph" w:customStyle="1" w:styleId="6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9">
    <w:name w:val="Char Char"/>
    <w:basedOn w:val="1"/>
    <w:autoRedefine/>
    <w:qFormat/>
    <w:uiPriority w:val="0"/>
    <w:rPr>
      <w:rFonts w:ascii="Tahoma" w:hAnsi="Tahoma"/>
      <w:sz w:val="24"/>
      <w:szCs w:val="20"/>
    </w:rPr>
  </w:style>
  <w:style w:type="paragraph" w:customStyle="1" w:styleId="70">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1">
    <w:name w:val="标题 2 Char"/>
    <w:link w:val="6"/>
    <w:autoRedefine/>
    <w:qFormat/>
    <w:uiPriority w:val="0"/>
    <w:rPr>
      <w:rFonts w:ascii="宋体" w:hAnsi="宋体" w:eastAsia="宋体"/>
      <w:b/>
      <w:bCs/>
      <w:sz w:val="24"/>
      <w:lang w:val="en-US" w:eastAsia="zh-CN" w:bidi="ar-SA"/>
    </w:rPr>
  </w:style>
  <w:style w:type="paragraph" w:customStyle="1" w:styleId="72">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3">
    <w:name w:val="List Paragraph"/>
    <w:basedOn w:val="1"/>
    <w:autoRedefine/>
    <w:qFormat/>
    <w:uiPriority w:val="0"/>
    <w:pPr>
      <w:ind w:firstLine="420" w:firstLineChars="200"/>
    </w:pPr>
    <w:rPr>
      <w:rFonts w:ascii="Calibri" w:hAnsi="Calibri"/>
      <w:szCs w:val="22"/>
    </w:rPr>
  </w:style>
  <w:style w:type="paragraph" w:customStyle="1" w:styleId="74">
    <w:name w:val="USE 1"/>
    <w:basedOn w:val="1"/>
    <w:autoRedefine/>
    <w:qFormat/>
    <w:uiPriority w:val="0"/>
    <w:pPr>
      <w:spacing w:line="200" w:lineRule="atLeast"/>
      <w:jc w:val="left"/>
    </w:pPr>
    <w:rPr>
      <w:rFonts w:ascii="宋体" w:hAnsi="宋体"/>
      <w:b/>
      <w:sz w:val="24"/>
      <w:szCs w:val="28"/>
    </w:rPr>
  </w:style>
  <w:style w:type="paragraph" w:customStyle="1" w:styleId="75">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6">
    <w:name w:val="正文文字缩进项目"/>
    <w:basedOn w:val="19"/>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7">
    <w:name w:val="样式 标题 2 + 段前: 13 磅 段后: 13 磅 行距: 单倍行距"/>
    <w:basedOn w:val="6"/>
    <w:autoRedefine/>
    <w:qFormat/>
    <w:uiPriority w:val="0"/>
    <w:pPr>
      <w:adjustRightInd/>
      <w:spacing w:before="0" w:after="0"/>
      <w:jc w:val="both"/>
      <w:textAlignment w:val="auto"/>
    </w:pPr>
    <w:rPr>
      <w:rFonts w:ascii="Cambria" w:hAnsi="Cambria" w:cs="宋体"/>
      <w:kern w:val="2"/>
      <w:sz w:val="32"/>
    </w:rPr>
  </w:style>
  <w:style w:type="character" w:customStyle="1" w:styleId="78">
    <w:name w:val="H4 Char2"/>
    <w:autoRedefine/>
    <w:qFormat/>
    <w:uiPriority w:val="0"/>
    <w:rPr>
      <w:rFonts w:ascii="Arial" w:hAnsi="Arial" w:eastAsia="黑体"/>
      <w:b/>
      <w:bCs/>
      <w:kern w:val="2"/>
      <w:sz w:val="28"/>
      <w:szCs w:val="28"/>
      <w:lang w:val="en-US" w:eastAsia="zh-CN" w:bidi="ar-SA"/>
    </w:rPr>
  </w:style>
  <w:style w:type="character" w:customStyle="1" w:styleId="79">
    <w:name w:val="正文文本缩进 Char"/>
    <w:link w:val="19"/>
    <w:autoRedefine/>
    <w:qFormat/>
    <w:uiPriority w:val="0"/>
    <w:rPr>
      <w:rFonts w:eastAsia="宋体"/>
      <w:kern w:val="2"/>
      <w:sz w:val="21"/>
      <w:szCs w:val="24"/>
      <w:lang w:val="en-US" w:eastAsia="zh-CN" w:bidi="ar-SA"/>
    </w:rPr>
  </w:style>
  <w:style w:type="character" w:customStyle="1" w:styleId="80">
    <w:name w:val="标题 5 Char"/>
    <w:link w:val="7"/>
    <w:autoRedefine/>
    <w:qFormat/>
    <w:uiPriority w:val="0"/>
    <w:rPr>
      <w:rFonts w:eastAsia="宋体"/>
      <w:b/>
      <w:kern w:val="2"/>
      <w:sz w:val="28"/>
      <w:lang w:val="en-US" w:eastAsia="zh-CN" w:bidi="ar-SA"/>
    </w:rPr>
  </w:style>
  <w:style w:type="character" w:customStyle="1" w:styleId="81">
    <w:name w:val="第*章 Char"/>
    <w:autoRedefine/>
    <w:qFormat/>
    <w:uiPriority w:val="0"/>
    <w:rPr>
      <w:rFonts w:ascii="Arial" w:hAnsi="Arial" w:eastAsia="黑体"/>
      <w:b/>
      <w:bCs/>
      <w:kern w:val="2"/>
      <w:sz w:val="32"/>
      <w:szCs w:val="32"/>
    </w:rPr>
  </w:style>
  <w:style w:type="character" w:customStyle="1" w:styleId="82">
    <w:name w:val="章标题1 Char"/>
    <w:autoRedefine/>
    <w:qFormat/>
    <w:uiPriority w:val="0"/>
    <w:rPr>
      <w:rFonts w:eastAsia="宋体"/>
      <w:b/>
      <w:bCs/>
      <w:kern w:val="2"/>
      <w:sz w:val="32"/>
      <w:szCs w:val="32"/>
      <w:lang w:val="en-US" w:eastAsia="zh-CN" w:bidi="ar-SA"/>
    </w:rPr>
  </w:style>
  <w:style w:type="character" w:customStyle="1" w:styleId="83">
    <w:name w:val="标题 6 Char"/>
    <w:link w:val="9"/>
    <w:autoRedefine/>
    <w:qFormat/>
    <w:uiPriority w:val="0"/>
    <w:rPr>
      <w:rFonts w:ascii="Arial" w:hAnsi="Arial" w:eastAsia="黑体"/>
      <w:b/>
      <w:kern w:val="2"/>
      <w:sz w:val="24"/>
      <w:lang w:val="en-US" w:eastAsia="zh-CN" w:bidi="ar-SA"/>
    </w:rPr>
  </w:style>
  <w:style w:type="character" w:customStyle="1" w:styleId="84">
    <w:name w:val="标题 7 Char"/>
    <w:link w:val="10"/>
    <w:autoRedefine/>
    <w:qFormat/>
    <w:uiPriority w:val="0"/>
    <w:rPr>
      <w:rFonts w:eastAsia="宋体"/>
      <w:b/>
      <w:kern w:val="2"/>
      <w:sz w:val="24"/>
      <w:lang w:val="en-US" w:eastAsia="zh-CN" w:bidi="ar-SA"/>
    </w:rPr>
  </w:style>
  <w:style w:type="character" w:customStyle="1" w:styleId="85">
    <w:name w:val="标题 8 Char"/>
    <w:link w:val="11"/>
    <w:autoRedefine/>
    <w:qFormat/>
    <w:uiPriority w:val="0"/>
    <w:rPr>
      <w:rFonts w:ascii="Arial" w:hAnsi="Arial" w:eastAsia="黑体"/>
      <w:kern w:val="2"/>
      <w:sz w:val="24"/>
      <w:lang w:val="en-US" w:eastAsia="zh-CN" w:bidi="ar-SA"/>
    </w:rPr>
  </w:style>
  <w:style w:type="character" w:customStyle="1" w:styleId="86">
    <w:name w:val="标题 9 Char"/>
    <w:link w:val="12"/>
    <w:autoRedefine/>
    <w:qFormat/>
    <w:uiPriority w:val="0"/>
    <w:rPr>
      <w:rFonts w:ascii="Arial" w:hAnsi="Arial" w:eastAsia="黑体"/>
      <w:kern w:val="2"/>
      <w:sz w:val="21"/>
      <w:lang w:val="en-US" w:eastAsia="zh-CN" w:bidi="ar-SA"/>
    </w:rPr>
  </w:style>
  <w:style w:type="character" w:customStyle="1" w:styleId="87">
    <w:name w:val="标题 Char"/>
    <w:link w:val="40"/>
    <w:autoRedefine/>
    <w:qFormat/>
    <w:uiPriority w:val="0"/>
    <w:rPr>
      <w:rFonts w:ascii="Arial" w:hAnsi="Arial" w:eastAsia="隶书" w:cs="Arial"/>
      <w:b/>
      <w:bCs/>
      <w:kern w:val="2"/>
      <w:sz w:val="32"/>
      <w:szCs w:val="32"/>
      <w:lang w:val="en-US" w:eastAsia="zh-CN" w:bidi="ar-SA"/>
    </w:rPr>
  </w:style>
  <w:style w:type="character" w:customStyle="1" w:styleId="88">
    <w:name w:val="日期 Char"/>
    <w:link w:val="24"/>
    <w:autoRedefine/>
    <w:qFormat/>
    <w:uiPriority w:val="0"/>
    <w:rPr>
      <w:rFonts w:ascii="宋体" w:hAnsi="Courier New" w:eastAsia="宋体"/>
      <w:kern w:val="2"/>
      <w:sz w:val="32"/>
      <w:lang w:val="en-US" w:eastAsia="zh-CN" w:bidi="ar-SA"/>
    </w:rPr>
  </w:style>
  <w:style w:type="character" w:customStyle="1" w:styleId="89">
    <w:name w:val="HTML 预设格式 Char"/>
    <w:link w:val="37"/>
    <w:autoRedefine/>
    <w:qFormat/>
    <w:uiPriority w:val="0"/>
    <w:rPr>
      <w:rFonts w:ascii="Arial Unicode MS" w:hAnsi="Arial Unicode MS" w:eastAsia="Arial Unicode MS"/>
      <w:color w:val="000000"/>
      <w:lang w:val="en-US" w:eastAsia="zh-CN" w:bidi="ar-SA"/>
    </w:rPr>
  </w:style>
  <w:style w:type="character" w:customStyle="1" w:styleId="90">
    <w:name w:val="纯文本 Char"/>
    <w:link w:val="22"/>
    <w:autoRedefine/>
    <w:qFormat/>
    <w:uiPriority w:val="0"/>
    <w:rPr>
      <w:rFonts w:ascii="宋体" w:hAnsi="Courier New" w:eastAsia="宋体"/>
      <w:kern w:val="2"/>
      <w:sz w:val="21"/>
      <w:lang w:val="en-US" w:eastAsia="zh-CN" w:bidi="ar-SA"/>
    </w:rPr>
  </w:style>
  <w:style w:type="character" w:customStyle="1" w:styleId="91">
    <w:name w:val="正文文字首行缩进 Char"/>
    <w:autoRedefine/>
    <w:qFormat/>
    <w:uiPriority w:val="0"/>
    <w:rPr>
      <w:kern w:val="2"/>
      <w:sz w:val="21"/>
      <w:szCs w:val="24"/>
    </w:rPr>
  </w:style>
  <w:style w:type="character" w:customStyle="1" w:styleId="92">
    <w:name w:val="正文文本 Char"/>
    <w:link w:val="2"/>
    <w:autoRedefine/>
    <w:qFormat/>
    <w:uiPriority w:val="0"/>
    <w:rPr>
      <w:rFonts w:eastAsia="宋体"/>
      <w:b/>
      <w:bCs/>
      <w:kern w:val="2"/>
      <w:sz w:val="24"/>
      <w:szCs w:val="24"/>
      <w:lang w:val="en-US" w:eastAsia="zh-CN" w:bidi="ar-SA"/>
    </w:rPr>
  </w:style>
  <w:style w:type="character" w:customStyle="1" w:styleId="93">
    <w:name w:val="正文文本缩进 2 Char"/>
    <w:link w:val="25"/>
    <w:autoRedefine/>
    <w:qFormat/>
    <w:uiPriority w:val="0"/>
    <w:rPr>
      <w:rFonts w:ascii="宋体" w:hAnsi="宋体" w:eastAsia="宋体"/>
      <w:kern w:val="2"/>
      <w:sz w:val="21"/>
      <w:szCs w:val="24"/>
      <w:lang w:val="en-US" w:eastAsia="zh-CN" w:bidi="ar-SA"/>
    </w:rPr>
  </w:style>
  <w:style w:type="character" w:customStyle="1" w:styleId="94">
    <w:name w:val="页眉 Char"/>
    <w:link w:val="28"/>
    <w:autoRedefine/>
    <w:qFormat/>
    <w:uiPriority w:val="99"/>
    <w:rPr>
      <w:rFonts w:eastAsia="宋体"/>
      <w:kern w:val="2"/>
      <w:sz w:val="18"/>
      <w:szCs w:val="18"/>
      <w:lang w:val="en-US" w:eastAsia="zh-CN" w:bidi="ar-SA"/>
    </w:rPr>
  </w:style>
  <w:style w:type="character" w:customStyle="1" w:styleId="95">
    <w:name w:val="正文文本缩进 3 Char"/>
    <w:link w:val="33"/>
    <w:autoRedefine/>
    <w:qFormat/>
    <w:uiPriority w:val="0"/>
    <w:rPr>
      <w:rFonts w:ascii="宋体" w:eastAsia="宋体"/>
      <w:b/>
      <w:bCs/>
      <w:kern w:val="2"/>
      <w:sz w:val="24"/>
      <w:szCs w:val="24"/>
      <w:lang w:val="en-US" w:eastAsia="zh-CN" w:bidi="ar-SA"/>
    </w:rPr>
  </w:style>
  <w:style w:type="character" w:customStyle="1" w:styleId="96">
    <w:name w:val="正文文本 2 Char"/>
    <w:link w:val="36"/>
    <w:autoRedefine/>
    <w:qFormat/>
    <w:uiPriority w:val="0"/>
    <w:rPr>
      <w:rFonts w:eastAsia="宋体"/>
      <w:kern w:val="2"/>
      <w:sz w:val="24"/>
      <w:szCs w:val="24"/>
      <w:lang w:val="en-US" w:eastAsia="zh-CN" w:bidi="ar-SA"/>
    </w:rPr>
  </w:style>
  <w:style w:type="character" w:customStyle="1" w:styleId="97">
    <w:name w:val="页脚 Char"/>
    <w:link w:val="27"/>
    <w:autoRedefine/>
    <w:qFormat/>
    <w:uiPriority w:val="0"/>
    <w:rPr>
      <w:rFonts w:eastAsia="宋体"/>
      <w:kern w:val="2"/>
      <w:sz w:val="18"/>
      <w:szCs w:val="18"/>
      <w:lang w:val="en-US" w:eastAsia="zh-CN" w:bidi="ar-SA"/>
    </w:rPr>
  </w:style>
  <w:style w:type="character" w:customStyle="1" w:styleId="98">
    <w:name w:val="正文文本 3 Char"/>
    <w:link w:val="18"/>
    <w:autoRedefine/>
    <w:qFormat/>
    <w:uiPriority w:val="0"/>
    <w:rPr>
      <w:rFonts w:eastAsia="宋体"/>
      <w:kern w:val="2"/>
      <w:sz w:val="16"/>
      <w:szCs w:val="16"/>
      <w:lang w:val="en-US" w:eastAsia="zh-CN" w:bidi="ar-SA"/>
    </w:rPr>
  </w:style>
  <w:style w:type="character" w:customStyle="1" w:styleId="99">
    <w:name w:val="批注框文本 Char"/>
    <w:link w:val="26"/>
    <w:autoRedefine/>
    <w:semiHidden/>
    <w:qFormat/>
    <w:uiPriority w:val="0"/>
    <w:rPr>
      <w:rFonts w:eastAsia="宋体"/>
      <w:kern w:val="2"/>
      <w:sz w:val="18"/>
      <w:szCs w:val="18"/>
      <w:lang w:val="en-US" w:eastAsia="zh-CN" w:bidi="ar-SA"/>
    </w:rPr>
  </w:style>
  <w:style w:type="paragraph" w:customStyle="1" w:styleId="100">
    <w:name w:val="样式1"/>
    <w:basedOn w:val="40"/>
    <w:autoRedefine/>
    <w:qFormat/>
    <w:uiPriority w:val="0"/>
    <w:pPr>
      <w:spacing w:before="120" w:after="120"/>
    </w:pPr>
    <w:rPr>
      <w:rFonts w:eastAsia="黑体"/>
      <w:b w:val="0"/>
      <w:sz w:val="30"/>
      <w:szCs w:val="21"/>
    </w:rPr>
  </w:style>
  <w:style w:type="paragraph" w:customStyle="1" w:styleId="101">
    <w:name w:val="样式2"/>
    <w:basedOn w:val="40"/>
    <w:next w:val="100"/>
    <w:autoRedefine/>
    <w:qFormat/>
    <w:uiPriority w:val="0"/>
    <w:pPr>
      <w:spacing w:before="120" w:after="120"/>
    </w:pPr>
    <w:rPr>
      <w:rFonts w:eastAsia="黑体"/>
      <w:b w:val="0"/>
      <w:sz w:val="30"/>
      <w:szCs w:val="30"/>
    </w:rPr>
  </w:style>
  <w:style w:type="character" w:customStyle="1" w:styleId="102">
    <w:name w:val="标题 3 Char Char"/>
    <w:autoRedefine/>
    <w:qFormat/>
    <w:uiPriority w:val="0"/>
    <w:rPr>
      <w:rFonts w:eastAsia="宋体"/>
      <w:b/>
      <w:bCs/>
      <w:kern w:val="2"/>
      <w:sz w:val="32"/>
      <w:szCs w:val="32"/>
      <w:lang w:val="en-US" w:eastAsia="zh-CN" w:bidi="ar-SA"/>
    </w:rPr>
  </w:style>
  <w:style w:type="paragraph" w:customStyle="1" w:styleId="103">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autoRedefine/>
    <w:qFormat/>
    <w:uiPriority w:val="0"/>
    <w:pPr>
      <w:spacing w:line="360" w:lineRule="auto"/>
      <w:ind w:firstLine="200" w:firstLineChars="200"/>
    </w:pPr>
    <w:rPr>
      <w:szCs w:val="20"/>
    </w:rPr>
  </w:style>
  <w:style w:type="paragraph" w:customStyle="1" w:styleId="106">
    <w:name w:val="设计依据"/>
    <w:basedOn w:val="2"/>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7">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08">
    <w:name w:val="样式4"/>
    <w:basedOn w:val="1"/>
    <w:autoRedefine/>
    <w:qFormat/>
    <w:uiPriority w:val="0"/>
    <w:pPr>
      <w:tabs>
        <w:tab w:val="left" w:pos="842"/>
      </w:tabs>
      <w:spacing w:line="360" w:lineRule="auto"/>
      <w:ind w:left="842" w:hanging="420"/>
    </w:pPr>
    <w:rPr>
      <w:sz w:val="24"/>
    </w:rPr>
  </w:style>
  <w:style w:type="paragraph" w:customStyle="1" w:styleId="10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0">
    <w:name w:val="--规划-表格-居左"/>
    <w:basedOn w:val="105"/>
    <w:autoRedefine/>
    <w:qFormat/>
    <w:uiPriority w:val="0"/>
    <w:pPr>
      <w:spacing w:line="240" w:lineRule="auto"/>
      <w:ind w:firstLine="0" w:firstLineChars="0"/>
    </w:pPr>
    <w:rPr>
      <w:sz w:val="20"/>
    </w:rPr>
  </w:style>
  <w:style w:type="paragraph" w:customStyle="1" w:styleId="111">
    <w:name w:val="--规划-表格-居中"/>
    <w:basedOn w:val="105"/>
    <w:autoRedefine/>
    <w:qFormat/>
    <w:uiPriority w:val="0"/>
    <w:pPr>
      <w:spacing w:line="240" w:lineRule="auto"/>
      <w:ind w:firstLine="0" w:firstLineChars="0"/>
      <w:jc w:val="center"/>
    </w:pPr>
    <w:rPr>
      <w:sz w:val="20"/>
    </w:rPr>
  </w:style>
  <w:style w:type="paragraph" w:customStyle="1" w:styleId="112">
    <w:name w:val="--编号内缩进"/>
    <w:basedOn w:val="1"/>
    <w:autoRedefine/>
    <w:qFormat/>
    <w:uiPriority w:val="0"/>
    <w:pPr>
      <w:spacing w:line="360" w:lineRule="auto"/>
      <w:ind w:left="420" w:firstLine="200" w:firstLineChars="200"/>
    </w:pPr>
    <w:rPr>
      <w:szCs w:val="21"/>
    </w:rPr>
  </w:style>
  <w:style w:type="paragraph" w:customStyle="1" w:styleId="113">
    <w:name w:val="--规划-题注"/>
    <w:basedOn w:val="1"/>
    <w:next w:val="105"/>
    <w:autoRedefine/>
    <w:qFormat/>
    <w:uiPriority w:val="0"/>
    <w:pPr>
      <w:spacing w:line="360" w:lineRule="auto"/>
      <w:jc w:val="center"/>
    </w:pPr>
    <w:rPr>
      <w:rFonts w:eastAsia="黑体"/>
    </w:rPr>
  </w:style>
  <w:style w:type="paragraph" w:customStyle="1" w:styleId="114">
    <w:name w:val="--规划-图和表"/>
    <w:next w:val="105"/>
    <w:autoRedefine/>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autoRedefine/>
    <w:qFormat/>
    <w:uiPriority w:val="0"/>
    <w:pPr>
      <w:keepNext/>
      <w:keepLines/>
      <w:spacing w:line="360" w:lineRule="auto"/>
      <w:outlineLvl w:val="4"/>
    </w:pPr>
    <w:rPr>
      <w:rFonts w:eastAsia="黑体"/>
    </w:rPr>
  </w:style>
  <w:style w:type="paragraph" w:customStyle="1" w:styleId="116">
    <w:name w:val="--规划正文 Char"/>
    <w:basedOn w:val="1"/>
    <w:autoRedefine/>
    <w:qFormat/>
    <w:uiPriority w:val="0"/>
    <w:pPr>
      <w:spacing w:line="360" w:lineRule="auto"/>
      <w:ind w:firstLine="200" w:firstLineChars="200"/>
    </w:pPr>
    <w:rPr>
      <w:sz w:val="24"/>
    </w:rPr>
  </w:style>
  <w:style w:type="paragraph" w:customStyle="1" w:styleId="117">
    <w:name w:val="缺省文本"/>
    <w:basedOn w:val="1"/>
    <w:autoRedefine/>
    <w:qFormat/>
    <w:uiPriority w:val="0"/>
    <w:pPr>
      <w:autoSpaceDE w:val="0"/>
      <w:autoSpaceDN w:val="0"/>
      <w:adjustRightInd w:val="0"/>
      <w:jc w:val="left"/>
    </w:pPr>
    <w:rPr>
      <w:kern w:val="0"/>
    </w:rPr>
  </w:style>
  <w:style w:type="paragraph" w:customStyle="1" w:styleId="118">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19">
    <w:name w:val="--规划正文 Char Char"/>
    <w:autoRedefine/>
    <w:qFormat/>
    <w:uiPriority w:val="0"/>
    <w:rPr>
      <w:rFonts w:eastAsia="宋体"/>
      <w:kern w:val="2"/>
      <w:sz w:val="24"/>
      <w:szCs w:val="24"/>
      <w:lang w:val="en-US" w:eastAsia="zh-CN" w:bidi="ar-SA"/>
    </w:rPr>
  </w:style>
  <w:style w:type="paragraph" w:customStyle="1" w:styleId="120">
    <w:name w:val="样式3"/>
    <w:basedOn w:val="3"/>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1">
    <w:name w:val="--规划正文 Char1"/>
    <w:autoRedefine/>
    <w:qFormat/>
    <w:uiPriority w:val="0"/>
    <w:rPr>
      <w:rFonts w:eastAsia="宋体"/>
      <w:kern w:val="2"/>
      <w:sz w:val="21"/>
      <w:lang w:val="en-US" w:eastAsia="zh-CN" w:bidi="ar-SA"/>
    </w:rPr>
  </w:style>
  <w:style w:type="paragraph" w:customStyle="1" w:styleId="122">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3">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4">
    <w:name w:val="content1"/>
    <w:autoRedefine/>
    <w:qFormat/>
    <w:uiPriority w:val="0"/>
    <w:rPr>
      <w:rFonts w:hint="default" w:ascii="??" w:hAnsi="??"/>
      <w:sz w:val="16"/>
      <w:szCs w:val="16"/>
      <w:u w:val="none"/>
    </w:rPr>
  </w:style>
  <w:style w:type="character" w:customStyle="1" w:styleId="125">
    <w:name w:val="unnamed4"/>
    <w:basedOn w:val="46"/>
    <w:autoRedefine/>
    <w:qFormat/>
    <w:uiPriority w:val="0"/>
  </w:style>
  <w:style w:type="character" w:customStyle="1" w:styleId="126">
    <w:name w:val="font2"/>
    <w:basedOn w:val="46"/>
    <w:autoRedefine/>
    <w:qFormat/>
    <w:uiPriority w:val="0"/>
  </w:style>
  <w:style w:type="character" w:customStyle="1" w:styleId="127">
    <w:name w:val="font41"/>
    <w:autoRedefine/>
    <w:qFormat/>
    <w:uiPriority w:val="0"/>
    <w:rPr>
      <w:color w:val="000000"/>
      <w:spacing w:val="260"/>
      <w:sz w:val="18"/>
      <w:szCs w:val="18"/>
      <w:u w:val="none"/>
    </w:rPr>
  </w:style>
  <w:style w:type="paragraph" w:customStyle="1" w:styleId="128">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9">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0">
    <w:name w:val="正文首行缩进 Char"/>
    <w:link w:val="42"/>
    <w:autoRedefine/>
    <w:qFormat/>
    <w:uiPriority w:val="0"/>
    <w:rPr>
      <w:rFonts w:eastAsia="宋体"/>
      <w:b/>
      <w:bCs/>
      <w:kern w:val="2"/>
      <w:sz w:val="21"/>
      <w:szCs w:val="24"/>
      <w:lang w:val="en-US" w:eastAsia="zh-CN" w:bidi="ar-SA"/>
    </w:rPr>
  </w:style>
  <w:style w:type="paragraph" w:customStyle="1" w:styleId="131">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2">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3">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4">
    <w:name w:val="mode"/>
    <w:basedOn w:val="46"/>
    <w:autoRedefine/>
    <w:qFormat/>
    <w:uiPriority w:val="0"/>
  </w:style>
  <w:style w:type="paragraph" w:customStyle="1" w:styleId="135">
    <w:name w:val="9"/>
    <w:basedOn w:val="1"/>
    <w:next w:val="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6">
    <w:name w:val="unnamed3"/>
    <w:basedOn w:val="46"/>
    <w:autoRedefine/>
    <w:qFormat/>
    <w:uiPriority w:val="0"/>
  </w:style>
  <w:style w:type="paragraph" w:customStyle="1" w:styleId="137">
    <w:name w:val="8"/>
    <w:basedOn w:val="1"/>
    <w:next w:val="19"/>
    <w:autoRedefine/>
    <w:qFormat/>
    <w:uiPriority w:val="0"/>
    <w:pPr>
      <w:spacing w:after="120"/>
      <w:ind w:left="420" w:leftChars="200"/>
    </w:pPr>
  </w:style>
  <w:style w:type="paragraph" w:customStyle="1" w:styleId="138">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39">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0">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1">
    <w:name w:val="6"/>
    <w:basedOn w:val="140"/>
    <w:autoRedefine/>
    <w:qFormat/>
    <w:uiPriority w:val="0"/>
    <w:pPr>
      <w:spacing w:line="270" w:lineRule="atLeast"/>
      <w:jc w:val="both"/>
    </w:pPr>
    <w:rPr>
      <w:b w:val="0"/>
      <w:bCs w:val="0"/>
    </w:rPr>
  </w:style>
  <w:style w:type="paragraph" w:customStyle="1" w:styleId="142">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3">
    <w:name w:val="姜文清定义的正文"/>
    <w:basedOn w:val="1"/>
    <w:autoRedefine/>
    <w:qFormat/>
    <w:uiPriority w:val="0"/>
    <w:pPr>
      <w:spacing w:line="240" w:lineRule="atLeast"/>
      <w:ind w:firstLine="567"/>
    </w:pPr>
    <w:rPr>
      <w:szCs w:val="20"/>
    </w:rPr>
  </w:style>
  <w:style w:type="paragraph" w:customStyle="1" w:styleId="144">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5">
    <w:name w:val="CM2"/>
    <w:basedOn w:val="144"/>
    <w:next w:val="144"/>
    <w:autoRedefine/>
    <w:qFormat/>
    <w:uiPriority w:val="0"/>
    <w:pPr>
      <w:spacing w:line="200" w:lineRule="atLeast"/>
    </w:pPr>
    <w:rPr>
      <w:rFonts w:ascii="Arial" w:hAnsi="Arial" w:eastAsia="宋体" w:cs="Times New Roman"/>
      <w:color w:val="auto"/>
    </w:rPr>
  </w:style>
  <w:style w:type="paragraph" w:customStyle="1" w:styleId="146">
    <w:name w:val="Normal Paragraph"/>
    <w:basedOn w:val="1"/>
    <w:autoRedefine/>
    <w:qFormat/>
    <w:uiPriority w:val="0"/>
    <w:pPr>
      <w:widowControl/>
      <w:spacing w:before="120" w:line="360" w:lineRule="auto"/>
      <w:ind w:firstLine="425"/>
    </w:pPr>
    <w:rPr>
      <w:kern w:val="0"/>
      <w:sz w:val="24"/>
    </w:rPr>
  </w:style>
  <w:style w:type="character" w:customStyle="1" w:styleId="147">
    <w:name w:val="blue"/>
    <w:basedOn w:val="46"/>
    <w:autoRedefine/>
    <w:qFormat/>
    <w:uiPriority w:val="0"/>
  </w:style>
  <w:style w:type="paragraph" w:customStyle="1" w:styleId="148">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49">
    <w:name w:val="font"/>
    <w:basedOn w:val="46"/>
    <w:autoRedefine/>
    <w:qFormat/>
    <w:uiPriority w:val="0"/>
  </w:style>
  <w:style w:type="character" w:customStyle="1" w:styleId="150">
    <w:name w:val="font11"/>
    <w:autoRedefine/>
    <w:qFormat/>
    <w:uiPriority w:val="0"/>
    <w:rPr>
      <w:rFonts w:hint="default" w:ascii="ˎ̥" w:hAnsi="ˎ̥"/>
    </w:rPr>
  </w:style>
  <w:style w:type="paragraph" w:customStyle="1" w:styleId="151">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2">
    <w:name w:val="proddescription"/>
    <w:basedOn w:val="46"/>
    <w:autoRedefine/>
    <w:qFormat/>
    <w:uiPriority w:val="0"/>
  </w:style>
  <w:style w:type="character" w:customStyle="1" w:styleId="153">
    <w:name w:val="prodheadlines"/>
    <w:basedOn w:val="46"/>
    <w:autoRedefine/>
    <w:qFormat/>
    <w:uiPriority w:val="0"/>
  </w:style>
  <w:style w:type="character" w:customStyle="1" w:styleId="154">
    <w:name w:val="text"/>
    <w:basedOn w:val="46"/>
    <w:autoRedefine/>
    <w:qFormat/>
    <w:uiPriority w:val="0"/>
  </w:style>
  <w:style w:type="paragraph" w:customStyle="1" w:styleId="155">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6">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57">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58">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9">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0">
    <w:name w:val="段落正文"/>
    <w:basedOn w:val="22"/>
    <w:autoRedefine/>
    <w:qFormat/>
    <w:uiPriority w:val="0"/>
    <w:pPr>
      <w:ind w:firstLine="560" w:firstLineChars="200"/>
    </w:pPr>
    <w:rPr>
      <w:sz w:val="28"/>
    </w:rPr>
  </w:style>
  <w:style w:type="character" w:customStyle="1" w:styleId="161">
    <w:name w:val="gray6"/>
    <w:basedOn w:val="46"/>
    <w:autoRedefine/>
    <w:qFormat/>
    <w:uiPriority w:val="0"/>
  </w:style>
  <w:style w:type="character" w:customStyle="1" w:styleId="162">
    <w:name w:val="style9"/>
    <w:basedOn w:val="46"/>
    <w:autoRedefine/>
    <w:qFormat/>
    <w:uiPriority w:val="0"/>
  </w:style>
  <w:style w:type="paragraph" w:customStyle="1" w:styleId="163">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4">
    <w:name w:val="grame"/>
    <w:basedOn w:val="46"/>
    <w:autoRedefine/>
    <w:qFormat/>
    <w:uiPriority w:val="0"/>
  </w:style>
  <w:style w:type="paragraph" w:customStyle="1" w:styleId="165">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Char1"/>
    <w:basedOn w:val="1"/>
    <w:autoRedefine/>
    <w:qFormat/>
    <w:uiPriority w:val="0"/>
    <w:pPr>
      <w:jc w:val="left"/>
    </w:pPr>
    <w:rPr>
      <w:rFonts w:ascii="Tahoma" w:hAnsi="Tahoma"/>
      <w:sz w:val="24"/>
      <w:szCs w:val="20"/>
    </w:rPr>
  </w:style>
  <w:style w:type="paragraph" w:customStyle="1" w:styleId="167">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8">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69">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0">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1">
    <w:name w:val="font6"/>
    <w:basedOn w:val="1"/>
    <w:autoRedefine/>
    <w:qFormat/>
    <w:uiPriority w:val="0"/>
    <w:pPr>
      <w:widowControl/>
      <w:spacing w:before="100" w:beforeAutospacing="1" w:after="100" w:afterAutospacing="1"/>
      <w:jc w:val="left"/>
    </w:pPr>
    <w:rPr>
      <w:kern w:val="0"/>
      <w:sz w:val="24"/>
    </w:rPr>
  </w:style>
  <w:style w:type="paragraph" w:customStyle="1" w:styleId="17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4">
    <w:name w:val="表格字"/>
    <w:basedOn w:val="1"/>
    <w:autoRedefine/>
    <w:qFormat/>
    <w:uiPriority w:val="0"/>
    <w:pPr>
      <w:adjustRightInd w:val="0"/>
      <w:jc w:val="center"/>
    </w:pPr>
    <w:rPr>
      <w:rFonts w:ascii="宋体"/>
      <w:sz w:val="24"/>
      <w:szCs w:val="20"/>
    </w:rPr>
  </w:style>
  <w:style w:type="character" w:customStyle="1" w:styleId="175">
    <w:name w:val="样式 小三 加粗"/>
    <w:autoRedefine/>
    <w:qFormat/>
    <w:uiPriority w:val="0"/>
    <w:rPr>
      <w:rFonts w:eastAsia="宋体"/>
      <w:b/>
      <w:bCs/>
      <w:sz w:val="32"/>
    </w:rPr>
  </w:style>
  <w:style w:type="paragraph" w:customStyle="1" w:styleId="1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8">
    <w:name w:val="Char Char Char"/>
    <w:basedOn w:val="1"/>
    <w:autoRedefine/>
    <w:qFormat/>
    <w:uiPriority w:val="0"/>
    <w:rPr>
      <w:rFonts w:ascii="Tahoma" w:hAnsi="Tahoma"/>
      <w:sz w:val="24"/>
      <w:szCs w:val="20"/>
    </w:rPr>
  </w:style>
  <w:style w:type="paragraph" w:customStyle="1" w:styleId="179">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0">
    <w:name w:val="info4"/>
    <w:basedOn w:val="46"/>
    <w:autoRedefine/>
    <w:qFormat/>
    <w:uiPriority w:val="0"/>
  </w:style>
  <w:style w:type="paragraph" w:customStyle="1" w:styleId="181">
    <w:name w:val="缩进正文"/>
    <w:basedOn w:val="1"/>
    <w:link w:val="182"/>
    <w:autoRedefine/>
    <w:qFormat/>
    <w:uiPriority w:val="0"/>
    <w:pPr>
      <w:ind w:firstLine="560" w:firstLineChars="200"/>
    </w:pPr>
    <w:rPr>
      <w:rFonts w:eastAsia="仿宋_GB2312" w:cs="宋体"/>
      <w:sz w:val="28"/>
      <w:szCs w:val="20"/>
    </w:rPr>
  </w:style>
  <w:style w:type="character" w:customStyle="1" w:styleId="182">
    <w:name w:val="缩进正文 Char"/>
    <w:link w:val="181"/>
    <w:autoRedefine/>
    <w:qFormat/>
    <w:uiPriority w:val="0"/>
    <w:rPr>
      <w:rFonts w:eastAsia="仿宋_GB2312" w:cs="宋体"/>
      <w:kern w:val="2"/>
      <w:sz w:val="28"/>
      <w:lang w:val="en-US" w:eastAsia="zh-CN" w:bidi="ar-SA"/>
    </w:rPr>
  </w:style>
  <w:style w:type="paragraph" w:customStyle="1" w:styleId="183">
    <w:name w:val="列出段落1"/>
    <w:basedOn w:val="1"/>
    <w:autoRedefine/>
    <w:qFormat/>
    <w:uiPriority w:val="0"/>
    <w:pPr>
      <w:ind w:firstLine="420" w:firstLineChars="200"/>
    </w:pPr>
    <w:rPr>
      <w:rFonts w:ascii="Calibri" w:hAnsi="Calibri" w:cs="Calibri"/>
      <w:szCs w:val="21"/>
    </w:rPr>
  </w:style>
  <w:style w:type="character" w:customStyle="1" w:styleId="184">
    <w:name w:val="批注文字 Char"/>
    <w:basedOn w:val="46"/>
    <w:link w:val="17"/>
    <w:autoRedefine/>
    <w:qFormat/>
    <w:uiPriority w:val="0"/>
    <w:rPr>
      <w:rFonts w:ascii="宋体"/>
      <w:sz w:val="34"/>
    </w:rPr>
  </w:style>
  <w:style w:type="character" w:customStyle="1" w:styleId="185">
    <w:name w:val="批注主题 Char"/>
    <w:basedOn w:val="184"/>
    <w:link w:val="41"/>
    <w:autoRedefine/>
    <w:qFormat/>
    <w:uiPriority w:val="0"/>
    <w:rPr>
      <w:rFonts w:ascii="宋体"/>
      <w:sz w:val="34"/>
    </w:rPr>
  </w:style>
  <w:style w:type="paragraph" w:customStyle="1" w:styleId="186">
    <w:name w:val="评价"/>
    <w:basedOn w:val="1"/>
    <w:autoRedefine/>
    <w:qFormat/>
    <w:uiPriority w:val="0"/>
    <w:pPr>
      <w:spacing w:afterLines="20"/>
      <w:ind w:firstLine="1446" w:firstLineChars="200"/>
    </w:pPr>
    <w:rPr>
      <w:rFonts w:ascii="Calibri" w:hAnsi="Calibri"/>
      <w:sz w:val="24"/>
    </w:rPr>
  </w:style>
  <w:style w:type="paragraph" w:customStyle="1" w:styleId="187">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88">
    <w:name w:val="alt-edited1"/>
    <w:autoRedefine/>
    <w:qFormat/>
    <w:uiPriority w:val="0"/>
    <w:rPr>
      <w:color w:val="4D90F0"/>
    </w:rPr>
  </w:style>
  <w:style w:type="paragraph" w:customStyle="1" w:styleId="189">
    <w:name w:val="toc 14"/>
    <w:next w:val="1"/>
    <w:autoRedefine/>
    <w:qFormat/>
    <w:uiPriority w:val="0"/>
    <w:pPr>
      <w:wordWrap w:val="0"/>
      <w:jc w:val="both"/>
    </w:pPr>
    <w:rPr>
      <w:rFonts w:ascii="Calibri" w:hAnsi="Calibri" w:eastAsia="宋体" w:cs="Times New Roman"/>
      <w:sz w:val="21"/>
      <w:lang w:val="en-US" w:eastAsia="zh-CN" w:bidi="ar-SA"/>
    </w:rPr>
  </w:style>
  <w:style w:type="character" w:customStyle="1" w:styleId="190">
    <w:name w:val="文档结构图 Char1"/>
    <w:autoRedefine/>
    <w:semiHidden/>
    <w:qFormat/>
    <w:uiPriority w:val="0"/>
    <w:rPr>
      <w:sz w:val="20"/>
    </w:rPr>
  </w:style>
  <w:style w:type="character" w:customStyle="1" w:styleId="191">
    <w:name w:val="文档结构图 Char"/>
    <w:autoRedefine/>
    <w:semiHidden/>
    <w:qFormat/>
    <w:uiPriority w:val="0"/>
    <w:rPr>
      <w:sz w:val="20"/>
    </w:rPr>
  </w:style>
  <w:style w:type="character" w:customStyle="1" w:styleId="192">
    <w:name w:val="short_text"/>
    <w:basedOn w:val="46"/>
    <w:autoRedefine/>
    <w:qFormat/>
    <w:uiPriority w:val="0"/>
    <w:rPr>
      <w:sz w:val="20"/>
    </w:rPr>
  </w:style>
  <w:style w:type="character" w:customStyle="1" w:styleId="193">
    <w:name w:val="标题 Char1"/>
    <w:autoRedefine/>
    <w:qFormat/>
    <w:uiPriority w:val="0"/>
    <w:rPr>
      <w:b/>
      <w:sz w:val="20"/>
    </w:rPr>
  </w:style>
  <w:style w:type="character" w:customStyle="1" w:styleId="194">
    <w:name w:val="正文文本缩进 3 Char1"/>
    <w:autoRedefine/>
    <w:semiHidden/>
    <w:qFormat/>
    <w:uiPriority w:val="0"/>
    <w:rPr>
      <w:sz w:val="20"/>
    </w:rPr>
  </w:style>
  <w:style w:type="character" w:customStyle="1" w:styleId="195">
    <w:name w:val="font21"/>
    <w:autoRedefine/>
    <w:qFormat/>
    <w:uiPriority w:val="0"/>
    <w:rPr>
      <w:color w:val="FF0000"/>
      <w:sz w:val="20"/>
      <w:u w:val="none"/>
    </w:rPr>
  </w:style>
  <w:style w:type="character" w:customStyle="1" w:styleId="196">
    <w:name w:val="不明显强调1"/>
    <w:autoRedefine/>
    <w:qFormat/>
    <w:uiPriority w:val="0"/>
    <w:rPr>
      <w:i/>
      <w:sz w:val="20"/>
    </w:rPr>
  </w:style>
  <w:style w:type="character" w:customStyle="1" w:styleId="197">
    <w:name w:val="font71"/>
    <w:autoRedefine/>
    <w:qFormat/>
    <w:uiPriority w:val="0"/>
    <w:rPr>
      <w:sz w:val="20"/>
      <w:u w:val="none"/>
    </w:rPr>
  </w:style>
  <w:style w:type="character" w:customStyle="1" w:styleId="198">
    <w:name w:val="页眉 Char1"/>
    <w:autoRedefine/>
    <w:semiHidden/>
    <w:qFormat/>
    <w:uiPriority w:val="0"/>
    <w:rPr>
      <w:sz w:val="20"/>
    </w:rPr>
  </w:style>
  <w:style w:type="character" w:customStyle="1" w:styleId="199">
    <w:name w:val="正文文本缩进 2 Char1"/>
    <w:autoRedefine/>
    <w:semiHidden/>
    <w:qFormat/>
    <w:uiPriority w:val="0"/>
    <w:rPr>
      <w:sz w:val="20"/>
    </w:rPr>
  </w:style>
  <w:style w:type="character" w:customStyle="1" w:styleId="200">
    <w:name w:val="font61"/>
    <w:autoRedefine/>
    <w:qFormat/>
    <w:uiPriority w:val="0"/>
    <w:rPr>
      <w:sz w:val="20"/>
      <w:u w:val="none"/>
    </w:rPr>
  </w:style>
  <w:style w:type="character" w:customStyle="1" w:styleId="201">
    <w:name w:val="纯文本 Char1"/>
    <w:autoRedefine/>
    <w:semiHidden/>
    <w:qFormat/>
    <w:uiPriority w:val="0"/>
    <w:rPr>
      <w:sz w:val="20"/>
    </w:rPr>
  </w:style>
  <w:style w:type="character" w:customStyle="1" w:styleId="202">
    <w:name w:val="正文文本 3 Char1"/>
    <w:autoRedefine/>
    <w:semiHidden/>
    <w:qFormat/>
    <w:uiPriority w:val="0"/>
    <w:rPr>
      <w:sz w:val="20"/>
    </w:rPr>
  </w:style>
  <w:style w:type="character" w:customStyle="1" w:styleId="203">
    <w:name w:val="正文文本缩进 Char1"/>
    <w:autoRedefine/>
    <w:semiHidden/>
    <w:qFormat/>
    <w:uiPriority w:val="0"/>
    <w:rPr>
      <w:sz w:val="20"/>
    </w:rPr>
  </w:style>
  <w:style w:type="character" w:customStyle="1" w:styleId="204">
    <w:name w:val="明显参考1"/>
    <w:autoRedefine/>
    <w:qFormat/>
    <w:uiPriority w:val="0"/>
    <w:rPr>
      <w:b/>
      <w:sz w:val="20"/>
    </w:rPr>
  </w:style>
  <w:style w:type="character" w:customStyle="1" w:styleId="205">
    <w:name w:val="apple-converted-space"/>
    <w:autoRedefine/>
    <w:qFormat/>
    <w:uiPriority w:val="0"/>
    <w:rPr>
      <w:sz w:val="20"/>
    </w:rPr>
  </w:style>
  <w:style w:type="character" w:customStyle="1" w:styleId="206">
    <w:name w:val="书籍标题1"/>
    <w:autoRedefine/>
    <w:qFormat/>
    <w:uiPriority w:val="0"/>
    <w:rPr>
      <w:b/>
      <w:i/>
      <w:sz w:val="20"/>
    </w:rPr>
  </w:style>
  <w:style w:type="character" w:customStyle="1" w:styleId="207">
    <w:name w:val="long_text"/>
    <w:autoRedefine/>
    <w:qFormat/>
    <w:uiPriority w:val="0"/>
    <w:rPr>
      <w:sz w:val="20"/>
    </w:rPr>
  </w:style>
  <w:style w:type="character" w:customStyle="1" w:styleId="208">
    <w:name w:val="日期 Char1"/>
    <w:autoRedefine/>
    <w:semiHidden/>
    <w:qFormat/>
    <w:uiPriority w:val="0"/>
    <w:rPr>
      <w:sz w:val="20"/>
    </w:rPr>
  </w:style>
  <w:style w:type="character" w:customStyle="1" w:styleId="209">
    <w:name w:val="批注文字 Char1"/>
    <w:autoRedefine/>
    <w:semiHidden/>
    <w:qFormat/>
    <w:uiPriority w:val="0"/>
    <w:rPr>
      <w:sz w:val="20"/>
    </w:rPr>
  </w:style>
  <w:style w:type="character" w:customStyle="1" w:styleId="210">
    <w:name w:val="明显强调1"/>
    <w:autoRedefine/>
    <w:qFormat/>
    <w:uiPriority w:val="0"/>
    <w:rPr>
      <w:i/>
      <w:sz w:val="20"/>
    </w:rPr>
  </w:style>
  <w:style w:type="character" w:customStyle="1" w:styleId="211">
    <w:name w:val="16"/>
    <w:autoRedefine/>
    <w:qFormat/>
    <w:uiPriority w:val="0"/>
    <w:rPr>
      <w:b/>
      <w:color w:val="FF0356"/>
      <w:sz w:val="20"/>
    </w:rPr>
  </w:style>
  <w:style w:type="character" w:customStyle="1" w:styleId="212">
    <w:name w:val="批注主题 Char1"/>
    <w:autoRedefine/>
    <w:semiHidden/>
    <w:qFormat/>
    <w:uiPriority w:val="0"/>
    <w:rPr>
      <w:b/>
      <w:sz w:val="20"/>
    </w:rPr>
  </w:style>
  <w:style w:type="character" w:customStyle="1" w:styleId="213">
    <w:name w:val="正文文本 2 Char1"/>
    <w:autoRedefine/>
    <w:semiHidden/>
    <w:qFormat/>
    <w:uiPriority w:val="0"/>
    <w:rPr>
      <w:sz w:val="20"/>
    </w:rPr>
  </w:style>
  <w:style w:type="character" w:customStyle="1" w:styleId="214">
    <w:name w:val="font31"/>
    <w:autoRedefine/>
    <w:qFormat/>
    <w:uiPriority w:val="0"/>
    <w:rPr>
      <w:color w:val="FF0000"/>
      <w:sz w:val="20"/>
      <w:u w:val="none"/>
      <w:vertAlign w:val="superscript"/>
    </w:rPr>
  </w:style>
  <w:style w:type="character" w:customStyle="1" w:styleId="215">
    <w:name w:val="不明显参考1"/>
    <w:autoRedefine/>
    <w:qFormat/>
    <w:uiPriority w:val="0"/>
    <w:rPr>
      <w:sz w:val="20"/>
    </w:rPr>
  </w:style>
  <w:style w:type="character" w:customStyle="1" w:styleId="216">
    <w:name w:val="HTML 预设格式 Char1"/>
    <w:autoRedefine/>
    <w:semiHidden/>
    <w:qFormat/>
    <w:uiPriority w:val="0"/>
    <w:rPr>
      <w:sz w:val="20"/>
    </w:rPr>
  </w:style>
  <w:style w:type="character" w:customStyle="1" w:styleId="217">
    <w:name w:val="font01"/>
    <w:autoRedefine/>
    <w:qFormat/>
    <w:uiPriority w:val="0"/>
    <w:rPr>
      <w:color w:val="FF0000"/>
      <w:sz w:val="20"/>
      <w:u w:val="none"/>
      <w:vertAlign w:val="superscript"/>
    </w:rPr>
  </w:style>
  <w:style w:type="character" w:customStyle="1" w:styleId="218">
    <w:name w:val="页脚 Char1"/>
    <w:autoRedefine/>
    <w:semiHidden/>
    <w:qFormat/>
    <w:uiPriority w:val="0"/>
    <w:rPr>
      <w:sz w:val="20"/>
    </w:rPr>
  </w:style>
  <w:style w:type="character" w:customStyle="1" w:styleId="219">
    <w:name w:val="批注框文本 Char1"/>
    <w:autoRedefine/>
    <w:semiHidden/>
    <w:qFormat/>
    <w:uiPriority w:val="0"/>
    <w:rPr>
      <w:sz w:val="20"/>
    </w:rPr>
  </w:style>
  <w:style w:type="paragraph" w:customStyle="1" w:styleId="220">
    <w:name w:val="列出段落2"/>
    <w:basedOn w:val="1"/>
    <w:next w:val="221"/>
    <w:autoRedefine/>
    <w:qFormat/>
    <w:uiPriority w:val="0"/>
    <w:pPr>
      <w:ind w:firstLine="420"/>
    </w:pPr>
    <w:rPr>
      <w:rFonts w:hAnsi="Calibri"/>
      <w:kern w:val="0"/>
      <w:szCs w:val="20"/>
    </w:rPr>
  </w:style>
  <w:style w:type="paragraph" w:customStyle="1" w:styleId="221">
    <w:name w:val="toc 81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22">
    <w:name w:val="toc 6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23">
    <w:name w:val="toc 41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4">
    <w:name w:val="toc 41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5">
    <w:name w:val="xl86"/>
    <w:basedOn w:val="1"/>
    <w:next w:val="22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26">
    <w:name w:val="toc 51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27">
    <w:name w:val="TOC Heading4"/>
    <w:next w:val="1"/>
    <w:autoRedefine/>
    <w:qFormat/>
    <w:uiPriority w:val="0"/>
    <w:pPr>
      <w:wordWrap w:val="0"/>
    </w:pPr>
    <w:rPr>
      <w:rFonts w:ascii="Calibri" w:hAnsi="Calibri" w:eastAsia="宋体" w:cs="Times New Roman"/>
      <w:sz w:val="32"/>
      <w:lang w:val="en-US" w:eastAsia="zh-CN" w:bidi="ar-SA"/>
    </w:rPr>
  </w:style>
  <w:style w:type="paragraph" w:customStyle="1" w:styleId="228">
    <w:name w:val="toc 15"/>
    <w:next w:val="1"/>
    <w:autoRedefine/>
    <w:qFormat/>
    <w:uiPriority w:val="0"/>
    <w:pPr>
      <w:wordWrap w:val="0"/>
      <w:jc w:val="both"/>
    </w:pPr>
    <w:rPr>
      <w:rFonts w:ascii="Calibri" w:hAnsi="Calibri" w:eastAsia="宋体" w:cs="Times New Roman"/>
      <w:sz w:val="21"/>
      <w:lang w:val="en-US" w:eastAsia="zh-CN" w:bidi="ar-SA"/>
    </w:rPr>
  </w:style>
  <w:style w:type="paragraph" w:customStyle="1" w:styleId="229">
    <w:name w:val="TOC Heading2"/>
    <w:next w:val="1"/>
    <w:autoRedefine/>
    <w:qFormat/>
    <w:uiPriority w:val="0"/>
    <w:pPr>
      <w:wordWrap w:val="0"/>
    </w:pPr>
    <w:rPr>
      <w:rFonts w:ascii="Calibri" w:hAnsi="Calibri" w:eastAsia="宋体" w:cs="Times New Roman"/>
      <w:sz w:val="32"/>
      <w:lang w:val="en-US" w:eastAsia="zh-CN" w:bidi="ar-SA"/>
    </w:rPr>
  </w:style>
  <w:style w:type="paragraph" w:customStyle="1" w:styleId="230">
    <w:name w:val="TOC Heading1"/>
    <w:next w:val="1"/>
    <w:autoRedefine/>
    <w:qFormat/>
    <w:uiPriority w:val="0"/>
    <w:pPr>
      <w:wordWrap w:val="0"/>
    </w:pPr>
    <w:rPr>
      <w:rFonts w:ascii="Calibri" w:hAnsi="Calibri" w:eastAsia="宋体" w:cs="Times New Roman"/>
      <w:sz w:val="32"/>
      <w:lang w:val="en-US" w:eastAsia="zh-CN" w:bidi="ar-SA"/>
    </w:rPr>
  </w:style>
  <w:style w:type="paragraph" w:customStyle="1" w:styleId="231">
    <w:name w:val="toc 7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32">
    <w:name w:val="font7"/>
    <w:basedOn w:val="1"/>
    <w:next w:val="233"/>
    <w:autoRedefine/>
    <w:qFormat/>
    <w:uiPriority w:val="0"/>
    <w:pPr>
      <w:widowControl/>
      <w:spacing w:before="280" w:after="280"/>
    </w:pPr>
    <w:rPr>
      <w:rFonts w:ascii="Arial" w:hAnsi="Calibri"/>
      <w:kern w:val="0"/>
      <w:sz w:val="18"/>
      <w:szCs w:val="20"/>
    </w:rPr>
  </w:style>
  <w:style w:type="paragraph" w:customStyle="1" w:styleId="233">
    <w:name w:val="toc 810"/>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34">
    <w:name w:val="xl113"/>
    <w:basedOn w:val="1"/>
    <w:next w:val="235"/>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35">
    <w:name w:val="TOC Heading10"/>
    <w:next w:val="1"/>
    <w:autoRedefine/>
    <w:qFormat/>
    <w:uiPriority w:val="0"/>
    <w:pPr>
      <w:wordWrap w:val="0"/>
    </w:pPr>
    <w:rPr>
      <w:rFonts w:ascii="Calibri" w:hAnsi="Calibri" w:eastAsia="宋体" w:cs="Times New Roman"/>
      <w:sz w:val="32"/>
      <w:lang w:val="en-US" w:eastAsia="zh-CN" w:bidi="ar-SA"/>
    </w:rPr>
  </w:style>
  <w:style w:type="paragraph" w:customStyle="1" w:styleId="236">
    <w:name w:val="toc 89"/>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37">
    <w:name w:val="xl73"/>
    <w:basedOn w:val="1"/>
    <w:next w:val="23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38">
    <w:name w:val="toc 61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39">
    <w:name w:val="xl79"/>
    <w:basedOn w:val="1"/>
    <w:next w:val="240"/>
    <w:autoRedefine/>
    <w:qFormat/>
    <w:uiPriority w:val="0"/>
    <w:pPr>
      <w:widowControl/>
      <w:shd w:val="clear" w:color="000000" w:fill="FFFFFF"/>
      <w:spacing w:before="280" w:after="280"/>
    </w:pPr>
    <w:rPr>
      <w:rFonts w:ascii="宋体" w:hAnsi="Calibri"/>
      <w:b/>
      <w:kern w:val="0"/>
      <w:sz w:val="20"/>
      <w:szCs w:val="20"/>
    </w:rPr>
  </w:style>
  <w:style w:type="paragraph" w:customStyle="1" w:styleId="240">
    <w:name w:val="toc 87"/>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41">
    <w:name w:val="toc 11"/>
    <w:next w:val="1"/>
    <w:autoRedefine/>
    <w:qFormat/>
    <w:uiPriority w:val="0"/>
    <w:pPr>
      <w:wordWrap w:val="0"/>
      <w:jc w:val="both"/>
    </w:pPr>
    <w:rPr>
      <w:rFonts w:ascii="Calibri" w:hAnsi="Calibri" w:eastAsia="宋体" w:cs="Times New Roman"/>
      <w:sz w:val="21"/>
      <w:lang w:val="en-US" w:eastAsia="zh-CN" w:bidi="ar-SA"/>
    </w:rPr>
  </w:style>
  <w:style w:type="paragraph" w:customStyle="1" w:styleId="242">
    <w:name w:val="toc 410"/>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43">
    <w:name w:val="toc 61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4">
    <w:name w:val="xl112"/>
    <w:basedOn w:val="1"/>
    <w:next w:val="243"/>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45">
    <w:name w:val="toc 51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46">
    <w:name w:val="toc 4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47">
    <w:name w:val="toc 41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48">
    <w:name w:val="xl74"/>
    <w:basedOn w:val="1"/>
    <w:next w:val="249"/>
    <w:autoRedefine/>
    <w:qFormat/>
    <w:uiPriority w:val="0"/>
    <w:pPr>
      <w:widowControl/>
      <w:shd w:val="clear" w:color="000000" w:fill="FFFFFF"/>
      <w:spacing w:before="280" w:after="280"/>
    </w:pPr>
    <w:rPr>
      <w:rFonts w:ascii="宋体" w:hAnsi="Calibri"/>
      <w:kern w:val="0"/>
      <w:sz w:val="20"/>
      <w:szCs w:val="20"/>
    </w:rPr>
  </w:style>
  <w:style w:type="paragraph" w:customStyle="1" w:styleId="249">
    <w:name w:val="toc 57"/>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0">
    <w:name w:val="toc 91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1">
    <w:name w:val="toc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38"/>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3">
    <w:name w:val="toc 9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4">
    <w:name w:val="列出段落5"/>
    <w:basedOn w:val="1"/>
    <w:next w:val="255"/>
    <w:autoRedefine/>
    <w:qFormat/>
    <w:uiPriority w:val="0"/>
    <w:pPr>
      <w:ind w:firstLine="420"/>
    </w:pPr>
    <w:rPr>
      <w:rFonts w:hAnsi="Calibri"/>
      <w:kern w:val="0"/>
      <w:szCs w:val="20"/>
    </w:rPr>
  </w:style>
  <w:style w:type="paragraph" w:customStyle="1" w:styleId="255">
    <w:name w:val="toc 31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6">
    <w:name w:val="xl66"/>
    <w:basedOn w:val="1"/>
    <w:next w:val="257"/>
    <w:autoRedefine/>
    <w:qFormat/>
    <w:uiPriority w:val="0"/>
    <w:pPr>
      <w:widowControl/>
      <w:shd w:val="clear" w:color="000000" w:fill="FFFFFF"/>
      <w:spacing w:before="280" w:after="280"/>
    </w:pPr>
    <w:rPr>
      <w:rFonts w:ascii="宋体" w:hAnsi="Calibri"/>
      <w:kern w:val="0"/>
      <w:sz w:val="20"/>
      <w:szCs w:val="20"/>
    </w:rPr>
  </w:style>
  <w:style w:type="paragraph" w:customStyle="1" w:styleId="257">
    <w:name w:val="toc 5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8">
    <w:name w:val="TOC Heading3"/>
    <w:next w:val="1"/>
    <w:autoRedefine/>
    <w:qFormat/>
    <w:uiPriority w:val="0"/>
    <w:pPr>
      <w:wordWrap w:val="0"/>
    </w:pPr>
    <w:rPr>
      <w:rFonts w:ascii="Calibri" w:hAnsi="Calibri" w:eastAsia="宋体" w:cs="Times New Roman"/>
      <w:sz w:val="32"/>
      <w:lang w:val="en-US" w:eastAsia="zh-CN" w:bidi="ar-SA"/>
    </w:rPr>
  </w:style>
  <w:style w:type="paragraph" w:customStyle="1" w:styleId="259">
    <w:name w:val="toc 6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60">
    <w:name w:val="toc 2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61">
    <w:name w:val="xl84"/>
    <w:basedOn w:val="1"/>
    <w:next w:val="262"/>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62">
    <w:name w:val="toc 99"/>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63">
    <w:name w:val="xl81"/>
    <w:basedOn w:val="1"/>
    <w:next w:val="264"/>
    <w:autoRedefine/>
    <w:qFormat/>
    <w:uiPriority w:val="0"/>
    <w:pPr>
      <w:widowControl/>
      <w:shd w:val="clear" w:color="000000" w:fill="FFFFFF"/>
      <w:spacing w:before="280" w:after="280"/>
    </w:pPr>
    <w:rPr>
      <w:rFonts w:ascii="宋体" w:hAnsi="Calibri"/>
      <w:kern w:val="0"/>
      <w:sz w:val="20"/>
      <w:szCs w:val="20"/>
    </w:rPr>
  </w:style>
  <w:style w:type="paragraph" w:customStyle="1" w:styleId="264">
    <w:name w:val="toc 59"/>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5">
    <w:name w:val="目录 11"/>
    <w:next w:val="1"/>
    <w:autoRedefine/>
    <w:qFormat/>
    <w:uiPriority w:val="0"/>
    <w:pPr>
      <w:wordWrap w:val="0"/>
      <w:jc w:val="both"/>
    </w:pPr>
    <w:rPr>
      <w:rFonts w:ascii="Calibri" w:hAnsi="Calibri" w:eastAsia="宋体" w:cs="Times New Roman"/>
      <w:sz w:val="21"/>
      <w:lang w:val="en-US" w:eastAsia="zh-CN" w:bidi="ar-SA"/>
    </w:rPr>
  </w:style>
  <w:style w:type="paragraph" w:customStyle="1" w:styleId="266">
    <w:name w:val="toc 51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7">
    <w:name w:val="TOC Heading12"/>
    <w:next w:val="1"/>
    <w:autoRedefine/>
    <w:qFormat/>
    <w:uiPriority w:val="0"/>
    <w:pPr>
      <w:wordWrap w:val="0"/>
    </w:pPr>
    <w:rPr>
      <w:rFonts w:ascii="Calibri" w:hAnsi="Calibri" w:eastAsia="宋体" w:cs="Times New Roman"/>
      <w:sz w:val="32"/>
      <w:lang w:val="en-US" w:eastAsia="zh-CN" w:bidi="ar-SA"/>
    </w:rPr>
  </w:style>
  <w:style w:type="paragraph" w:customStyle="1" w:styleId="268">
    <w:name w:val="TOC Heading8"/>
    <w:next w:val="1"/>
    <w:autoRedefine/>
    <w:qFormat/>
    <w:uiPriority w:val="0"/>
    <w:pPr>
      <w:wordWrap w:val="0"/>
    </w:pPr>
    <w:rPr>
      <w:rFonts w:ascii="Calibri" w:hAnsi="Calibri" w:eastAsia="宋体" w:cs="Times New Roman"/>
      <w:sz w:val="32"/>
      <w:lang w:val="en-US" w:eastAsia="zh-CN" w:bidi="ar-SA"/>
    </w:rPr>
  </w:style>
  <w:style w:type="paragraph" w:customStyle="1" w:styleId="269">
    <w:name w:val="toc 71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0">
    <w:name w:val="toc 21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1">
    <w:name w:val="目录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2">
    <w:name w:val="toc 4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3">
    <w:name w:val="xl116"/>
    <w:basedOn w:val="1"/>
    <w:next w:val="274"/>
    <w:autoRedefine/>
    <w:qFormat/>
    <w:uiPriority w:val="0"/>
    <w:pPr>
      <w:widowControl/>
      <w:shd w:val="clear" w:color="000000" w:fill="FFFFFF"/>
      <w:spacing w:before="280" w:after="280"/>
      <w:jc w:val="center"/>
    </w:pPr>
    <w:rPr>
      <w:rFonts w:ascii="Arial Narrow" w:hAnsi="Calibri"/>
      <w:kern w:val="0"/>
      <w:sz w:val="20"/>
      <w:szCs w:val="20"/>
    </w:rPr>
  </w:style>
  <w:style w:type="paragraph" w:customStyle="1" w:styleId="274">
    <w:name w:val="toc 78"/>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5">
    <w:name w:val="font8"/>
    <w:basedOn w:val="1"/>
    <w:next w:val="276"/>
    <w:autoRedefine/>
    <w:qFormat/>
    <w:uiPriority w:val="0"/>
    <w:pPr>
      <w:widowControl/>
      <w:spacing w:before="280" w:after="280"/>
    </w:pPr>
    <w:rPr>
      <w:rFonts w:ascii="Arial" w:hAnsi="Calibri"/>
      <w:kern w:val="0"/>
      <w:sz w:val="20"/>
      <w:szCs w:val="20"/>
    </w:rPr>
  </w:style>
  <w:style w:type="paragraph" w:customStyle="1" w:styleId="276">
    <w:name w:val="TOC Heading11"/>
    <w:next w:val="1"/>
    <w:autoRedefine/>
    <w:qFormat/>
    <w:uiPriority w:val="0"/>
    <w:pPr>
      <w:wordWrap w:val="0"/>
    </w:pPr>
    <w:rPr>
      <w:rFonts w:ascii="Calibri" w:hAnsi="Calibri" w:eastAsia="宋体" w:cs="Times New Roman"/>
      <w:sz w:val="32"/>
      <w:lang w:val="en-US" w:eastAsia="zh-CN" w:bidi="ar-SA"/>
    </w:rPr>
  </w:style>
  <w:style w:type="paragraph" w:customStyle="1" w:styleId="277">
    <w:name w:val="xl69"/>
    <w:basedOn w:val="1"/>
    <w:next w:val="278"/>
    <w:autoRedefine/>
    <w:qFormat/>
    <w:uiPriority w:val="0"/>
    <w:pPr>
      <w:widowControl/>
      <w:shd w:val="clear" w:color="000000" w:fill="FFFFFF"/>
      <w:spacing w:before="280" w:after="280"/>
    </w:pPr>
    <w:rPr>
      <w:rFonts w:ascii="宋体" w:hAnsi="Calibri"/>
      <w:b/>
      <w:kern w:val="0"/>
      <w:sz w:val="20"/>
      <w:szCs w:val="20"/>
    </w:rPr>
  </w:style>
  <w:style w:type="paragraph" w:customStyle="1" w:styleId="278">
    <w:name w:val="toc 48"/>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9">
    <w:name w:val="toc 81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80">
    <w:name w:val="目录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81">
    <w:name w:val="列出段落3"/>
    <w:basedOn w:val="1"/>
    <w:next w:val="282"/>
    <w:autoRedefine/>
    <w:qFormat/>
    <w:uiPriority w:val="0"/>
    <w:pPr>
      <w:ind w:firstLine="420"/>
    </w:pPr>
    <w:rPr>
      <w:rFonts w:hAnsi="Calibri"/>
      <w:kern w:val="0"/>
      <w:szCs w:val="20"/>
    </w:rPr>
  </w:style>
  <w:style w:type="paragraph" w:customStyle="1" w:styleId="282">
    <w:name w:val="toc 21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83">
    <w:name w:val="TOC 标题1"/>
    <w:next w:val="1"/>
    <w:autoRedefine/>
    <w:qFormat/>
    <w:uiPriority w:val="0"/>
    <w:pPr>
      <w:wordWrap w:val="0"/>
    </w:pPr>
    <w:rPr>
      <w:rFonts w:ascii="Calibri" w:hAnsi="Calibri" w:eastAsia="宋体" w:cs="Times New Roman"/>
      <w:sz w:val="32"/>
      <w:lang w:val="en-US" w:eastAsia="zh-CN" w:bidi="ar-SA"/>
    </w:rPr>
  </w:style>
  <w:style w:type="paragraph" w:customStyle="1" w:styleId="284">
    <w:name w:val="TOC Heading5"/>
    <w:next w:val="1"/>
    <w:autoRedefine/>
    <w:qFormat/>
    <w:uiPriority w:val="0"/>
    <w:pPr>
      <w:wordWrap w:val="0"/>
    </w:pPr>
    <w:rPr>
      <w:rFonts w:ascii="Calibri" w:hAnsi="Calibri" w:eastAsia="宋体" w:cs="Times New Roman"/>
      <w:sz w:val="32"/>
      <w:lang w:val="en-US" w:eastAsia="zh-CN" w:bidi="ar-SA"/>
    </w:rPr>
  </w:style>
  <w:style w:type="paragraph" w:customStyle="1" w:styleId="285">
    <w:name w:val="toc 31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86">
    <w:name w:val="toc 71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87">
    <w:name w:val="xl115"/>
    <w:basedOn w:val="1"/>
    <w:next w:val="28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88">
    <w:name w:val="toc 71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89">
    <w:name w:val="toc 6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90">
    <w:name w:val="toc 2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91">
    <w:name w:val="toc 5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92">
    <w:name w:val="xl93"/>
    <w:basedOn w:val="1"/>
    <w:next w:val="293"/>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3">
    <w:name w:val="toc 112"/>
    <w:next w:val="1"/>
    <w:autoRedefine/>
    <w:qFormat/>
    <w:uiPriority w:val="0"/>
    <w:pPr>
      <w:wordWrap w:val="0"/>
      <w:jc w:val="both"/>
    </w:pPr>
    <w:rPr>
      <w:rFonts w:ascii="Calibri" w:hAnsi="Calibri" w:eastAsia="宋体" w:cs="Times New Roman"/>
      <w:sz w:val="21"/>
      <w:lang w:val="en-US" w:eastAsia="zh-CN" w:bidi="ar-SA"/>
    </w:rPr>
  </w:style>
  <w:style w:type="paragraph" w:customStyle="1" w:styleId="294">
    <w:name w:val="xl96"/>
    <w:basedOn w:val="1"/>
    <w:next w:val="24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xl106"/>
    <w:basedOn w:val="1"/>
    <w:next w:val="279"/>
    <w:autoRedefine/>
    <w:qFormat/>
    <w:uiPriority w:val="0"/>
    <w:pPr>
      <w:widowControl/>
      <w:shd w:val="clear" w:color="000000" w:fill="FFFFFF"/>
      <w:spacing w:before="280" w:after="280"/>
    </w:pPr>
    <w:rPr>
      <w:rFonts w:ascii="宋体" w:hAnsi="Calibri"/>
      <w:kern w:val="0"/>
      <w:sz w:val="20"/>
      <w:szCs w:val="20"/>
    </w:rPr>
  </w:style>
  <w:style w:type="paragraph" w:customStyle="1" w:styleId="296">
    <w:name w:val="toc 3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97">
    <w:name w:val="TOC Heading14"/>
    <w:next w:val="1"/>
    <w:autoRedefine/>
    <w:qFormat/>
    <w:uiPriority w:val="0"/>
    <w:pPr>
      <w:wordWrap w:val="0"/>
    </w:pPr>
    <w:rPr>
      <w:rFonts w:ascii="Calibri" w:hAnsi="Calibri" w:eastAsia="宋体" w:cs="Times New Roman"/>
      <w:sz w:val="32"/>
      <w:lang w:val="en-US" w:eastAsia="zh-CN" w:bidi="ar-SA"/>
    </w:rPr>
  </w:style>
  <w:style w:type="paragraph" w:customStyle="1" w:styleId="298">
    <w:name w:val="Char Char Char Char Char Char Char1"/>
    <w:basedOn w:val="1"/>
    <w:next w:val="299"/>
    <w:autoRedefine/>
    <w:qFormat/>
    <w:uiPriority w:val="0"/>
    <w:pPr>
      <w:widowControl/>
      <w:spacing w:after="160" w:line="240" w:lineRule="exact"/>
    </w:pPr>
    <w:rPr>
      <w:rFonts w:hAnsi="Calibri"/>
      <w:kern w:val="0"/>
      <w:szCs w:val="20"/>
    </w:rPr>
  </w:style>
  <w:style w:type="paragraph" w:customStyle="1" w:styleId="299">
    <w:name w:val="toc 67"/>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00">
    <w:name w:val="列出段落4"/>
    <w:basedOn w:val="1"/>
    <w:next w:val="301"/>
    <w:autoRedefine/>
    <w:qFormat/>
    <w:uiPriority w:val="0"/>
    <w:pPr>
      <w:ind w:firstLine="420"/>
    </w:pPr>
    <w:rPr>
      <w:rFonts w:hAnsi="Calibri"/>
      <w:kern w:val="0"/>
      <w:szCs w:val="20"/>
    </w:rPr>
  </w:style>
  <w:style w:type="paragraph" w:customStyle="1" w:styleId="301">
    <w:name w:val="TOC Heading9"/>
    <w:next w:val="1"/>
    <w:autoRedefine/>
    <w:qFormat/>
    <w:uiPriority w:val="0"/>
    <w:pPr>
      <w:wordWrap w:val="0"/>
    </w:pPr>
    <w:rPr>
      <w:rFonts w:ascii="Calibri" w:hAnsi="Calibri" w:eastAsia="宋体" w:cs="Times New Roman"/>
      <w:sz w:val="32"/>
      <w:lang w:val="en-US" w:eastAsia="zh-CN" w:bidi="ar-SA"/>
    </w:rPr>
  </w:style>
  <w:style w:type="paragraph" w:customStyle="1" w:styleId="302">
    <w:name w:val="xl71"/>
    <w:basedOn w:val="1"/>
    <w:next w:val="303"/>
    <w:autoRedefine/>
    <w:qFormat/>
    <w:uiPriority w:val="0"/>
    <w:pPr>
      <w:widowControl/>
      <w:shd w:val="clear" w:color="000000" w:fill="FFFFFF"/>
      <w:spacing w:before="280" w:after="280"/>
    </w:pPr>
    <w:rPr>
      <w:rFonts w:ascii="宋体" w:hAnsi="Calibri"/>
      <w:kern w:val="0"/>
      <w:sz w:val="24"/>
      <w:szCs w:val="20"/>
    </w:rPr>
  </w:style>
  <w:style w:type="paragraph" w:customStyle="1" w:styleId="303">
    <w:name w:val="toc 115"/>
    <w:next w:val="1"/>
    <w:autoRedefine/>
    <w:qFormat/>
    <w:uiPriority w:val="0"/>
    <w:pPr>
      <w:wordWrap w:val="0"/>
      <w:jc w:val="both"/>
    </w:pPr>
    <w:rPr>
      <w:rFonts w:ascii="Calibri" w:hAnsi="Calibri" w:eastAsia="宋体" w:cs="Times New Roman"/>
      <w:sz w:val="21"/>
      <w:lang w:val="en-US" w:eastAsia="zh-CN" w:bidi="ar-SA"/>
    </w:rPr>
  </w:style>
  <w:style w:type="paragraph" w:customStyle="1" w:styleId="304">
    <w:name w:val="toc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05">
    <w:name w:val="toc 47"/>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06">
    <w:name w:val="xl108"/>
    <w:basedOn w:val="1"/>
    <w:next w:val="307"/>
    <w:autoRedefine/>
    <w:qFormat/>
    <w:uiPriority w:val="0"/>
    <w:pPr>
      <w:widowControl/>
      <w:shd w:val="clear" w:color="000000" w:fill="FFFFFF"/>
      <w:spacing w:before="280" w:after="280"/>
    </w:pPr>
    <w:rPr>
      <w:rFonts w:ascii="宋体" w:hAnsi="Calibri"/>
      <w:kern w:val="0"/>
      <w:sz w:val="18"/>
      <w:szCs w:val="20"/>
    </w:rPr>
  </w:style>
  <w:style w:type="paragraph" w:customStyle="1" w:styleId="307">
    <w:name w:val="toc 18"/>
    <w:next w:val="1"/>
    <w:autoRedefine/>
    <w:qFormat/>
    <w:uiPriority w:val="0"/>
    <w:pPr>
      <w:wordWrap w:val="0"/>
      <w:jc w:val="both"/>
    </w:pPr>
    <w:rPr>
      <w:rFonts w:ascii="Calibri" w:hAnsi="Calibri" w:eastAsia="宋体" w:cs="Times New Roman"/>
      <w:sz w:val="21"/>
      <w:lang w:val="en-US" w:eastAsia="zh-CN" w:bidi="ar-SA"/>
    </w:rPr>
  </w:style>
  <w:style w:type="paragraph" w:customStyle="1" w:styleId="308">
    <w:name w:val="TOC Heading7"/>
    <w:next w:val="1"/>
    <w:autoRedefine/>
    <w:qFormat/>
    <w:uiPriority w:val="0"/>
    <w:pPr>
      <w:wordWrap w:val="0"/>
    </w:pPr>
    <w:rPr>
      <w:rFonts w:ascii="Calibri" w:hAnsi="Calibri" w:eastAsia="宋体" w:cs="Times New Roman"/>
      <w:sz w:val="32"/>
      <w:lang w:val="en-US" w:eastAsia="zh-CN" w:bidi="ar-SA"/>
    </w:rPr>
  </w:style>
  <w:style w:type="character" w:customStyle="1" w:styleId="309">
    <w:name w:val="副标题 Char"/>
    <w:basedOn w:val="46"/>
    <w:link w:val="31"/>
    <w:autoRedefine/>
    <w:qFormat/>
    <w:uiPriority w:val="0"/>
    <w:rPr>
      <w:rFonts w:ascii="Calibri" w:hAnsi="Calibri"/>
      <w:sz w:val="24"/>
    </w:rPr>
  </w:style>
  <w:style w:type="paragraph" w:customStyle="1" w:styleId="310">
    <w:name w:val="目录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11">
    <w:name w:val="toc 41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2">
    <w:name w:val="toc 8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3">
    <w:name w:val="列出段落6"/>
    <w:basedOn w:val="1"/>
    <w:next w:val="314"/>
    <w:autoRedefine/>
    <w:qFormat/>
    <w:uiPriority w:val="0"/>
    <w:pPr>
      <w:ind w:firstLine="420"/>
    </w:pPr>
    <w:rPr>
      <w:rFonts w:hAnsi="Calibri"/>
      <w:kern w:val="0"/>
      <w:szCs w:val="20"/>
    </w:rPr>
  </w:style>
  <w:style w:type="paragraph" w:customStyle="1" w:styleId="314">
    <w:name w:val="toc 8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5">
    <w:name w:val="xl80"/>
    <w:basedOn w:val="1"/>
    <w:next w:val="316"/>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16">
    <w:name w:val="toc 49"/>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7">
    <w:name w:val="Char Char Char Char1"/>
    <w:basedOn w:val="1"/>
    <w:next w:val="318"/>
    <w:autoRedefine/>
    <w:qFormat/>
    <w:uiPriority w:val="0"/>
    <w:pPr>
      <w:widowControl/>
      <w:spacing w:after="160" w:line="240" w:lineRule="exact"/>
    </w:pPr>
    <w:rPr>
      <w:rFonts w:ascii="Verdana" w:hAnsi="Calibri" w:eastAsia="仿宋_GB2312"/>
      <w:kern w:val="0"/>
      <w:sz w:val="24"/>
      <w:szCs w:val="20"/>
    </w:rPr>
  </w:style>
  <w:style w:type="paragraph" w:customStyle="1" w:styleId="318">
    <w:name w:val="toc 71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19">
    <w:name w:val="xl102"/>
    <w:basedOn w:val="1"/>
    <w:next w:val="320"/>
    <w:autoRedefine/>
    <w:qFormat/>
    <w:uiPriority w:val="0"/>
    <w:pPr>
      <w:widowControl/>
      <w:shd w:val="clear" w:color="000000" w:fill="FFFFFF"/>
      <w:spacing w:before="280" w:after="280"/>
      <w:jc w:val="right"/>
    </w:pPr>
    <w:rPr>
      <w:rFonts w:ascii="宋体" w:hAnsi="Calibri"/>
      <w:kern w:val="0"/>
      <w:sz w:val="20"/>
      <w:szCs w:val="20"/>
    </w:rPr>
  </w:style>
  <w:style w:type="paragraph" w:customStyle="1" w:styleId="320">
    <w:name w:val="toc 17"/>
    <w:next w:val="1"/>
    <w:autoRedefine/>
    <w:qFormat/>
    <w:uiPriority w:val="0"/>
    <w:pPr>
      <w:wordWrap w:val="0"/>
      <w:jc w:val="both"/>
    </w:pPr>
    <w:rPr>
      <w:rFonts w:ascii="Calibri" w:hAnsi="Calibri" w:eastAsia="宋体" w:cs="Times New Roman"/>
      <w:sz w:val="21"/>
      <w:lang w:val="en-US" w:eastAsia="zh-CN" w:bidi="ar-SA"/>
    </w:rPr>
  </w:style>
  <w:style w:type="paragraph" w:customStyle="1" w:styleId="321">
    <w:name w:val="toc 4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22">
    <w:name w:val="toc 31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23">
    <w:name w:val="xl65"/>
    <w:basedOn w:val="1"/>
    <w:next w:val="224"/>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24">
    <w:name w:val="toc 9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25">
    <w:name w:val="toc 5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26">
    <w:name w:val="toc 81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27">
    <w:name w:val="xl75"/>
    <w:basedOn w:val="1"/>
    <w:next w:val="328"/>
    <w:autoRedefine/>
    <w:qFormat/>
    <w:uiPriority w:val="0"/>
    <w:pPr>
      <w:widowControl/>
      <w:shd w:val="clear" w:color="000000" w:fill="FFFFFF"/>
      <w:spacing w:before="280" w:after="280"/>
    </w:pPr>
    <w:rPr>
      <w:rFonts w:ascii="宋体" w:hAnsi="Calibri"/>
      <w:kern w:val="0"/>
      <w:sz w:val="20"/>
      <w:szCs w:val="20"/>
    </w:rPr>
  </w:style>
  <w:style w:type="paragraph" w:customStyle="1" w:styleId="328">
    <w:name w:val="toc 91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29">
    <w:name w:val="toc 19"/>
    <w:next w:val="1"/>
    <w:autoRedefine/>
    <w:qFormat/>
    <w:uiPriority w:val="0"/>
    <w:pPr>
      <w:wordWrap w:val="0"/>
      <w:jc w:val="both"/>
    </w:pPr>
    <w:rPr>
      <w:rFonts w:ascii="Calibri" w:hAnsi="Calibri" w:eastAsia="宋体" w:cs="Times New Roman"/>
      <w:sz w:val="21"/>
      <w:lang w:val="en-US" w:eastAsia="zh-CN" w:bidi="ar-SA"/>
    </w:rPr>
  </w:style>
  <w:style w:type="paragraph" w:customStyle="1" w:styleId="330">
    <w:name w:val="TOC Heading6"/>
    <w:next w:val="1"/>
    <w:autoRedefine/>
    <w:qFormat/>
    <w:uiPriority w:val="0"/>
    <w:pPr>
      <w:wordWrap w:val="0"/>
    </w:pPr>
    <w:rPr>
      <w:rFonts w:ascii="Calibri" w:hAnsi="Calibri" w:eastAsia="宋体" w:cs="Times New Roman"/>
      <w:sz w:val="32"/>
      <w:lang w:val="en-US" w:eastAsia="zh-CN" w:bidi="ar-SA"/>
    </w:rPr>
  </w:style>
  <w:style w:type="paragraph" w:customStyle="1" w:styleId="331">
    <w:name w:val="toc 5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32">
    <w:name w:val="toc 3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33">
    <w:name w:val="toc 8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4">
    <w:name w:val="xl104"/>
    <w:basedOn w:val="1"/>
    <w:next w:val="33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35">
    <w:name w:val="toc 210"/>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36">
    <w:name w:val="toc 110"/>
    <w:next w:val="1"/>
    <w:autoRedefine/>
    <w:qFormat/>
    <w:uiPriority w:val="0"/>
    <w:pPr>
      <w:wordWrap w:val="0"/>
      <w:jc w:val="both"/>
    </w:pPr>
    <w:rPr>
      <w:rFonts w:ascii="Calibri" w:hAnsi="Calibri" w:eastAsia="宋体" w:cs="Times New Roman"/>
      <w:sz w:val="21"/>
      <w:lang w:val="en-US" w:eastAsia="zh-CN" w:bidi="ar-SA"/>
    </w:rPr>
  </w:style>
  <w:style w:type="paragraph" w:customStyle="1" w:styleId="337">
    <w:name w:val="toc 6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38">
    <w:name w:val="toc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39">
    <w:name w:val="toc 9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40">
    <w:name w:val="toc 61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1">
    <w:name w:val="无间隔1"/>
    <w:next w:val="336"/>
    <w:autoRedefine/>
    <w:qFormat/>
    <w:uiPriority w:val="0"/>
    <w:pPr>
      <w:widowControl w:val="0"/>
      <w:jc w:val="both"/>
    </w:pPr>
    <w:rPr>
      <w:rFonts w:ascii="Calibri" w:hAnsi="Calibri" w:eastAsia="宋体" w:cs="Times New Roman"/>
      <w:sz w:val="22"/>
      <w:lang w:val="en-US" w:eastAsia="zh-CN" w:bidi="ar-SA"/>
    </w:rPr>
  </w:style>
  <w:style w:type="paragraph" w:customStyle="1" w:styleId="342">
    <w:name w:val="目录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3">
    <w:name w:val="xl105"/>
    <w:basedOn w:val="1"/>
    <w:next w:val="344"/>
    <w:autoRedefine/>
    <w:qFormat/>
    <w:uiPriority w:val="0"/>
    <w:pPr>
      <w:widowControl/>
      <w:shd w:val="clear" w:color="000000" w:fill="FFFFFF"/>
      <w:spacing w:before="280" w:after="280"/>
    </w:pPr>
    <w:rPr>
      <w:rFonts w:ascii="宋体" w:hAnsi="Calibri"/>
      <w:kern w:val="0"/>
      <w:sz w:val="18"/>
      <w:szCs w:val="20"/>
    </w:rPr>
  </w:style>
  <w:style w:type="paragraph" w:customStyle="1" w:styleId="344">
    <w:name w:val="toc 61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5">
    <w:name w:val="toc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6">
    <w:name w:val="toc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47">
    <w:name w:val="xl111"/>
    <w:basedOn w:val="1"/>
    <w:next w:val="34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48">
    <w:name w:val="toc 88"/>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49">
    <w:name w:val="toc 8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50">
    <w:name w:val="p0"/>
    <w:basedOn w:val="1"/>
    <w:next w:val="351"/>
    <w:autoRedefine/>
    <w:qFormat/>
    <w:uiPriority w:val="0"/>
    <w:pPr>
      <w:widowControl/>
      <w:spacing w:before="280" w:after="280"/>
    </w:pPr>
    <w:rPr>
      <w:rFonts w:ascii="宋体" w:hAnsi="Calibri"/>
      <w:kern w:val="0"/>
      <w:sz w:val="24"/>
      <w:szCs w:val="20"/>
    </w:rPr>
  </w:style>
  <w:style w:type="paragraph" w:customStyle="1" w:styleId="351">
    <w:name w:val="toc 69"/>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52">
    <w:name w:val="列出段落11"/>
    <w:basedOn w:val="1"/>
    <w:next w:val="353"/>
    <w:autoRedefine/>
    <w:qFormat/>
    <w:uiPriority w:val="0"/>
    <w:pPr>
      <w:widowControl/>
      <w:spacing w:line="360" w:lineRule="auto"/>
      <w:ind w:firstLine="420"/>
    </w:pPr>
    <w:rPr>
      <w:rFonts w:hAnsi="Calibri" w:eastAsia="微软雅黑"/>
      <w:kern w:val="0"/>
      <w:sz w:val="24"/>
      <w:szCs w:val="20"/>
    </w:rPr>
  </w:style>
  <w:style w:type="paragraph" w:customStyle="1" w:styleId="353">
    <w:name w:val="toc 21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54">
    <w:name w:val="toc 6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55">
    <w:name w:val="xl91"/>
    <w:basedOn w:val="1"/>
    <w:next w:val="252"/>
    <w:autoRedefine/>
    <w:qFormat/>
    <w:uiPriority w:val="0"/>
    <w:pPr>
      <w:widowControl/>
      <w:shd w:val="clear" w:color="000000" w:fill="FFFFFF"/>
      <w:spacing w:before="280" w:after="280"/>
    </w:pPr>
    <w:rPr>
      <w:rFonts w:ascii="宋体" w:hAnsi="Calibri"/>
      <w:kern w:val="0"/>
      <w:sz w:val="20"/>
      <w:szCs w:val="20"/>
    </w:rPr>
  </w:style>
  <w:style w:type="paragraph" w:customStyle="1" w:styleId="356">
    <w:name w:val="toc 31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57">
    <w:name w:val="_Style 1"/>
    <w:basedOn w:val="1"/>
    <w:next w:val="358"/>
    <w:autoRedefine/>
    <w:qFormat/>
    <w:uiPriority w:val="0"/>
    <w:pPr>
      <w:ind w:firstLine="420"/>
    </w:pPr>
    <w:rPr>
      <w:rFonts w:hAnsi="Calibri"/>
      <w:kern w:val="0"/>
      <w:szCs w:val="20"/>
    </w:rPr>
  </w:style>
  <w:style w:type="paragraph" w:customStyle="1" w:styleId="358">
    <w:name w:val="TOC Heading13"/>
    <w:next w:val="1"/>
    <w:autoRedefine/>
    <w:qFormat/>
    <w:uiPriority w:val="0"/>
    <w:pPr>
      <w:wordWrap w:val="0"/>
    </w:pPr>
    <w:rPr>
      <w:rFonts w:ascii="Calibri" w:hAnsi="Calibri" w:eastAsia="宋体" w:cs="Times New Roman"/>
      <w:sz w:val="32"/>
      <w:lang w:val="en-US" w:eastAsia="zh-CN" w:bidi="ar-SA"/>
    </w:rPr>
  </w:style>
  <w:style w:type="paragraph" w:customStyle="1" w:styleId="359">
    <w:name w:val="toc 116"/>
    <w:next w:val="1"/>
    <w:autoRedefine/>
    <w:qFormat/>
    <w:uiPriority w:val="0"/>
    <w:pPr>
      <w:wordWrap w:val="0"/>
      <w:jc w:val="both"/>
    </w:pPr>
    <w:rPr>
      <w:rFonts w:ascii="Calibri" w:hAnsi="Calibri" w:eastAsia="宋体" w:cs="Times New Roman"/>
      <w:sz w:val="21"/>
      <w:lang w:val="en-US" w:eastAsia="zh-CN" w:bidi="ar-SA"/>
    </w:rPr>
  </w:style>
  <w:style w:type="paragraph" w:customStyle="1" w:styleId="360">
    <w:name w:val="toc 7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61">
    <w:name w:val="x_msonormal"/>
    <w:basedOn w:val="1"/>
    <w:next w:val="311"/>
    <w:autoRedefine/>
    <w:qFormat/>
    <w:uiPriority w:val="0"/>
    <w:pPr>
      <w:widowControl/>
      <w:spacing w:before="280" w:after="280"/>
    </w:pPr>
    <w:rPr>
      <w:rFonts w:ascii="PMingLiU" w:hAnsi="Calibri" w:eastAsia="PMingLiU"/>
      <w:kern w:val="0"/>
      <w:sz w:val="24"/>
      <w:szCs w:val="20"/>
    </w:rPr>
  </w:style>
  <w:style w:type="paragraph" w:customStyle="1" w:styleId="362">
    <w:name w:val="toc 310"/>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63">
    <w:name w:val="toc 8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64">
    <w:name w:val="TOC Heading17"/>
    <w:next w:val="1"/>
    <w:autoRedefine/>
    <w:qFormat/>
    <w:uiPriority w:val="0"/>
    <w:pPr>
      <w:wordWrap w:val="0"/>
    </w:pPr>
    <w:rPr>
      <w:rFonts w:ascii="Calibri" w:hAnsi="Calibri" w:eastAsia="宋体" w:cs="Times New Roman"/>
      <w:sz w:val="32"/>
      <w:lang w:val="en-US" w:eastAsia="zh-CN" w:bidi="ar-SA"/>
    </w:rPr>
  </w:style>
  <w:style w:type="paragraph" w:customStyle="1" w:styleId="365">
    <w:name w:val="toc 91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66">
    <w:name w:val="toc 81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67">
    <w:name w:val="目录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68">
    <w:name w:val="xl118"/>
    <w:basedOn w:val="1"/>
    <w:next w:val="242"/>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69">
    <w:name w:val="xl83"/>
    <w:basedOn w:val="1"/>
    <w:next w:val="297"/>
    <w:autoRedefine/>
    <w:qFormat/>
    <w:uiPriority w:val="0"/>
    <w:pPr>
      <w:widowControl/>
      <w:shd w:val="clear" w:color="000000" w:fill="FFFFFF"/>
      <w:spacing w:before="280" w:after="280"/>
    </w:pPr>
    <w:rPr>
      <w:rFonts w:ascii="宋体" w:hAnsi="Calibri"/>
      <w:kern w:val="0"/>
      <w:sz w:val="20"/>
      <w:szCs w:val="20"/>
    </w:rPr>
  </w:style>
  <w:style w:type="paragraph" w:customStyle="1" w:styleId="370">
    <w:name w:val="xl103"/>
    <w:basedOn w:val="1"/>
    <w:next w:val="371"/>
    <w:autoRedefine/>
    <w:qFormat/>
    <w:uiPriority w:val="0"/>
    <w:pPr>
      <w:widowControl/>
      <w:shd w:val="clear" w:color="000000" w:fill="FFFFFF"/>
      <w:spacing w:before="280" w:after="280"/>
    </w:pPr>
    <w:rPr>
      <w:rFonts w:ascii="宋体" w:hAnsi="Calibri"/>
      <w:kern w:val="0"/>
      <w:sz w:val="20"/>
      <w:szCs w:val="20"/>
    </w:rPr>
  </w:style>
  <w:style w:type="paragraph" w:customStyle="1" w:styleId="371">
    <w:name w:val="toc 111"/>
    <w:next w:val="1"/>
    <w:autoRedefine/>
    <w:qFormat/>
    <w:uiPriority w:val="0"/>
    <w:pPr>
      <w:wordWrap w:val="0"/>
      <w:jc w:val="both"/>
    </w:pPr>
    <w:rPr>
      <w:rFonts w:ascii="Calibri" w:hAnsi="Calibri" w:eastAsia="宋体" w:cs="Times New Roman"/>
      <w:sz w:val="21"/>
      <w:lang w:val="en-US" w:eastAsia="zh-CN" w:bidi="ar-SA"/>
    </w:rPr>
  </w:style>
  <w:style w:type="paragraph" w:customStyle="1" w:styleId="372">
    <w:name w:val="xl68"/>
    <w:basedOn w:val="1"/>
    <w:next w:val="373"/>
    <w:autoRedefine/>
    <w:qFormat/>
    <w:uiPriority w:val="0"/>
    <w:pPr>
      <w:widowControl/>
      <w:shd w:val="clear" w:color="000000" w:fill="FFFFFF"/>
      <w:spacing w:before="280" w:after="280"/>
    </w:pPr>
    <w:rPr>
      <w:rFonts w:ascii="宋体" w:hAnsi="Calibri"/>
      <w:b/>
      <w:kern w:val="0"/>
      <w:sz w:val="20"/>
      <w:szCs w:val="20"/>
    </w:rPr>
  </w:style>
  <w:style w:type="paragraph" w:customStyle="1" w:styleId="373">
    <w:name w:val="TOC Heading16"/>
    <w:next w:val="1"/>
    <w:autoRedefine/>
    <w:qFormat/>
    <w:uiPriority w:val="0"/>
    <w:pPr>
      <w:wordWrap w:val="0"/>
    </w:pPr>
    <w:rPr>
      <w:rFonts w:ascii="Calibri" w:hAnsi="Calibri" w:eastAsia="宋体" w:cs="Times New Roman"/>
      <w:sz w:val="32"/>
      <w:lang w:val="en-US" w:eastAsia="zh-CN" w:bidi="ar-SA"/>
    </w:rPr>
  </w:style>
  <w:style w:type="paragraph" w:customStyle="1" w:styleId="374">
    <w:name w:val="toc 113"/>
    <w:next w:val="1"/>
    <w:autoRedefine/>
    <w:qFormat/>
    <w:uiPriority w:val="0"/>
    <w:pPr>
      <w:wordWrap w:val="0"/>
      <w:jc w:val="both"/>
    </w:pPr>
    <w:rPr>
      <w:rFonts w:ascii="Calibri" w:hAnsi="Calibri" w:eastAsia="宋体" w:cs="Times New Roman"/>
      <w:sz w:val="21"/>
      <w:lang w:val="en-US" w:eastAsia="zh-CN" w:bidi="ar-SA"/>
    </w:rPr>
  </w:style>
  <w:style w:type="paragraph" w:customStyle="1" w:styleId="375">
    <w:name w:val="xl94"/>
    <w:basedOn w:val="1"/>
    <w:next w:val="26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76">
    <w:name w:val="toc 5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77">
    <w:name w:val="xl92"/>
    <w:basedOn w:val="1"/>
    <w:next w:val="378"/>
    <w:autoRedefine/>
    <w:qFormat/>
    <w:uiPriority w:val="0"/>
    <w:pPr>
      <w:widowControl/>
      <w:shd w:val="clear" w:color="000000" w:fill="FFFFFF"/>
      <w:spacing w:before="280" w:after="280"/>
    </w:pPr>
    <w:rPr>
      <w:rFonts w:ascii="宋体" w:hAnsi="Calibri"/>
      <w:kern w:val="0"/>
      <w:sz w:val="20"/>
      <w:szCs w:val="20"/>
    </w:rPr>
  </w:style>
  <w:style w:type="paragraph" w:customStyle="1" w:styleId="378">
    <w:name w:val="toc 91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79">
    <w:name w:val="toc 51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0">
    <w:name w:val="目录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81">
    <w:name w:val="正文表标题"/>
    <w:next w:val="1"/>
    <w:autoRedefine/>
    <w:qFormat/>
    <w:uiPriority w:val="0"/>
    <w:pPr>
      <w:ind w:left="630"/>
      <w:jc w:val="center"/>
    </w:pPr>
    <w:rPr>
      <w:rFonts w:ascii="黑体" w:hAnsi="Calibri" w:eastAsia="黑体" w:cs="Times New Roman"/>
      <w:sz w:val="21"/>
      <w:lang w:val="en-US" w:eastAsia="zh-CN" w:bidi="ar-SA"/>
    </w:rPr>
  </w:style>
  <w:style w:type="paragraph" w:customStyle="1" w:styleId="382">
    <w:name w:val="toc 28"/>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83">
    <w:name w:val="toc 79"/>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84">
    <w:name w:val="xl110"/>
    <w:basedOn w:val="1"/>
    <w:next w:val="34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5">
    <w:name w:val="toc 51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6">
    <w:name w:val="toc 41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87">
    <w:name w:val="xl85"/>
    <w:basedOn w:val="1"/>
    <w:next w:val="38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8">
    <w:name w:val="toc 7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89">
    <w:name w:val="toc 27"/>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0">
    <w:name w:val="toc 91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91">
    <w:name w:val="toc 77"/>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2">
    <w:name w:val="toc 21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81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94">
    <w:name w:val="xl99"/>
    <w:basedOn w:val="1"/>
    <w:next w:val="379"/>
    <w:autoRedefine/>
    <w:qFormat/>
    <w:uiPriority w:val="0"/>
    <w:pPr>
      <w:widowControl/>
      <w:shd w:val="clear" w:color="000000" w:fill="FFFFFF"/>
      <w:spacing w:before="280" w:after="280"/>
    </w:pPr>
    <w:rPr>
      <w:rFonts w:ascii="宋体" w:hAnsi="Calibri"/>
      <w:kern w:val="0"/>
      <w:sz w:val="18"/>
      <w:szCs w:val="20"/>
    </w:rPr>
  </w:style>
  <w:style w:type="paragraph" w:customStyle="1" w:styleId="395">
    <w:name w:val="xl97"/>
    <w:basedOn w:val="1"/>
    <w:next w:val="267"/>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6">
    <w:name w:val="toc 61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97">
    <w:name w:val="toc 31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98">
    <w:name w:val="TOC Heading15"/>
    <w:next w:val="1"/>
    <w:autoRedefine/>
    <w:qFormat/>
    <w:uiPriority w:val="0"/>
    <w:pPr>
      <w:wordWrap w:val="0"/>
    </w:pPr>
    <w:rPr>
      <w:rFonts w:ascii="Calibri" w:hAnsi="Calibri" w:eastAsia="宋体" w:cs="Times New Roman"/>
      <w:sz w:val="32"/>
      <w:lang w:val="en-US" w:eastAsia="zh-CN" w:bidi="ar-SA"/>
    </w:rPr>
  </w:style>
  <w:style w:type="paragraph" w:customStyle="1" w:styleId="399">
    <w:name w:val="toc 91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00">
    <w:name w:val="toc 39"/>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1">
    <w:name w:val="toc 710"/>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2">
    <w:name w:val="toc 12"/>
    <w:next w:val="1"/>
    <w:autoRedefine/>
    <w:qFormat/>
    <w:uiPriority w:val="0"/>
    <w:pPr>
      <w:wordWrap w:val="0"/>
      <w:jc w:val="both"/>
    </w:pPr>
    <w:rPr>
      <w:rFonts w:ascii="Calibri" w:hAnsi="Calibri" w:eastAsia="宋体" w:cs="Times New Roman"/>
      <w:sz w:val="21"/>
      <w:lang w:val="en-US" w:eastAsia="zh-CN" w:bidi="ar-SA"/>
    </w:rPr>
  </w:style>
  <w:style w:type="paragraph" w:customStyle="1" w:styleId="403">
    <w:name w:val="xl95"/>
    <w:basedOn w:val="1"/>
    <w:next w:val="404"/>
    <w:autoRedefine/>
    <w:qFormat/>
    <w:uiPriority w:val="0"/>
    <w:pPr>
      <w:widowControl/>
      <w:shd w:val="clear" w:color="000000" w:fill="FFFFFF"/>
      <w:spacing w:before="280" w:after="280"/>
    </w:pPr>
    <w:rPr>
      <w:rFonts w:ascii="宋体" w:hAnsi="Calibri"/>
      <w:kern w:val="0"/>
      <w:sz w:val="20"/>
      <w:szCs w:val="20"/>
    </w:rPr>
  </w:style>
  <w:style w:type="paragraph" w:customStyle="1" w:styleId="404">
    <w:name w:val="toc 41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5">
    <w:name w:val="toc 29"/>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06">
    <w:name w:val="xl67"/>
    <w:basedOn w:val="1"/>
    <w:next w:val="407"/>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07">
    <w:name w:val="toc 71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8">
    <w:name w:val="toc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09">
    <w:name w:val="正文 A"/>
    <w:next w:val="326"/>
    <w:autoRedefine/>
    <w:qFormat/>
    <w:uiPriority w:val="0"/>
    <w:rPr>
      <w:rFonts w:ascii="Arial" w:hAnsi="Calibri" w:eastAsia="Arial Unicode MS" w:cs="Times New Roman"/>
      <w:color w:val="000000"/>
      <w:sz w:val="21"/>
      <w:lang w:val="en-US" w:eastAsia="zh-CN" w:bidi="ar-SA"/>
    </w:rPr>
  </w:style>
  <w:style w:type="paragraph" w:customStyle="1" w:styleId="410">
    <w:name w:val="toc 68"/>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11">
    <w:name w:val="toc 58"/>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2">
    <w:name w:val="xl88"/>
    <w:basedOn w:val="1"/>
    <w:next w:val="39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13">
    <w:name w:val="toc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4">
    <w:name w:val="xl100"/>
    <w:basedOn w:val="1"/>
    <w:next w:val="415"/>
    <w:autoRedefine/>
    <w:qFormat/>
    <w:uiPriority w:val="0"/>
    <w:pPr>
      <w:widowControl/>
      <w:shd w:val="clear" w:color="000000" w:fill="FFFFFF"/>
      <w:spacing w:before="280" w:after="280"/>
    </w:pPr>
    <w:rPr>
      <w:rFonts w:ascii="宋体" w:hAnsi="Calibri"/>
      <w:kern w:val="0"/>
      <w:sz w:val="20"/>
      <w:szCs w:val="20"/>
    </w:rPr>
  </w:style>
  <w:style w:type="paragraph" w:customStyle="1" w:styleId="415">
    <w:name w:val="toc 510"/>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6">
    <w:name w:val="toc 31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17">
    <w:name w:val="xl114"/>
    <w:basedOn w:val="1"/>
    <w:next w:val="26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18">
    <w:name w:val="xl107"/>
    <w:basedOn w:val="1"/>
    <w:next w:val="419"/>
    <w:autoRedefine/>
    <w:qFormat/>
    <w:uiPriority w:val="0"/>
    <w:pPr>
      <w:widowControl/>
      <w:shd w:val="clear" w:color="000000" w:fill="FFFFFF"/>
      <w:spacing w:before="280" w:after="280"/>
    </w:pPr>
    <w:rPr>
      <w:rFonts w:ascii="宋体" w:hAnsi="Calibri"/>
      <w:kern w:val="0"/>
      <w:sz w:val="20"/>
      <w:szCs w:val="20"/>
    </w:rPr>
  </w:style>
  <w:style w:type="paragraph" w:customStyle="1" w:styleId="419">
    <w:name w:val="toc 610"/>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0">
    <w:name w:val="toc 2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21">
    <w:name w:val="xl90"/>
    <w:basedOn w:val="1"/>
    <w:next w:val="223"/>
    <w:autoRedefine/>
    <w:qFormat/>
    <w:uiPriority w:val="0"/>
    <w:pPr>
      <w:widowControl/>
      <w:shd w:val="clear" w:color="000000" w:fill="FFFFFF"/>
      <w:spacing w:before="280" w:after="280"/>
    </w:pPr>
    <w:rPr>
      <w:rFonts w:ascii="宋体" w:hAnsi="Calibri"/>
      <w:kern w:val="0"/>
      <w:sz w:val="18"/>
      <w:szCs w:val="20"/>
    </w:rPr>
  </w:style>
  <w:style w:type="paragraph" w:customStyle="1" w:styleId="422">
    <w:name w:val="toc 61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3">
    <w:name w:val="toc 9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24">
    <w:name w:val="toc 4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25">
    <w:name w:val="xl117"/>
    <w:basedOn w:val="1"/>
    <w:next w:val="322"/>
    <w:qFormat/>
    <w:uiPriority w:val="0"/>
    <w:pPr>
      <w:widowControl/>
      <w:shd w:val="clear" w:color="000000" w:fill="FFFFFF"/>
      <w:spacing w:before="280" w:after="280"/>
      <w:jc w:val="center"/>
    </w:pPr>
    <w:rPr>
      <w:rFonts w:ascii="Arial Narrow" w:hAnsi="Calibri"/>
      <w:kern w:val="0"/>
      <w:sz w:val="24"/>
      <w:szCs w:val="20"/>
    </w:rPr>
  </w:style>
  <w:style w:type="paragraph" w:customStyle="1" w:styleId="426">
    <w:name w:val="p15"/>
    <w:basedOn w:val="1"/>
    <w:next w:val="247"/>
    <w:qFormat/>
    <w:uiPriority w:val="0"/>
    <w:pPr>
      <w:widowControl/>
      <w:ind w:firstLine="420"/>
    </w:pPr>
    <w:rPr>
      <w:rFonts w:hAnsi="Calibri"/>
      <w:kern w:val="0"/>
      <w:szCs w:val="20"/>
    </w:rPr>
  </w:style>
  <w:style w:type="paragraph" w:customStyle="1" w:styleId="427">
    <w:name w:val="xl87"/>
    <w:basedOn w:val="1"/>
    <w:next w:val="428"/>
    <w:qFormat/>
    <w:uiPriority w:val="0"/>
    <w:pPr>
      <w:widowControl/>
      <w:shd w:val="clear" w:color="000000" w:fill="FFFFFF"/>
      <w:spacing w:before="280" w:after="280"/>
    </w:pPr>
    <w:rPr>
      <w:rFonts w:ascii="Arial" w:hAnsi="Calibri"/>
      <w:kern w:val="0"/>
      <w:sz w:val="18"/>
      <w:szCs w:val="20"/>
    </w:rPr>
  </w:style>
  <w:style w:type="paragraph" w:customStyle="1" w:styleId="428">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29">
    <w:name w:val="列出段落7"/>
    <w:basedOn w:val="1"/>
    <w:next w:val="411"/>
    <w:qFormat/>
    <w:uiPriority w:val="0"/>
    <w:pPr>
      <w:ind w:firstLine="420"/>
    </w:pPr>
    <w:rPr>
      <w:rFonts w:hAnsi="Calibri"/>
      <w:kern w:val="0"/>
      <w:szCs w:val="20"/>
    </w:rPr>
  </w:style>
  <w:style w:type="paragraph" w:customStyle="1" w:styleId="430">
    <w:name w:val="xl78"/>
    <w:basedOn w:val="1"/>
    <w:next w:val="401"/>
    <w:qFormat/>
    <w:uiPriority w:val="0"/>
    <w:pPr>
      <w:widowControl/>
      <w:shd w:val="clear" w:color="000000" w:fill="FFFFFF"/>
      <w:spacing w:before="280" w:after="280"/>
    </w:pPr>
    <w:rPr>
      <w:rFonts w:ascii="宋体" w:hAnsi="Calibri"/>
      <w:b/>
      <w:kern w:val="0"/>
      <w:sz w:val="20"/>
      <w:szCs w:val="20"/>
    </w:rPr>
  </w:style>
  <w:style w:type="paragraph" w:customStyle="1" w:styleId="431">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2">
    <w:name w:val="xl89"/>
    <w:basedOn w:val="1"/>
    <w:next w:val="366"/>
    <w:qFormat/>
    <w:uiPriority w:val="0"/>
    <w:pPr>
      <w:widowControl/>
      <w:shd w:val="clear" w:color="000000" w:fill="FFFFFF"/>
      <w:spacing w:before="280" w:after="280"/>
    </w:pPr>
    <w:rPr>
      <w:rFonts w:ascii="宋体" w:hAnsi="Calibri"/>
      <w:kern w:val="0"/>
      <w:sz w:val="20"/>
      <w:szCs w:val="20"/>
    </w:rPr>
  </w:style>
  <w:style w:type="paragraph" w:customStyle="1" w:styleId="433">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4">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5">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6">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7">
    <w:name w:val="toc 16"/>
    <w:next w:val="1"/>
    <w:qFormat/>
    <w:uiPriority w:val="0"/>
    <w:pPr>
      <w:wordWrap w:val="0"/>
      <w:jc w:val="both"/>
    </w:pPr>
    <w:rPr>
      <w:rFonts w:ascii="Calibri" w:hAnsi="Calibri" w:eastAsia="宋体" w:cs="Times New Roman"/>
      <w:sz w:val="21"/>
      <w:lang w:val="en-US" w:eastAsia="zh-CN" w:bidi="ar-SA"/>
    </w:rPr>
  </w:style>
  <w:style w:type="paragraph" w:styleId="438">
    <w:name w:val="Quote"/>
    <w:next w:val="1"/>
    <w:link w:val="439"/>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39">
    <w:name w:val="引用 Char"/>
    <w:basedOn w:val="46"/>
    <w:link w:val="438"/>
    <w:qFormat/>
    <w:uiPriority w:val="0"/>
    <w:rPr>
      <w:rFonts w:ascii="Calibri" w:hAnsi="Calibri"/>
      <w:i/>
      <w:sz w:val="21"/>
    </w:rPr>
  </w:style>
  <w:style w:type="paragraph" w:customStyle="1" w:styleId="440">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1">
    <w:name w:val="xl119"/>
    <w:basedOn w:val="1"/>
    <w:next w:val="416"/>
    <w:qFormat/>
    <w:uiPriority w:val="0"/>
    <w:pPr>
      <w:widowControl/>
      <w:shd w:val="clear" w:color="000000" w:fill="FFFFFF"/>
      <w:spacing w:before="280" w:after="280"/>
      <w:jc w:val="center"/>
    </w:pPr>
    <w:rPr>
      <w:rFonts w:ascii="宋体" w:hAnsi="Calibri"/>
      <w:b/>
      <w:kern w:val="0"/>
      <w:sz w:val="20"/>
      <w:szCs w:val="20"/>
    </w:rPr>
  </w:style>
  <w:style w:type="paragraph" w:customStyle="1" w:styleId="442">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3">
    <w:name w:val="xl109"/>
    <w:basedOn w:val="1"/>
    <w:next w:val="389"/>
    <w:qFormat/>
    <w:uiPriority w:val="0"/>
    <w:pPr>
      <w:widowControl/>
      <w:shd w:val="clear" w:color="000000" w:fill="FFFFFF"/>
      <w:spacing w:before="280" w:after="280"/>
    </w:pPr>
    <w:rPr>
      <w:rFonts w:ascii="宋体" w:hAnsi="Calibri"/>
      <w:kern w:val="0"/>
      <w:sz w:val="20"/>
      <w:szCs w:val="20"/>
    </w:rPr>
  </w:style>
  <w:style w:type="paragraph" w:customStyle="1" w:styleId="444">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5">
    <w:name w:val="xl76"/>
    <w:basedOn w:val="1"/>
    <w:next w:val="397"/>
    <w:qFormat/>
    <w:uiPriority w:val="0"/>
    <w:pPr>
      <w:widowControl/>
      <w:shd w:val="clear" w:color="000000" w:fill="FFFFFF"/>
      <w:spacing w:before="280" w:after="280"/>
      <w:jc w:val="center"/>
    </w:pPr>
    <w:rPr>
      <w:rFonts w:ascii="宋体" w:hAnsi="Calibri"/>
      <w:b/>
      <w:kern w:val="0"/>
      <w:sz w:val="20"/>
      <w:szCs w:val="20"/>
    </w:rPr>
  </w:style>
  <w:style w:type="paragraph" w:customStyle="1" w:styleId="446">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7">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8">
    <w:name w:val="xl70"/>
    <w:basedOn w:val="1"/>
    <w:next w:val="374"/>
    <w:qFormat/>
    <w:uiPriority w:val="0"/>
    <w:pPr>
      <w:widowControl/>
      <w:shd w:val="clear" w:color="000000" w:fill="FFFFFF"/>
      <w:spacing w:before="280" w:after="280"/>
    </w:pPr>
    <w:rPr>
      <w:rFonts w:ascii="宋体" w:hAnsi="Calibri"/>
      <w:kern w:val="0"/>
      <w:sz w:val="20"/>
      <w:szCs w:val="20"/>
    </w:rPr>
  </w:style>
  <w:style w:type="paragraph" w:customStyle="1" w:styleId="449">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0">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1">
    <w:name w:val="xl98"/>
    <w:basedOn w:val="1"/>
    <w:next w:val="392"/>
    <w:qFormat/>
    <w:uiPriority w:val="0"/>
    <w:pPr>
      <w:widowControl/>
      <w:shd w:val="clear" w:color="000000" w:fill="FFFFFF"/>
      <w:spacing w:before="280" w:after="280"/>
      <w:jc w:val="center"/>
    </w:pPr>
    <w:rPr>
      <w:rFonts w:ascii="宋体" w:hAnsi="Calibri"/>
      <w:kern w:val="0"/>
      <w:sz w:val="20"/>
      <w:szCs w:val="20"/>
    </w:rPr>
  </w:style>
  <w:style w:type="paragraph" w:customStyle="1" w:styleId="452">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3">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4">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5">
    <w:name w:val="xl101"/>
    <w:basedOn w:val="1"/>
    <w:next w:val="423"/>
    <w:qFormat/>
    <w:uiPriority w:val="0"/>
    <w:pPr>
      <w:widowControl/>
      <w:spacing w:before="280" w:after="280"/>
    </w:pPr>
    <w:rPr>
      <w:rFonts w:ascii="宋体" w:hAnsi="Calibri"/>
      <w:kern w:val="0"/>
      <w:sz w:val="20"/>
      <w:szCs w:val="20"/>
    </w:rPr>
  </w:style>
  <w:style w:type="paragraph" w:customStyle="1" w:styleId="456">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7">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8">
    <w:name w:val="Intense Quote"/>
    <w:next w:val="1"/>
    <w:link w:val="459"/>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59">
    <w:name w:val="明显引用 Char"/>
    <w:basedOn w:val="46"/>
    <w:link w:val="458"/>
    <w:qFormat/>
    <w:uiPriority w:val="0"/>
    <w:rPr>
      <w:rFonts w:ascii="Calibri" w:hAnsi="Calibri"/>
      <w:i/>
      <w:sz w:val="21"/>
    </w:rPr>
  </w:style>
  <w:style w:type="paragraph" w:customStyle="1" w:styleId="460">
    <w:name w:val="Char Char Char Char Char Char Char"/>
    <w:basedOn w:val="1"/>
    <w:next w:val="444"/>
    <w:qFormat/>
    <w:uiPriority w:val="0"/>
    <w:pPr>
      <w:widowControl/>
      <w:spacing w:after="160" w:line="240" w:lineRule="exact"/>
    </w:pPr>
    <w:rPr>
      <w:rFonts w:hAnsi="Calibri"/>
      <w:kern w:val="0"/>
      <w:szCs w:val="20"/>
    </w:rPr>
  </w:style>
  <w:style w:type="paragraph" w:customStyle="1" w:styleId="461">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2">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3">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4">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5">
    <w:name w:val="xl64"/>
    <w:basedOn w:val="1"/>
    <w:next w:val="440"/>
    <w:qFormat/>
    <w:uiPriority w:val="0"/>
    <w:pPr>
      <w:widowControl/>
      <w:shd w:val="clear" w:color="000000" w:fill="FFFFFF"/>
      <w:spacing w:before="280" w:after="280"/>
    </w:pPr>
    <w:rPr>
      <w:rFonts w:ascii="宋体" w:hAnsi="Calibri"/>
      <w:kern w:val="0"/>
      <w:sz w:val="20"/>
      <w:szCs w:val="20"/>
    </w:rPr>
  </w:style>
  <w:style w:type="paragraph" w:customStyle="1" w:styleId="466">
    <w:name w:val="xl82"/>
    <w:basedOn w:val="1"/>
    <w:next w:val="285"/>
    <w:qFormat/>
    <w:uiPriority w:val="0"/>
    <w:pPr>
      <w:widowControl/>
      <w:shd w:val="clear" w:color="000000" w:fill="FFFFFF"/>
      <w:spacing w:before="280" w:after="280"/>
    </w:pPr>
    <w:rPr>
      <w:rFonts w:ascii="宋体" w:hAnsi="Calibri"/>
      <w:kern w:val="0"/>
      <w:sz w:val="20"/>
      <w:szCs w:val="20"/>
    </w:rPr>
  </w:style>
  <w:style w:type="paragraph" w:customStyle="1" w:styleId="467">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8">
    <w:name w:val="xl77"/>
    <w:basedOn w:val="1"/>
    <w:next w:val="433"/>
    <w:qFormat/>
    <w:uiPriority w:val="0"/>
    <w:pPr>
      <w:widowControl/>
      <w:shd w:val="clear" w:color="000000" w:fill="FFFFFF"/>
      <w:spacing w:before="280" w:after="280"/>
      <w:jc w:val="center"/>
    </w:pPr>
    <w:rPr>
      <w:rFonts w:ascii="宋体" w:hAnsi="Calibri"/>
      <w:kern w:val="0"/>
      <w:sz w:val="20"/>
      <w:szCs w:val="20"/>
    </w:rPr>
  </w:style>
  <w:style w:type="character" w:customStyle="1" w:styleId="469">
    <w:name w:val="正文缩进 Char1"/>
    <w:qFormat/>
    <w:uiPriority w:val="0"/>
    <w:rPr>
      <w:rFonts w:eastAsia="宋体"/>
      <w:kern w:val="2"/>
      <w:sz w:val="21"/>
      <w:lang w:val="en-US" w:eastAsia="zh-CN" w:bidi="ar-SA"/>
    </w:rPr>
  </w:style>
  <w:style w:type="character" w:customStyle="1" w:styleId="470">
    <w:name w:val="普通(网站) Char"/>
    <w:link w:val="38"/>
    <w:qFormat/>
    <w:uiPriority w:val="99"/>
    <w:rPr>
      <w:kern w:val="2"/>
      <w:sz w:val="24"/>
      <w:szCs w:val="24"/>
    </w:rPr>
  </w:style>
  <w:style w:type="character" w:customStyle="1" w:styleId="471">
    <w:name w:val="批注文字 Char2"/>
    <w:basedOn w:val="46"/>
    <w:semiHidden/>
    <w:qFormat/>
    <w:uiPriority w:val="0"/>
    <w:rPr>
      <w:rFonts w:ascii="宋体"/>
      <w:sz w:val="34"/>
    </w:rPr>
  </w:style>
  <w:style w:type="table" w:customStyle="1" w:styleId="472">
    <w:name w:val="网格型1"/>
    <w:basedOn w:val="4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3">
    <w:name w:val="网格型2"/>
    <w:basedOn w:val="4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730CB-D281-4B73-A6FE-24E2D78A72D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4823</Words>
  <Characters>4955</Characters>
  <Lines>336</Lines>
  <Paragraphs>94</Paragraphs>
  <TotalTime>58</TotalTime>
  <ScaleCrop>false</ScaleCrop>
  <LinksUpToDate>false</LinksUpToDate>
  <CharactersWithSpaces>5002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2019-12-17T03:44:00Z</dcterms:created>
  <dc:creator>thsware</dc:creator>
  <cp:lastModifiedBy>佳慧</cp:lastModifiedBy>
  <cp:lastPrinted>2018-11-06T09:21:00Z</cp:lastPrinted>
  <dcterms:modified xsi:type="dcterms:W3CDTF">2025-12-05T08:25:39Z</dcterms:modified>
  <dc:title>招  标　文　件</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9343AD7377E645308019DDC1EE2853EC_13</vt:lpwstr>
  </property>
  <property fmtid="{D5CDD505-2E9C-101B-9397-08002B2CF9AE}" pid="4" name="KSOTemplateDocerSaveRecord">
    <vt:lpwstr>eyJoZGlkIjoiNzc0M2ViNzUwM2RhYjZhNDg2M2JiMGQ5ZTcyODNmZjUiLCJ1c2VySWQiOiIxNTU2NDAxMTc1In0=</vt:lpwstr>
  </property>
</Properties>
</file>