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ascii="新宋体" w:hAnsi="新宋体" w:eastAsia="新宋体"/>
          <w:color w:val="auto"/>
          <w:kern w:val="44"/>
          <w:sz w:val="30"/>
          <w:szCs w:val="30"/>
        </w:rPr>
      </w:pPr>
      <w:r>
        <w:rPr>
          <w:rFonts w:hint="eastAsia" w:ascii="新宋体" w:hAnsi="新宋体" w:eastAsia="新宋体"/>
          <w:color w:val="auto"/>
          <w:kern w:val="44"/>
          <w:sz w:val="30"/>
          <w:szCs w:val="30"/>
        </w:rPr>
        <w:t>第二章  招标项目需求</w:t>
      </w:r>
    </w:p>
    <w:p>
      <w:pPr>
        <w:pStyle w:val="3"/>
        <w:rPr>
          <w:rFonts w:ascii="新宋体" w:hAnsi="新宋体" w:eastAsia="新宋体"/>
          <w:color w:val="auto"/>
          <w:kern w:val="44"/>
          <w:szCs w:val="28"/>
        </w:rPr>
      </w:pPr>
      <w:r>
        <w:rPr>
          <w:rFonts w:hint="eastAsia" w:ascii="新宋体" w:hAnsi="新宋体" w:eastAsia="新宋体"/>
          <w:color w:val="auto"/>
          <w:kern w:val="44"/>
          <w:szCs w:val="28"/>
        </w:rPr>
        <w:t>一、对通用条款的补充内容</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6"/>
        <w:gridCol w:w="1889"/>
        <w:gridCol w:w="58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827" w:type="dxa"/>
            <w:vAlign w:val="center"/>
          </w:tcPr>
          <w:p>
            <w:pPr>
              <w:spacing w:line="276" w:lineRule="auto"/>
              <w:jc w:val="center"/>
              <w:rPr>
                <w:rFonts w:ascii="新宋体" w:hAnsi="新宋体" w:eastAsia="新宋体"/>
                <w:b/>
                <w:bCs/>
                <w:color w:val="auto"/>
              </w:rPr>
            </w:pPr>
            <w:r>
              <w:rPr>
                <w:rFonts w:hint="eastAsia" w:ascii="新宋体" w:hAnsi="新宋体" w:eastAsia="新宋体"/>
                <w:b/>
                <w:bCs/>
                <w:color w:val="auto"/>
              </w:rPr>
              <w:t>序号</w:t>
            </w:r>
          </w:p>
        </w:tc>
        <w:tc>
          <w:tcPr>
            <w:tcW w:w="2012" w:type="dxa"/>
            <w:vAlign w:val="center"/>
          </w:tcPr>
          <w:p>
            <w:pPr>
              <w:spacing w:line="276" w:lineRule="auto"/>
              <w:jc w:val="center"/>
              <w:rPr>
                <w:rFonts w:ascii="新宋体" w:hAnsi="新宋体" w:eastAsia="新宋体"/>
                <w:b/>
                <w:bCs/>
                <w:color w:val="auto"/>
              </w:rPr>
            </w:pPr>
            <w:r>
              <w:rPr>
                <w:rFonts w:hint="eastAsia" w:ascii="新宋体" w:hAnsi="新宋体" w:eastAsia="新宋体"/>
                <w:b/>
                <w:bCs/>
                <w:color w:val="auto"/>
              </w:rPr>
              <w:t>内   容</w:t>
            </w:r>
          </w:p>
        </w:tc>
        <w:tc>
          <w:tcPr>
            <w:tcW w:w="6239" w:type="dxa"/>
            <w:vAlign w:val="center"/>
          </w:tcPr>
          <w:p>
            <w:pPr>
              <w:spacing w:line="276" w:lineRule="auto"/>
              <w:jc w:val="center"/>
              <w:rPr>
                <w:rFonts w:ascii="新宋体" w:hAnsi="新宋体" w:eastAsia="新宋体"/>
                <w:b/>
                <w:bCs/>
                <w:color w:val="auto"/>
              </w:rPr>
            </w:pPr>
            <w:r>
              <w:rPr>
                <w:rFonts w:hint="eastAsia" w:ascii="新宋体" w:hAnsi="新宋体" w:eastAsia="新宋体"/>
                <w:b/>
                <w:bCs/>
                <w:color w:val="auto"/>
              </w:rPr>
              <w:t>规      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827" w:type="dxa"/>
            <w:vAlign w:val="center"/>
          </w:tcPr>
          <w:p>
            <w:pPr>
              <w:spacing w:line="276" w:lineRule="auto"/>
              <w:jc w:val="center"/>
              <w:rPr>
                <w:rFonts w:ascii="新宋体" w:hAnsi="新宋体" w:eastAsia="新宋体"/>
                <w:color w:val="auto"/>
              </w:rPr>
            </w:pPr>
            <w:r>
              <w:rPr>
                <w:rFonts w:hint="eastAsia" w:ascii="新宋体" w:hAnsi="新宋体" w:eastAsia="新宋体"/>
                <w:color w:val="auto"/>
              </w:rPr>
              <w:t>1</w:t>
            </w:r>
          </w:p>
        </w:tc>
        <w:tc>
          <w:tcPr>
            <w:tcW w:w="2012" w:type="dxa"/>
            <w:vAlign w:val="center"/>
          </w:tcPr>
          <w:p>
            <w:pPr>
              <w:spacing w:line="276" w:lineRule="auto"/>
              <w:rPr>
                <w:rFonts w:ascii="新宋体" w:hAnsi="新宋体" w:eastAsia="新宋体"/>
                <w:color w:val="auto"/>
              </w:rPr>
            </w:pPr>
            <w:r>
              <w:rPr>
                <w:rFonts w:hint="eastAsia" w:ascii="新宋体" w:hAnsi="新宋体" w:eastAsia="新宋体"/>
                <w:color w:val="auto"/>
              </w:rPr>
              <w:t>联合体投标</w:t>
            </w:r>
          </w:p>
        </w:tc>
        <w:tc>
          <w:tcPr>
            <w:tcW w:w="6239" w:type="dxa"/>
            <w:vAlign w:val="center"/>
          </w:tcPr>
          <w:p>
            <w:pPr>
              <w:spacing w:line="276" w:lineRule="auto"/>
              <w:rPr>
                <w:rFonts w:ascii="新宋体" w:hAnsi="新宋体" w:eastAsia="新宋体"/>
                <w:snapToGrid w:val="0"/>
                <w:color w:val="auto"/>
                <w:kern w:val="0"/>
                <w:szCs w:val="32"/>
                <w:u w:val="single"/>
                <w:lang w:val="zh-CN"/>
              </w:rPr>
            </w:pPr>
            <w:r>
              <w:rPr>
                <w:rFonts w:hint="eastAsia" w:ascii="新宋体" w:hAnsi="新宋体" w:eastAsia="新宋体"/>
                <w:snapToGrid w:val="0"/>
                <w:color w:val="auto"/>
                <w:kern w:val="0"/>
                <w:szCs w:val="32"/>
                <w:u w:val="single"/>
                <w:lang w:val="zh-CN"/>
              </w:rPr>
              <w:t>见《招标公告》中“投标人资格要求”部分的相关内容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827" w:type="dxa"/>
            <w:vAlign w:val="center"/>
          </w:tcPr>
          <w:p>
            <w:pPr>
              <w:spacing w:line="276" w:lineRule="auto"/>
              <w:jc w:val="center"/>
              <w:rPr>
                <w:rFonts w:ascii="新宋体" w:hAnsi="新宋体" w:eastAsia="新宋体"/>
                <w:color w:val="auto"/>
              </w:rPr>
            </w:pPr>
            <w:r>
              <w:rPr>
                <w:rFonts w:hint="eastAsia" w:ascii="新宋体" w:hAnsi="新宋体" w:eastAsia="新宋体"/>
                <w:color w:val="auto"/>
              </w:rPr>
              <w:t>2</w:t>
            </w:r>
          </w:p>
        </w:tc>
        <w:tc>
          <w:tcPr>
            <w:tcW w:w="2012" w:type="dxa"/>
            <w:vAlign w:val="center"/>
          </w:tcPr>
          <w:p>
            <w:pPr>
              <w:spacing w:line="276" w:lineRule="auto"/>
              <w:rPr>
                <w:rFonts w:ascii="新宋体" w:hAnsi="新宋体" w:eastAsia="新宋体"/>
                <w:color w:val="auto"/>
              </w:rPr>
            </w:pPr>
            <w:r>
              <w:rPr>
                <w:rFonts w:hint="eastAsia" w:ascii="新宋体" w:hAnsi="新宋体" w:eastAsia="新宋体"/>
                <w:color w:val="auto"/>
              </w:rPr>
              <w:t>投标有效期</w:t>
            </w:r>
          </w:p>
        </w:tc>
        <w:tc>
          <w:tcPr>
            <w:tcW w:w="6239" w:type="dxa"/>
            <w:vAlign w:val="center"/>
          </w:tcPr>
          <w:p>
            <w:pPr>
              <w:spacing w:line="276" w:lineRule="auto"/>
              <w:rPr>
                <w:rFonts w:ascii="新宋体" w:hAnsi="新宋体" w:eastAsia="新宋体"/>
                <w:color w:val="auto"/>
              </w:rPr>
            </w:pPr>
            <w:r>
              <w:rPr>
                <w:rFonts w:hint="eastAsia" w:ascii="新宋体" w:hAnsi="新宋体" w:eastAsia="新宋体"/>
                <w:color w:val="auto"/>
                <w:u w:val="single"/>
              </w:rPr>
              <w:t>120</w:t>
            </w:r>
            <w:r>
              <w:rPr>
                <w:rFonts w:ascii="新宋体" w:hAnsi="新宋体" w:eastAsia="新宋体"/>
                <w:color w:val="auto"/>
                <w:u w:val="single"/>
              </w:rPr>
              <w:t>日历天</w:t>
            </w:r>
            <w:r>
              <w:rPr>
                <w:rFonts w:ascii="新宋体" w:hAnsi="新宋体" w:eastAsia="新宋体"/>
                <w:color w:val="auto"/>
              </w:rPr>
              <w:t>（从投标截止之日算起）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827" w:type="dxa"/>
            <w:vAlign w:val="center"/>
          </w:tcPr>
          <w:p>
            <w:pPr>
              <w:spacing w:line="276" w:lineRule="auto"/>
              <w:jc w:val="center"/>
              <w:rPr>
                <w:rFonts w:ascii="新宋体" w:hAnsi="新宋体" w:eastAsia="新宋体"/>
                <w:color w:val="auto"/>
              </w:rPr>
            </w:pPr>
            <w:r>
              <w:rPr>
                <w:rFonts w:hint="eastAsia" w:ascii="新宋体" w:hAnsi="新宋体" w:eastAsia="新宋体"/>
                <w:color w:val="auto"/>
              </w:rPr>
              <w:t>3</w:t>
            </w:r>
          </w:p>
        </w:tc>
        <w:tc>
          <w:tcPr>
            <w:tcW w:w="2012" w:type="dxa"/>
            <w:vAlign w:val="center"/>
          </w:tcPr>
          <w:p>
            <w:pPr>
              <w:spacing w:line="276" w:lineRule="auto"/>
              <w:rPr>
                <w:rFonts w:ascii="新宋体" w:hAnsi="新宋体" w:eastAsia="新宋体"/>
                <w:color w:val="auto"/>
              </w:rPr>
            </w:pPr>
            <w:r>
              <w:rPr>
                <w:rFonts w:hint="eastAsia" w:ascii="新宋体" w:hAnsi="新宋体" w:eastAsia="新宋体"/>
                <w:color w:val="auto"/>
              </w:rPr>
              <w:t>投标人的替代方案</w:t>
            </w:r>
          </w:p>
        </w:tc>
        <w:tc>
          <w:tcPr>
            <w:tcW w:w="6239" w:type="dxa"/>
            <w:vAlign w:val="center"/>
          </w:tcPr>
          <w:p>
            <w:pPr>
              <w:spacing w:line="276" w:lineRule="auto"/>
              <w:rPr>
                <w:rFonts w:ascii="新宋体" w:hAnsi="新宋体" w:eastAsia="新宋体"/>
                <w:color w:val="auto"/>
              </w:rPr>
            </w:pPr>
            <w:r>
              <w:rPr>
                <w:rFonts w:hint="eastAsia" w:ascii="新宋体" w:hAnsi="新宋体" w:eastAsia="新宋体"/>
                <w:color w:val="auto"/>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827" w:type="dxa"/>
            <w:vAlign w:val="center"/>
          </w:tcPr>
          <w:p>
            <w:pPr>
              <w:spacing w:line="276" w:lineRule="auto"/>
              <w:jc w:val="center"/>
              <w:rPr>
                <w:rFonts w:ascii="新宋体" w:hAnsi="新宋体" w:eastAsia="新宋体"/>
                <w:color w:val="auto"/>
              </w:rPr>
            </w:pPr>
            <w:r>
              <w:rPr>
                <w:rFonts w:hint="eastAsia" w:ascii="新宋体" w:hAnsi="新宋体" w:eastAsia="新宋体"/>
                <w:color w:val="auto"/>
              </w:rPr>
              <w:t>4</w:t>
            </w:r>
          </w:p>
        </w:tc>
        <w:tc>
          <w:tcPr>
            <w:tcW w:w="2012" w:type="dxa"/>
            <w:vAlign w:val="center"/>
          </w:tcPr>
          <w:p>
            <w:pPr>
              <w:spacing w:line="276" w:lineRule="auto"/>
              <w:rPr>
                <w:rFonts w:ascii="新宋体" w:hAnsi="新宋体" w:eastAsia="新宋体"/>
                <w:color w:val="auto"/>
              </w:rPr>
            </w:pPr>
            <w:r>
              <w:rPr>
                <w:rFonts w:hint="eastAsia" w:ascii="新宋体" w:hAnsi="新宋体" w:eastAsia="新宋体"/>
                <w:color w:val="auto"/>
              </w:rPr>
              <w:t>投标文件的投递</w:t>
            </w:r>
          </w:p>
        </w:tc>
        <w:tc>
          <w:tcPr>
            <w:tcW w:w="6239" w:type="dxa"/>
            <w:vAlign w:val="center"/>
          </w:tcPr>
          <w:p>
            <w:pPr>
              <w:spacing w:line="276" w:lineRule="auto"/>
              <w:rPr>
                <w:rFonts w:ascii="新宋体" w:hAnsi="新宋体" w:eastAsia="新宋体"/>
                <w:color w:val="auto"/>
              </w:rPr>
            </w:pPr>
            <w:r>
              <w:rPr>
                <w:rFonts w:hint="eastAsia" w:ascii="新宋体" w:hAnsi="新宋体" w:eastAsia="新宋体"/>
                <w:snapToGrid w:val="0"/>
                <w:color w:val="auto"/>
                <w:szCs w:val="21"/>
                <w:lang w:val="zh-CN"/>
              </w:rPr>
              <w:t>本项目实行</w:t>
            </w:r>
            <w:bookmarkStart w:id="0" w:name="投递标书方式"/>
            <w:r>
              <w:rPr>
                <w:rFonts w:hint="eastAsia" w:ascii="新宋体" w:hAnsi="新宋体" w:eastAsia="新宋体"/>
                <w:snapToGrid w:val="0"/>
                <w:color w:val="auto"/>
                <w:szCs w:val="21"/>
                <w:u w:val="single"/>
                <w:lang w:val="zh-CN"/>
              </w:rPr>
              <w:t>网下投标</w:t>
            </w:r>
            <w:bookmarkEnd w:id="0"/>
            <w:r>
              <w:rPr>
                <w:rFonts w:hint="eastAsia" w:ascii="新宋体" w:hAnsi="新宋体" w:eastAsia="新宋体"/>
                <w:snapToGrid w:val="0"/>
                <w:color w:val="auto"/>
                <w:szCs w:val="21"/>
                <w:lang w:val="zh-CN"/>
              </w:rPr>
              <w:t>，按照招标文件的要求提交纸质文件正本1份，副本4份，电子文件1份（WORD和PDF格式电子文档各1份）电子文档要求U盘，PDF格式有签字盖章，不留密码，无病毒，不压缩，密封提交，所有</w:t>
            </w:r>
            <w:r>
              <w:rPr>
                <w:rFonts w:hint="eastAsia" w:ascii="新宋体" w:hAnsi="新宋体" w:eastAsia="新宋体" w:cs="宋体"/>
                <w:snapToGrid w:val="0"/>
                <w:color w:val="auto"/>
                <w:szCs w:val="21"/>
                <w:lang w:val="zh-CN"/>
              </w:rPr>
              <w:t>应答文件</w:t>
            </w:r>
            <w:r>
              <w:rPr>
                <w:rFonts w:ascii="新宋体" w:hAnsi="新宋体" w:eastAsia="新宋体"/>
                <w:snapToGrid w:val="0"/>
                <w:color w:val="auto"/>
                <w:szCs w:val="21"/>
                <w:lang w:val="zh-CN"/>
              </w:rPr>
              <w:t>应于</w:t>
            </w:r>
            <w:r>
              <w:rPr>
                <w:rFonts w:hint="eastAsia" w:ascii="新宋体" w:hAnsi="新宋体" w:eastAsia="新宋体"/>
                <w:snapToGrid w:val="0"/>
                <w:color w:val="auto"/>
                <w:szCs w:val="21"/>
                <w:lang w:val="zh-CN"/>
              </w:rPr>
              <w:t>递交截止时间</w:t>
            </w:r>
            <w:r>
              <w:rPr>
                <w:rFonts w:ascii="新宋体" w:hAnsi="新宋体" w:eastAsia="新宋体"/>
                <w:snapToGrid w:val="0"/>
                <w:color w:val="auto"/>
                <w:szCs w:val="21"/>
                <w:lang w:val="zh-CN"/>
              </w:rPr>
              <w:t>之前</w:t>
            </w:r>
            <w:r>
              <w:rPr>
                <w:rFonts w:hint="eastAsia" w:ascii="新宋体" w:hAnsi="新宋体" w:eastAsia="新宋体"/>
                <w:snapToGrid w:val="0"/>
                <w:color w:val="auto"/>
                <w:szCs w:val="21"/>
                <w:lang w:val="zh-CN"/>
              </w:rPr>
              <w:t>送达招标文件规定的地址</w:t>
            </w:r>
            <w:r>
              <w:rPr>
                <w:rFonts w:ascii="新宋体" w:hAnsi="新宋体" w:eastAsia="新宋体"/>
                <w:snapToGrid w:val="0"/>
                <w:color w:val="auto"/>
                <w:szCs w:val="21"/>
                <w:lang w:val="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827" w:type="dxa"/>
            <w:vAlign w:val="center"/>
          </w:tcPr>
          <w:p>
            <w:pPr>
              <w:spacing w:line="276" w:lineRule="auto"/>
              <w:jc w:val="center"/>
              <w:rPr>
                <w:rFonts w:ascii="新宋体" w:hAnsi="新宋体" w:eastAsia="新宋体"/>
                <w:color w:val="auto"/>
              </w:rPr>
            </w:pPr>
            <w:r>
              <w:rPr>
                <w:rFonts w:hint="eastAsia" w:ascii="新宋体" w:hAnsi="新宋体" w:eastAsia="新宋体"/>
                <w:color w:val="auto"/>
              </w:rPr>
              <w:t>5</w:t>
            </w:r>
          </w:p>
        </w:tc>
        <w:tc>
          <w:tcPr>
            <w:tcW w:w="2012" w:type="dxa"/>
            <w:vAlign w:val="center"/>
          </w:tcPr>
          <w:p>
            <w:pPr>
              <w:spacing w:line="276" w:lineRule="auto"/>
              <w:rPr>
                <w:rFonts w:ascii="新宋体" w:hAnsi="新宋体" w:eastAsia="新宋体"/>
                <w:color w:val="auto"/>
              </w:rPr>
            </w:pPr>
            <w:r>
              <w:rPr>
                <w:rFonts w:hint="eastAsia" w:ascii="新宋体" w:hAnsi="新宋体" w:eastAsia="新宋体"/>
                <w:color w:val="auto"/>
              </w:rPr>
              <w:t>履约保证金</w:t>
            </w:r>
          </w:p>
        </w:tc>
        <w:tc>
          <w:tcPr>
            <w:tcW w:w="6239" w:type="dxa"/>
            <w:vAlign w:val="center"/>
          </w:tcPr>
          <w:p>
            <w:pPr>
              <w:spacing w:line="276" w:lineRule="auto"/>
              <w:rPr>
                <w:rFonts w:ascii="新宋体" w:hAnsi="新宋体" w:eastAsia="新宋体"/>
                <w:color w:val="auto"/>
              </w:rPr>
            </w:pPr>
            <w:r>
              <w:rPr>
                <w:rFonts w:hint="eastAsia" w:ascii="新宋体" w:hAnsi="新宋体" w:eastAsia="新宋体"/>
                <w:color w:val="auto"/>
              </w:rPr>
              <w:t>_____万元或合同金额的_____%，缴纳方式：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827" w:type="dxa"/>
            <w:vAlign w:val="center"/>
          </w:tcPr>
          <w:p>
            <w:pPr>
              <w:spacing w:line="276" w:lineRule="auto"/>
              <w:jc w:val="center"/>
              <w:rPr>
                <w:rFonts w:ascii="新宋体" w:hAnsi="新宋体" w:eastAsia="新宋体"/>
                <w:color w:val="auto"/>
              </w:rPr>
            </w:pPr>
            <w:r>
              <w:rPr>
                <w:rFonts w:hint="eastAsia" w:ascii="新宋体" w:hAnsi="新宋体" w:eastAsia="新宋体"/>
                <w:color w:val="auto"/>
              </w:rPr>
              <w:t>6</w:t>
            </w:r>
          </w:p>
        </w:tc>
        <w:tc>
          <w:tcPr>
            <w:tcW w:w="2012" w:type="dxa"/>
            <w:vAlign w:val="center"/>
          </w:tcPr>
          <w:p>
            <w:pPr>
              <w:spacing w:line="276" w:lineRule="auto"/>
              <w:rPr>
                <w:rFonts w:ascii="新宋体" w:hAnsi="新宋体" w:eastAsia="新宋体"/>
                <w:color w:val="auto"/>
              </w:rPr>
            </w:pPr>
            <w:r>
              <w:rPr>
                <w:rFonts w:hint="eastAsia" w:ascii="新宋体" w:hAnsi="新宋体" w:eastAsia="新宋体"/>
                <w:color w:val="auto"/>
              </w:rPr>
              <w:t>中标</w:t>
            </w:r>
            <w:r>
              <w:rPr>
                <w:rFonts w:ascii="新宋体" w:hAnsi="新宋体" w:eastAsia="新宋体"/>
                <w:color w:val="auto"/>
              </w:rPr>
              <w:t>服务费</w:t>
            </w:r>
          </w:p>
        </w:tc>
        <w:tc>
          <w:tcPr>
            <w:tcW w:w="6239" w:type="dxa"/>
            <w:vAlign w:val="center"/>
          </w:tcPr>
          <w:p>
            <w:pPr>
              <w:spacing w:line="276" w:lineRule="auto"/>
              <w:rPr>
                <w:rFonts w:ascii="新宋体" w:hAnsi="新宋体" w:eastAsia="新宋体"/>
                <w:color w:val="auto"/>
              </w:rPr>
            </w:pPr>
            <w:r>
              <w:rPr>
                <w:rFonts w:hint="eastAsia" w:ascii="新宋体" w:hAnsi="新宋体" w:eastAsia="新宋体"/>
                <w:color w:val="auto"/>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pPr>
        <w:spacing w:line="360" w:lineRule="auto"/>
        <w:rPr>
          <w:rFonts w:ascii="新宋体" w:hAnsi="新宋体" w:eastAsia="新宋体"/>
          <w:b/>
          <w:color w:val="auto"/>
        </w:rPr>
      </w:pPr>
      <w:r>
        <w:rPr>
          <w:rFonts w:hint="eastAsia" w:ascii="新宋体" w:hAnsi="新宋体" w:eastAsia="新宋体"/>
          <w:color w:val="auto"/>
          <w:szCs w:val="21"/>
        </w:rPr>
        <w:t>备注：本表为通用条款相关内容的补充和明确，如与通用条款相冲突的以本表为准。</w:t>
      </w:r>
    </w:p>
    <w:p>
      <w:pPr>
        <w:rPr>
          <w:rFonts w:ascii="新宋体" w:hAnsi="新宋体" w:eastAsia="新宋体"/>
          <w:b/>
          <w:color w:val="auto"/>
        </w:rPr>
      </w:pPr>
    </w:p>
    <w:p>
      <w:pPr>
        <w:pStyle w:val="3"/>
        <w:rPr>
          <w:rFonts w:ascii="新宋体" w:hAnsi="新宋体" w:eastAsia="新宋体"/>
          <w:color w:val="auto"/>
          <w:kern w:val="44"/>
          <w:szCs w:val="28"/>
        </w:rPr>
      </w:pPr>
      <w:bookmarkStart w:id="1" w:name="_Toc128884461"/>
      <w:r>
        <w:rPr>
          <w:rFonts w:hint="eastAsia" w:ascii="新宋体" w:hAnsi="新宋体" w:eastAsia="新宋体"/>
          <w:color w:val="auto"/>
          <w:kern w:val="44"/>
          <w:szCs w:val="28"/>
        </w:rPr>
        <w:t>二、实质性条款</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
        <w:gridCol w:w="75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pPr>
              <w:spacing w:line="276" w:lineRule="auto"/>
              <w:rPr>
                <w:rFonts w:ascii="新宋体" w:hAnsi="新宋体" w:eastAsia="新宋体"/>
                <w:color w:val="auto"/>
              </w:rPr>
            </w:pPr>
            <w:r>
              <w:rPr>
                <w:rFonts w:hint="eastAsia" w:ascii="新宋体" w:hAnsi="新宋体" w:eastAsia="新宋体"/>
                <w:color w:val="auto"/>
              </w:rPr>
              <w:t>序号</w:t>
            </w:r>
          </w:p>
        </w:tc>
        <w:tc>
          <w:tcPr>
            <w:tcW w:w="7938" w:type="dxa"/>
            <w:vAlign w:val="center"/>
          </w:tcPr>
          <w:p>
            <w:pPr>
              <w:spacing w:line="276" w:lineRule="auto"/>
              <w:rPr>
                <w:rFonts w:ascii="新宋体" w:hAnsi="新宋体" w:eastAsia="新宋体"/>
                <w:color w:val="auto"/>
              </w:rPr>
            </w:pPr>
            <w:r>
              <w:rPr>
                <w:rFonts w:hint="eastAsia" w:ascii="新宋体" w:hAnsi="新宋体" w:eastAsia="新宋体"/>
                <w:color w:val="auto"/>
              </w:rPr>
              <w:t>具体内容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pPr>
              <w:spacing w:line="276" w:lineRule="auto"/>
              <w:rPr>
                <w:rFonts w:ascii="新宋体" w:hAnsi="新宋体" w:eastAsia="新宋体"/>
                <w:color w:val="auto"/>
              </w:rPr>
            </w:pPr>
            <w:r>
              <w:rPr>
                <w:rFonts w:hint="eastAsia" w:ascii="新宋体" w:hAnsi="新宋体" w:eastAsia="新宋体"/>
                <w:color w:val="auto"/>
              </w:rPr>
              <w:t>1</w:t>
            </w:r>
          </w:p>
        </w:tc>
        <w:tc>
          <w:tcPr>
            <w:tcW w:w="7938" w:type="dxa"/>
            <w:vAlign w:val="center"/>
          </w:tcPr>
          <w:p>
            <w:pPr>
              <w:spacing w:line="276" w:lineRule="auto"/>
              <w:rPr>
                <w:rFonts w:ascii="新宋体" w:hAnsi="新宋体" w:eastAsia="新宋体"/>
                <w:color w:val="auto"/>
              </w:rPr>
            </w:pPr>
            <w:r>
              <w:rPr>
                <w:rFonts w:hint="eastAsia" w:ascii="新宋体" w:hAnsi="新宋体" w:eastAsia="新宋体"/>
                <w:color w:val="auto"/>
              </w:rPr>
              <w:t>完全满足本项目服务期限的要求。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pPr>
              <w:spacing w:line="276" w:lineRule="auto"/>
              <w:rPr>
                <w:rFonts w:ascii="新宋体" w:hAnsi="新宋体" w:eastAsia="新宋体"/>
                <w:color w:val="auto"/>
              </w:rPr>
            </w:pPr>
            <w:r>
              <w:rPr>
                <w:rFonts w:hint="eastAsia" w:ascii="新宋体" w:hAnsi="新宋体" w:eastAsia="新宋体"/>
                <w:color w:val="auto"/>
              </w:rPr>
              <w:t>2</w:t>
            </w:r>
          </w:p>
        </w:tc>
        <w:tc>
          <w:tcPr>
            <w:tcW w:w="7938" w:type="dxa"/>
            <w:vAlign w:val="center"/>
          </w:tcPr>
          <w:p>
            <w:pPr>
              <w:spacing w:line="276" w:lineRule="auto"/>
              <w:rPr>
                <w:rFonts w:ascii="新宋体" w:hAnsi="新宋体" w:eastAsia="新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pPr>
              <w:spacing w:line="276" w:lineRule="auto"/>
              <w:rPr>
                <w:rFonts w:ascii="新宋体" w:hAnsi="新宋体" w:eastAsia="新宋体"/>
                <w:color w:val="auto"/>
              </w:rPr>
            </w:pPr>
            <w:r>
              <w:rPr>
                <w:rFonts w:hint="eastAsia" w:ascii="新宋体" w:hAnsi="新宋体" w:eastAsia="新宋体"/>
                <w:color w:val="auto"/>
              </w:rPr>
              <w:t>……</w:t>
            </w:r>
          </w:p>
        </w:tc>
        <w:tc>
          <w:tcPr>
            <w:tcW w:w="7938" w:type="dxa"/>
            <w:vAlign w:val="center"/>
          </w:tcPr>
          <w:p>
            <w:pPr>
              <w:spacing w:line="276" w:lineRule="auto"/>
              <w:rPr>
                <w:rFonts w:ascii="新宋体" w:hAnsi="新宋体" w:eastAsia="新宋体"/>
                <w:color w:val="auto"/>
              </w:rPr>
            </w:pPr>
          </w:p>
        </w:tc>
      </w:tr>
    </w:tbl>
    <w:p>
      <w:pPr>
        <w:widowControl/>
        <w:spacing w:after="100" w:afterAutospacing="1" w:line="276" w:lineRule="auto"/>
        <w:jc w:val="left"/>
        <w:rPr>
          <w:rFonts w:ascii="新宋体" w:hAnsi="新宋体" w:eastAsia="新宋体"/>
          <w:color w:val="auto"/>
          <w:kern w:val="0"/>
          <w:szCs w:val="21"/>
        </w:rPr>
      </w:pPr>
      <w:r>
        <w:rPr>
          <w:rFonts w:hint="eastAsia" w:ascii="新宋体" w:hAnsi="新宋体" w:eastAsia="新宋体"/>
          <w:color w:val="auto"/>
          <w:kern w:val="0"/>
          <w:szCs w:val="21"/>
        </w:rPr>
        <w:t>注：上表所列内容为不可负偏离条款</w:t>
      </w:r>
    </w:p>
    <w:bookmarkEnd w:id="1"/>
    <w:p>
      <w:pPr>
        <w:pStyle w:val="3"/>
        <w:rPr>
          <w:rFonts w:ascii="新宋体" w:hAnsi="新宋体" w:eastAsia="新宋体"/>
          <w:color w:val="auto"/>
          <w:kern w:val="44"/>
          <w:szCs w:val="28"/>
        </w:rPr>
      </w:pPr>
      <w:r>
        <w:rPr>
          <w:rFonts w:hint="eastAsia" w:ascii="新宋体" w:hAnsi="新宋体" w:eastAsia="新宋体"/>
          <w:color w:val="auto"/>
          <w:kern w:val="44"/>
          <w:szCs w:val="28"/>
        </w:rPr>
        <w:t>三、项目概况</w:t>
      </w:r>
    </w:p>
    <w:p>
      <w:pPr>
        <w:spacing w:line="360" w:lineRule="auto"/>
        <w:rPr>
          <w:rFonts w:hint="eastAsia" w:ascii="新宋体" w:hAnsi="新宋体" w:eastAsia="新宋体" w:cs="宋体"/>
          <w:color w:val="auto"/>
          <w:szCs w:val="21"/>
          <w:lang w:val="en-US" w:eastAsia="zh-CN"/>
        </w:rPr>
      </w:pPr>
      <w:r>
        <w:rPr>
          <w:rFonts w:hint="eastAsia" w:ascii="新宋体" w:hAnsi="新宋体" w:eastAsia="新宋体" w:cs="宋体"/>
          <w:color w:val="auto"/>
          <w:szCs w:val="21"/>
        </w:rPr>
        <w:t>（一）</w:t>
      </w:r>
      <w:r>
        <w:rPr>
          <w:rFonts w:ascii="新宋体" w:hAnsi="新宋体" w:eastAsia="新宋体" w:cs="宋体"/>
          <w:color w:val="auto"/>
          <w:szCs w:val="21"/>
        </w:rPr>
        <w:t>预算</w:t>
      </w:r>
      <w:r>
        <w:rPr>
          <w:rFonts w:hint="eastAsia" w:ascii="新宋体" w:hAnsi="新宋体" w:eastAsia="新宋体" w:cs="宋体"/>
          <w:color w:val="auto"/>
          <w:szCs w:val="21"/>
        </w:rPr>
        <w:t>金额:</w:t>
      </w:r>
      <w:r>
        <w:rPr>
          <w:rFonts w:hint="eastAsia" w:ascii="新宋体" w:hAnsi="新宋体" w:eastAsia="新宋体" w:cs="宋体"/>
          <w:color w:val="auto"/>
          <w:szCs w:val="21"/>
          <w:lang w:val="en-US" w:eastAsia="zh-CN"/>
        </w:rPr>
        <w:t>人民币柒拾壹万元整</w:t>
      </w:r>
      <w:r>
        <w:rPr>
          <w:rFonts w:hint="eastAsia" w:ascii="新宋体" w:hAnsi="新宋体" w:eastAsia="新宋体" w:cs="宋体"/>
          <w:color w:val="auto"/>
          <w:szCs w:val="21"/>
          <w:lang w:eastAsia="zh-CN"/>
        </w:rPr>
        <w:t>（</w:t>
      </w:r>
      <w:r>
        <w:rPr>
          <w:rFonts w:hint="eastAsia" w:ascii="新宋体" w:hAnsi="新宋体" w:eastAsia="新宋体" w:cs="宋体"/>
          <w:color w:val="auto"/>
          <w:szCs w:val="21"/>
          <w:lang w:val="en-US" w:eastAsia="zh-CN"/>
        </w:rPr>
        <w:t>710,000.00</w:t>
      </w:r>
      <w:r>
        <w:rPr>
          <w:rFonts w:hint="eastAsia" w:ascii="新宋体" w:hAnsi="新宋体" w:eastAsia="新宋体" w:cs="宋体"/>
          <w:color w:val="auto"/>
          <w:szCs w:val="21"/>
          <w:lang w:eastAsia="zh-CN"/>
        </w:rPr>
        <w:t>）</w:t>
      </w:r>
      <w:r>
        <w:rPr>
          <w:rFonts w:hint="eastAsia" w:ascii="新宋体" w:hAnsi="新宋体" w:eastAsia="新宋体" w:cs="宋体"/>
          <w:color w:val="auto"/>
          <w:szCs w:val="21"/>
        </w:rPr>
        <w:t>，</w:t>
      </w:r>
      <w:r>
        <w:rPr>
          <w:rFonts w:ascii="新宋体" w:hAnsi="新宋体" w:eastAsia="新宋体" w:cs="宋体"/>
          <w:color w:val="auto"/>
          <w:szCs w:val="21"/>
        </w:rPr>
        <w:t>最高投标限价</w:t>
      </w:r>
      <w:r>
        <w:rPr>
          <w:rFonts w:hint="eastAsia" w:ascii="新宋体" w:hAnsi="新宋体" w:eastAsia="新宋体" w:cs="宋体"/>
          <w:color w:val="auto"/>
          <w:szCs w:val="21"/>
        </w:rPr>
        <w:t>:</w:t>
      </w:r>
      <w:r>
        <w:rPr>
          <w:rFonts w:hint="eastAsia" w:ascii="新宋体" w:hAnsi="新宋体" w:eastAsia="新宋体" w:cs="宋体"/>
          <w:color w:val="auto"/>
          <w:szCs w:val="21"/>
          <w:lang w:val="en-US" w:eastAsia="zh-CN"/>
        </w:rPr>
        <w:t>人民币柒拾壹万元整</w:t>
      </w:r>
      <w:r>
        <w:rPr>
          <w:rFonts w:hint="eastAsia" w:ascii="新宋体" w:hAnsi="新宋体" w:eastAsia="新宋体" w:cs="宋体"/>
          <w:color w:val="auto"/>
          <w:szCs w:val="21"/>
          <w:lang w:eastAsia="zh-CN"/>
        </w:rPr>
        <w:t>（</w:t>
      </w:r>
      <w:r>
        <w:rPr>
          <w:rFonts w:hint="eastAsia" w:ascii="新宋体" w:hAnsi="新宋体" w:eastAsia="新宋体" w:cs="宋体"/>
          <w:color w:val="auto"/>
          <w:szCs w:val="21"/>
          <w:lang w:val="en-US" w:eastAsia="zh-CN"/>
        </w:rPr>
        <w:t>710,000.00</w:t>
      </w:r>
      <w:r>
        <w:rPr>
          <w:rFonts w:hint="eastAsia" w:ascii="新宋体" w:hAnsi="新宋体" w:eastAsia="新宋体" w:cs="宋体"/>
          <w:color w:val="auto"/>
          <w:szCs w:val="21"/>
          <w:lang w:eastAsia="zh-CN"/>
        </w:rPr>
        <w:t>）</w:t>
      </w:r>
    </w:p>
    <w:p>
      <w:pPr>
        <w:rPr>
          <w:rFonts w:ascii="新宋体" w:hAnsi="新宋体" w:eastAsia="新宋体"/>
          <w:b/>
          <w:bCs/>
          <w:color w:val="auto"/>
          <w:szCs w:val="21"/>
        </w:rPr>
      </w:pPr>
      <w:r>
        <w:rPr>
          <w:rFonts w:hint="eastAsia" w:ascii="新宋体" w:hAnsi="新宋体" w:eastAsia="新宋体" w:cs="宋体"/>
          <w:color w:val="auto"/>
          <w:szCs w:val="21"/>
        </w:rPr>
        <w:t>（二）项目概况:根据《深圳市福田区政府法律顾问管理办法》等文件要求，为保障我局各项工作合法合规进行，拟通过政府购买服务方式公开招标聘请律师事务所法律服务团队担任我局法律顾问，协助我局开展法治政府建设工作，为我局提供全面法律服务，在重大行政决策、生态环境行政执法、行政复议和诉讼、普法宣传、执法培训、合同审核、政府信息公开等方面提供专业法律意见，发挥事前防范风险、事中依法行政、事后化解矛盾的重要作用，</w:t>
      </w:r>
    </w:p>
    <w:p>
      <w:pPr>
        <w:pStyle w:val="3"/>
        <w:rPr>
          <w:rFonts w:ascii="新宋体" w:hAnsi="新宋体" w:eastAsia="新宋体"/>
          <w:color w:val="auto"/>
          <w:kern w:val="44"/>
          <w:szCs w:val="28"/>
        </w:rPr>
      </w:pPr>
      <w:r>
        <w:rPr>
          <w:rFonts w:hint="eastAsia" w:ascii="新宋体" w:hAnsi="新宋体" w:eastAsia="新宋体"/>
          <w:color w:val="auto"/>
          <w:kern w:val="44"/>
          <w:szCs w:val="28"/>
        </w:rPr>
        <w:t>四、项目技术要求</w:t>
      </w:r>
    </w:p>
    <w:p>
      <w:pPr>
        <w:pStyle w:val="9"/>
        <w:widowControl w:val="0"/>
        <w:numPr>
          <w:ilvl w:val="0"/>
          <w:numId w:val="1"/>
        </w:numPr>
        <w:pBdr>
          <w:top w:val="none" w:color="auto" w:sz="0" w:space="1"/>
          <w:left w:val="none" w:color="auto" w:sz="0" w:space="4"/>
          <w:bottom w:val="none" w:color="auto" w:sz="0" w:space="1"/>
          <w:right w:val="none" w:color="auto" w:sz="0" w:space="4"/>
          <w:between w:val="none" w:color="auto" w:sz="0" w:space="0"/>
        </w:pBdr>
        <w:shd w:val="clear" w:color="auto" w:fill="auto"/>
        <w:ind w:leftChars="0" w:firstLineChars="0"/>
        <w:jc w:val="both"/>
        <w:rPr>
          <w:rFonts w:hint="default" w:ascii="宋体" w:hAnsi="宋体" w:cs="宋体"/>
          <w:b/>
          <w:bCs/>
          <w:color w:val="auto"/>
          <w:szCs w:val="21"/>
          <w:highlight w:val="none"/>
          <w:shd w:val="clear" w:color="auto" w:fill="auto"/>
        </w:rPr>
      </w:pPr>
      <w:r>
        <w:rPr>
          <w:rFonts w:hint="eastAsia" w:ascii="宋体" w:hAnsi="宋体" w:cs="宋体"/>
          <w:b/>
          <w:bCs/>
          <w:color w:val="auto"/>
          <w:szCs w:val="21"/>
          <w:highlight w:val="none"/>
          <w:shd w:val="clear" w:color="auto" w:fill="auto"/>
        </w:rPr>
        <w:t>服务内容</w:t>
      </w:r>
    </w:p>
    <w:p>
      <w:pPr>
        <w:spacing w:line="240" w:lineRule="auto"/>
        <w:ind w:firstLine="420" w:firstLineChars="200"/>
        <w:rPr>
          <w:rFonts w:hint="default" w:ascii="新宋体" w:hAnsi="新宋体" w:eastAsia="新宋体"/>
          <w:color w:val="auto"/>
          <w:highlight w:val="none"/>
        </w:rPr>
      </w:pPr>
      <w:r>
        <w:rPr>
          <w:rFonts w:hint="eastAsia" w:ascii="新宋体" w:hAnsi="新宋体" w:eastAsia="新宋体"/>
          <w:color w:val="auto"/>
          <w:highlight w:val="none"/>
        </w:rPr>
        <w:t xml:space="preserve"> 1.</w:t>
      </w:r>
      <w:r>
        <w:rPr>
          <w:rFonts w:hint="default" w:ascii="新宋体" w:hAnsi="新宋体" w:eastAsia="新宋体"/>
          <w:color w:val="auto"/>
          <w:highlight w:val="none"/>
        </w:rPr>
        <w:t>根据采购人的委托</w:t>
      </w:r>
      <w:r>
        <w:rPr>
          <w:rFonts w:hint="eastAsia" w:ascii="新宋体" w:hAnsi="新宋体" w:eastAsia="新宋体"/>
          <w:color w:val="auto"/>
          <w:highlight w:val="none"/>
        </w:rPr>
        <w:t>代理行政复议、诉讼案件（预计202</w:t>
      </w:r>
      <w:r>
        <w:rPr>
          <w:rFonts w:hint="default" w:ascii="新宋体" w:hAnsi="新宋体" w:eastAsia="新宋体"/>
          <w:color w:val="auto"/>
          <w:highlight w:val="none"/>
        </w:rPr>
        <w:t>4</w:t>
      </w:r>
      <w:r>
        <w:rPr>
          <w:rFonts w:hint="eastAsia" w:ascii="新宋体" w:hAnsi="新宋体" w:eastAsia="新宋体"/>
          <w:color w:val="auto"/>
          <w:highlight w:val="none"/>
        </w:rPr>
        <w:t>年行政复议案件不超过</w:t>
      </w:r>
      <w:r>
        <w:rPr>
          <w:rFonts w:hint="default" w:ascii="新宋体" w:hAnsi="新宋体" w:eastAsia="新宋体"/>
          <w:color w:val="auto"/>
          <w:highlight w:val="none"/>
        </w:rPr>
        <w:t>5</w:t>
      </w:r>
      <w:r>
        <w:rPr>
          <w:rFonts w:hint="eastAsia" w:ascii="新宋体" w:hAnsi="新宋体" w:eastAsia="新宋体"/>
          <w:color w:val="auto"/>
          <w:highlight w:val="none"/>
        </w:rPr>
        <w:t>宗、行政诉讼案件不超过2宗）</w:t>
      </w:r>
    </w:p>
    <w:p>
      <w:pPr>
        <w:spacing w:line="240" w:lineRule="auto"/>
        <w:ind w:firstLine="420" w:firstLineChars="200"/>
        <w:rPr>
          <w:rFonts w:hint="default" w:ascii="新宋体" w:hAnsi="新宋体" w:eastAsia="新宋体"/>
          <w:color w:val="auto"/>
          <w:highlight w:val="none"/>
        </w:rPr>
      </w:pPr>
      <w:r>
        <w:rPr>
          <w:rFonts w:hint="eastAsia" w:ascii="新宋体" w:hAnsi="新宋体" w:eastAsia="新宋体"/>
          <w:color w:val="auto"/>
          <w:highlight w:val="none"/>
        </w:rPr>
        <w:t>（1）签收相关法律文书并在收到法律文书2日内转交采购人</w:t>
      </w:r>
    </w:p>
    <w:p>
      <w:pPr>
        <w:spacing w:line="240" w:lineRule="auto"/>
        <w:ind w:firstLine="420" w:firstLineChars="200"/>
        <w:rPr>
          <w:rFonts w:hint="default" w:ascii="新宋体" w:hAnsi="新宋体" w:eastAsia="新宋体"/>
          <w:color w:val="auto"/>
          <w:highlight w:val="none"/>
        </w:rPr>
      </w:pPr>
      <w:r>
        <w:rPr>
          <w:rFonts w:hint="default" w:ascii="新宋体" w:hAnsi="新宋体" w:eastAsia="新宋体"/>
          <w:color w:val="auto"/>
          <w:highlight w:val="none"/>
        </w:rPr>
        <w:t>（2）</w:t>
      </w:r>
      <w:r>
        <w:rPr>
          <w:rFonts w:hint="eastAsia" w:ascii="新宋体" w:hAnsi="新宋体" w:eastAsia="新宋体"/>
          <w:color w:val="auto"/>
          <w:highlight w:val="none"/>
        </w:rPr>
        <w:t>收到《应诉通知书》或《行政复议答复通知书》5日内沟通答辩意见，</w:t>
      </w:r>
      <w:r>
        <w:rPr>
          <w:rFonts w:hint="default" w:ascii="新宋体" w:hAnsi="新宋体" w:eastAsia="新宋体"/>
          <w:color w:val="auto"/>
          <w:highlight w:val="none"/>
        </w:rPr>
        <w:t>撰写</w:t>
      </w:r>
      <w:r>
        <w:rPr>
          <w:rFonts w:hint="eastAsia" w:ascii="新宋体" w:hAnsi="新宋体" w:eastAsia="新宋体"/>
          <w:color w:val="auto"/>
          <w:highlight w:val="none"/>
        </w:rPr>
        <w:t>答辩状</w:t>
      </w:r>
      <w:r>
        <w:rPr>
          <w:rFonts w:hint="default" w:ascii="新宋体" w:hAnsi="新宋体" w:eastAsia="新宋体"/>
          <w:color w:val="auto"/>
          <w:highlight w:val="none"/>
        </w:rPr>
        <w:t>初稿；</w:t>
      </w:r>
    </w:p>
    <w:p>
      <w:pPr>
        <w:spacing w:line="240" w:lineRule="auto"/>
        <w:ind w:firstLine="420" w:firstLineChars="200"/>
        <w:rPr>
          <w:rFonts w:hint="eastAsia" w:ascii="新宋体" w:hAnsi="新宋体" w:eastAsia="新宋体"/>
          <w:color w:val="auto"/>
          <w:highlight w:val="none"/>
        </w:rPr>
      </w:pPr>
      <w:r>
        <w:rPr>
          <w:rFonts w:hint="default" w:ascii="新宋体" w:hAnsi="新宋体" w:eastAsia="新宋体"/>
          <w:color w:val="auto"/>
          <w:highlight w:val="none"/>
        </w:rPr>
        <w:t>（3）</w:t>
      </w:r>
      <w:r>
        <w:rPr>
          <w:rFonts w:hint="eastAsia" w:ascii="新宋体" w:hAnsi="新宋体" w:eastAsia="新宋体"/>
          <w:color w:val="auto"/>
          <w:highlight w:val="none"/>
        </w:rPr>
        <w:t>负责案件的调查及</w:t>
      </w:r>
      <w:r>
        <w:rPr>
          <w:rFonts w:hint="default" w:ascii="新宋体" w:hAnsi="新宋体" w:eastAsia="新宋体"/>
          <w:color w:val="auto"/>
          <w:highlight w:val="none"/>
        </w:rPr>
        <w:t>证据收集</w:t>
      </w:r>
      <w:r>
        <w:rPr>
          <w:rFonts w:hint="eastAsia" w:ascii="新宋体" w:hAnsi="新宋体" w:eastAsia="新宋体"/>
          <w:color w:val="auto"/>
          <w:highlight w:val="none"/>
        </w:rPr>
        <w:t>；对于需要从外单位、个人处收集证据的，由法律顾问接受采购人委托，代为办理；</w:t>
      </w:r>
    </w:p>
    <w:p>
      <w:pPr>
        <w:spacing w:line="240" w:lineRule="auto"/>
        <w:ind w:firstLine="420" w:firstLineChars="200"/>
        <w:rPr>
          <w:rFonts w:hint="eastAsia" w:ascii="新宋体" w:hAnsi="新宋体" w:eastAsia="新宋体"/>
          <w:color w:val="auto"/>
          <w:highlight w:val="none"/>
        </w:rPr>
      </w:pPr>
      <w:r>
        <w:rPr>
          <w:rFonts w:hint="eastAsia" w:ascii="新宋体" w:hAnsi="新宋体" w:eastAsia="新宋体"/>
          <w:color w:val="auto"/>
          <w:highlight w:val="none"/>
        </w:rPr>
        <w:t>（</w:t>
      </w:r>
      <w:r>
        <w:rPr>
          <w:rFonts w:hint="default" w:ascii="新宋体" w:hAnsi="新宋体" w:eastAsia="新宋体"/>
          <w:color w:val="auto"/>
          <w:highlight w:val="none"/>
        </w:rPr>
        <w:t>4</w:t>
      </w:r>
      <w:r>
        <w:rPr>
          <w:rFonts w:hint="eastAsia" w:ascii="新宋体" w:hAnsi="新宋体" w:eastAsia="新宋体"/>
          <w:color w:val="auto"/>
          <w:highlight w:val="none"/>
        </w:rPr>
        <w:t>）整理证据、制作证据清单、</w:t>
      </w:r>
      <w:r>
        <w:rPr>
          <w:rFonts w:hint="default" w:ascii="新宋体" w:hAnsi="新宋体" w:eastAsia="新宋体"/>
          <w:color w:val="auto"/>
          <w:highlight w:val="none"/>
        </w:rPr>
        <w:t>质证意见、形成答辩状及其他需提交的文书</w:t>
      </w:r>
      <w:r>
        <w:rPr>
          <w:rFonts w:hint="eastAsia" w:ascii="新宋体" w:hAnsi="新宋体" w:eastAsia="新宋体"/>
          <w:color w:val="auto"/>
          <w:highlight w:val="none"/>
        </w:rPr>
        <w:t>在法定时间内提交；</w:t>
      </w:r>
    </w:p>
    <w:p>
      <w:pPr>
        <w:spacing w:line="240" w:lineRule="auto"/>
        <w:ind w:firstLine="420" w:firstLineChars="200"/>
        <w:rPr>
          <w:rFonts w:hint="eastAsia" w:ascii="新宋体" w:hAnsi="新宋体" w:eastAsia="新宋体"/>
          <w:color w:val="auto"/>
          <w:highlight w:val="none"/>
        </w:rPr>
      </w:pPr>
      <w:r>
        <w:rPr>
          <w:rFonts w:hint="eastAsia" w:ascii="新宋体" w:hAnsi="新宋体" w:eastAsia="新宋体"/>
          <w:color w:val="auto"/>
          <w:highlight w:val="none"/>
        </w:rPr>
        <w:t>（</w:t>
      </w:r>
      <w:r>
        <w:rPr>
          <w:rFonts w:hint="default" w:ascii="新宋体" w:hAnsi="新宋体" w:eastAsia="新宋体"/>
          <w:color w:val="auto"/>
          <w:highlight w:val="none"/>
        </w:rPr>
        <w:t>5</w:t>
      </w:r>
      <w:r>
        <w:rPr>
          <w:rFonts w:hint="eastAsia" w:ascii="新宋体" w:hAnsi="新宋体" w:eastAsia="新宋体"/>
          <w:color w:val="auto"/>
          <w:highlight w:val="none"/>
        </w:rPr>
        <w:t>）由主办律师或协办律师按人民法院的要求准时参加</w:t>
      </w:r>
      <w:r>
        <w:rPr>
          <w:rFonts w:hint="default" w:ascii="新宋体" w:hAnsi="新宋体" w:eastAsia="新宋体"/>
          <w:color w:val="auto"/>
          <w:highlight w:val="none"/>
        </w:rPr>
        <w:t>庭审，并在庭后提交庭审报告</w:t>
      </w:r>
      <w:r>
        <w:rPr>
          <w:rFonts w:hint="eastAsia" w:ascii="新宋体" w:hAnsi="新宋体" w:eastAsia="新宋体"/>
          <w:color w:val="auto"/>
          <w:highlight w:val="none"/>
        </w:rPr>
        <w:t>；</w:t>
      </w:r>
    </w:p>
    <w:p>
      <w:pPr>
        <w:spacing w:line="240" w:lineRule="auto"/>
        <w:ind w:firstLine="420" w:firstLineChars="200"/>
        <w:rPr>
          <w:rFonts w:hint="eastAsia" w:ascii="新宋体" w:hAnsi="新宋体" w:eastAsia="新宋体"/>
          <w:color w:val="auto"/>
          <w:highlight w:val="none"/>
        </w:rPr>
      </w:pPr>
      <w:r>
        <w:rPr>
          <w:rFonts w:hint="eastAsia" w:ascii="新宋体" w:hAnsi="新宋体" w:eastAsia="新宋体"/>
          <w:color w:val="auto"/>
          <w:highlight w:val="none"/>
        </w:rPr>
        <w:t>（</w:t>
      </w:r>
      <w:r>
        <w:rPr>
          <w:rFonts w:hint="default" w:ascii="新宋体" w:hAnsi="新宋体" w:eastAsia="新宋体"/>
          <w:color w:val="auto"/>
          <w:highlight w:val="none"/>
        </w:rPr>
        <w:t>6</w:t>
      </w:r>
      <w:r>
        <w:rPr>
          <w:rFonts w:hint="eastAsia" w:ascii="新宋体" w:hAnsi="新宋体" w:eastAsia="新宋体"/>
          <w:color w:val="auto"/>
          <w:highlight w:val="none"/>
        </w:rPr>
        <w:t>）</w:t>
      </w:r>
      <w:r>
        <w:rPr>
          <w:rFonts w:hint="default" w:ascii="新宋体" w:hAnsi="新宋体" w:eastAsia="新宋体"/>
          <w:color w:val="auto"/>
          <w:highlight w:val="none"/>
        </w:rPr>
        <w:t>根据</w:t>
      </w:r>
      <w:r>
        <w:rPr>
          <w:rFonts w:hint="eastAsia" w:ascii="新宋体" w:hAnsi="新宋体" w:eastAsia="新宋体"/>
          <w:color w:val="auto"/>
          <w:highlight w:val="none"/>
        </w:rPr>
        <w:t>需要与法官或案件对方当事人进行沟通，达成调解、和解协议并草拟相关法律文书；</w:t>
      </w:r>
    </w:p>
    <w:p>
      <w:pPr>
        <w:spacing w:line="240" w:lineRule="auto"/>
        <w:ind w:leftChars="200"/>
        <w:rPr>
          <w:rFonts w:hint="eastAsia" w:ascii="新宋体" w:hAnsi="新宋体" w:eastAsia="新宋体"/>
          <w:color w:val="auto"/>
          <w:highlight w:val="none"/>
        </w:rPr>
      </w:pPr>
      <w:r>
        <w:rPr>
          <w:rFonts w:hint="eastAsia" w:ascii="新宋体" w:hAnsi="新宋体" w:eastAsia="新宋体"/>
          <w:color w:val="auto"/>
          <w:highlight w:val="none"/>
        </w:rPr>
        <w:t>（7）</w:t>
      </w:r>
      <w:r>
        <w:rPr>
          <w:rFonts w:hint="default" w:ascii="新宋体" w:hAnsi="新宋体" w:eastAsia="新宋体"/>
          <w:color w:val="auto"/>
          <w:highlight w:val="none"/>
        </w:rPr>
        <w:t>及时</w:t>
      </w:r>
      <w:r>
        <w:rPr>
          <w:rFonts w:hint="eastAsia" w:ascii="新宋体" w:hAnsi="新宋体" w:eastAsia="新宋体"/>
          <w:color w:val="auto"/>
          <w:highlight w:val="none"/>
        </w:rPr>
        <w:t>反馈案件办理进展情况；</w:t>
      </w:r>
    </w:p>
    <w:p>
      <w:pPr>
        <w:spacing w:line="240" w:lineRule="auto"/>
        <w:ind w:leftChars="200"/>
        <w:rPr>
          <w:rFonts w:hint="eastAsia" w:ascii="新宋体" w:hAnsi="新宋体" w:eastAsia="新宋体"/>
          <w:color w:val="auto"/>
          <w:highlight w:val="none"/>
        </w:rPr>
      </w:pPr>
      <w:r>
        <w:rPr>
          <w:rFonts w:hint="eastAsia" w:ascii="新宋体" w:hAnsi="新宋体" w:eastAsia="新宋体"/>
          <w:color w:val="auto"/>
          <w:highlight w:val="none"/>
        </w:rPr>
        <w:t>（8）办理其他与行政诉讼、行政复议等有关的事务。</w:t>
      </w:r>
    </w:p>
    <w:p>
      <w:pPr>
        <w:spacing w:line="240" w:lineRule="auto"/>
        <w:ind w:firstLine="420" w:firstLineChars="200"/>
        <w:rPr>
          <w:rFonts w:hint="default" w:ascii="新宋体" w:hAnsi="新宋体" w:eastAsia="新宋体"/>
          <w:color w:val="auto"/>
          <w:highlight w:val="none"/>
        </w:rPr>
      </w:pPr>
      <w:r>
        <w:rPr>
          <w:rFonts w:hint="eastAsia" w:ascii="新宋体" w:hAnsi="新宋体" w:eastAsia="新宋体"/>
          <w:color w:val="auto"/>
          <w:highlight w:val="none"/>
        </w:rPr>
        <w:t>2.应采购人的要求对采购人在日常行政管理活动中起草的招标文件、合同、协议</w:t>
      </w:r>
      <w:r>
        <w:rPr>
          <w:rFonts w:hint="default" w:ascii="新宋体" w:hAnsi="新宋体" w:eastAsia="新宋体"/>
          <w:color w:val="auto"/>
          <w:highlight w:val="none"/>
        </w:rPr>
        <w:t>等进行合法性审查，</w:t>
      </w:r>
      <w:r>
        <w:rPr>
          <w:rFonts w:hint="eastAsia" w:ascii="新宋体" w:hAnsi="新宋体" w:eastAsia="新宋体"/>
          <w:color w:val="auto"/>
          <w:highlight w:val="none"/>
        </w:rPr>
        <w:t>出具书面法律意见（</w:t>
      </w:r>
      <w:r>
        <w:rPr>
          <w:rFonts w:hint="eastAsia" w:ascii="新宋体" w:hAnsi="新宋体" w:eastAsia="新宋体"/>
          <w:color w:val="auto"/>
          <w:highlight w:val="none"/>
          <w:lang w:eastAsia="zh-CN"/>
        </w:rPr>
        <w:t>约</w:t>
      </w:r>
      <w:r>
        <w:rPr>
          <w:rFonts w:hint="default" w:ascii="新宋体" w:hAnsi="新宋体" w:eastAsia="新宋体"/>
          <w:color w:val="auto"/>
          <w:highlight w:val="none"/>
        </w:rPr>
        <w:t>200</w:t>
      </w:r>
      <w:r>
        <w:rPr>
          <w:rFonts w:hint="eastAsia" w:ascii="新宋体" w:hAnsi="新宋体" w:eastAsia="新宋体"/>
          <w:color w:val="auto"/>
          <w:highlight w:val="none"/>
        </w:rPr>
        <w:t>份/年）</w:t>
      </w:r>
    </w:p>
    <w:p>
      <w:pPr>
        <w:spacing w:line="240" w:lineRule="auto"/>
        <w:ind w:firstLine="420" w:firstLineChars="200"/>
        <w:rPr>
          <w:rFonts w:hint="eastAsia" w:ascii="新宋体" w:hAnsi="新宋体" w:eastAsia="新宋体"/>
          <w:color w:val="auto"/>
          <w:highlight w:val="none"/>
        </w:rPr>
      </w:pPr>
      <w:r>
        <w:rPr>
          <w:rFonts w:hint="eastAsia" w:ascii="新宋体" w:hAnsi="新宋体" w:eastAsia="新宋体"/>
          <w:color w:val="auto"/>
          <w:highlight w:val="none"/>
        </w:rPr>
        <w:t>（1）参与政府采购、政府投资项目招投标等文件的审核，以及政府采购、政府投资项目招投标过程中有关法律事务的处理；</w:t>
      </w:r>
    </w:p>
    <w:p>
      <w:pPr>
        <w:spacing w:line="240" w:lineRule="auto"/>
        <w:ind w:firstLine="420" w:firstLineChars="200"/>
        <w:rPr>
          <w:rFonts w:hint="default" w:ascii="新宋体" w:hAnsi="新宋体" w:eastAsia="新宋体"/>
          <w:color w:val="auto"/>
          <w:highlight w:val="none"/>
        </w:rPr>
      </w:pPr>
      <w:r>
        <w:rPr>
          <w:rFonts w:hint="eastAsia" w:ascii="新宋体" w:hAnsi="新宋体" w:eastAsia="新宋体"/>
          <w:color w:val="auto"/>
          <w:highlight w:val="none"/>
        </w:rPr>
        <w:t>（2）修改、审查各类合同、协议、招投标文件</w:t>
      </w:r>
      <w:r>
        <w:rPr>
          <w:rFonts w:hint="default" w:ascii="新宋体" w:hAnsi="新宋体" w:eastAsia="新宋体"/>
          <w:color w:val="auto"/>
          <w:highlight w:val="none"/>
        </w:rPr>
        <w:t>等；</w:t>
      </w:r>
    </w:p>
    <w:p>
      <w:pPr>
        <w:spacing w:line="240" w:lineRule="auto"/>
        <w:ind w:firstLine="420" w:firstLineChars="200"/>
        <w:rPr>
          <w:rFonts w:hint="eastAsia" w:ascii="新宋体" w:hAnsi="新宋体" w:eastAsia="新宋体"/>
          <w:color w:val="auto"/>
          <w:highlight w:val="none"/>
        </w:rPr>
      </w:pPr>
      <w:r>
        <w:rPr>
          <w:rFonts w:hint="default" w:ascii="新宋体" w:hAnsi="新宋体" w:eastAsia="新宋体"/>
          <w:color w:val="auto"/>
          <w:highlight w:val="none"/>
        </w:rPr>
        <w:t>（3）对起草的规范性文件进行合法性审查</w:t>
      </w:r>
      <w:r>
        <w:rPr>
          <w:rFonts w:hint="eastAsia" w:ascii="新宋体" w:hAnsi="新宋体" w:eastAsia="新宋体"/>
          <w:color w:val="auto"/>
          <w:highlight w:val="none"/>
        </w:rPr>
        <w:t>。</w:t>
      </w:r>
    </w:p>
    <w:p>
      <w:pPr>
        <w:spacing w:line="240" w:lineRule="auto"/>
        <w:ind w:firstLine="420" w:firstLineChars="200"/>
        <w:rPr>
          <w:rFonts w:hint="default" w:ascii="新宋体" w:hAnsi="新宋体" w:eastAsia="新宋体"/>
          <w:color w:val="auto"/>
          <w:highlight w:val="none"/>
        </w:rPr>
      </w:pPr>
      <w:r>
        <w:rPr>
          <w:rFonts w:hint="eastAsia" w:ascii="新宋体" w:hAnsi="新宋体" w:eastAsia="新宋体"/>
          <w:color w:val="auto"/>
          <w:highlight w:val="none"/>
        </w:rPr>
        <w:t>3.协助</w:t>
      </w:r>
      <w:r>
        <w:rPr>
          <w:rFonts w:hint="default" w:ascii="新宋体" w:hAnsi="新宋体" w:eastAsia="新宋体"/>
          <w:color w:val="auto"/>
          <w:highlight w:val="none"/>
        </w:rPr>
        <w:t>采购人合法合规开展行政执法活动</w:t>
      </w:r>
    </w:p>
    <w:p>
      <w:pPr>
        <w:spacing w:line="240" w:lineRule="auto"/>
        <w:ind w:firstLine="420" w:firstLineChars="200"/>
        <w:rPr>
          <w:rFonts w:hint="eastAsia" w:ascii="新宋体" w:hAnsi="新宋体" w:eastAsia="新宋体"/>
          <w:color w:val="auto"/>
          <w:highlight w:val="none"/>
        </w:rPr>
      </w:pPr>
      <w:r>
        <w:rPr>
          <w:rFonts w:hint="eastAsia" w:ascii="新宋体" w:hAnsi="新宋体" w:eastAsia="新宋体"/>
          <w:color w:val="auto"/>
          <w:highlight w:val="none"/>
        </w:rPr>
        <w:t>（1）对行政执法的一般执法程序进行合法性审查。包括但不限于①本单位是否具有实施该项行政处罚的法定职责；②行政处罚的种类是否符合法律法规规定；③行政处罚的证据是否充分；④行政执法、处罚程序是否合法；⑤行政处罚法律适用是否正确；⑥其他法律法规对本单位行政执法程序的有关规定；</w:t>
      </w:r>
    </w:p>
    <w:p>
      <w:pPr>
        <w:spacing w:line="240" w:lineRule="auto"/>
        <w:ind w:firstLine="420" w:firstLineChars="200"/>
        <w:rPr>
          <w:rFonts w:hint="default" w:ascii="新宋体" w:hAnsi="新宋体" w:eastAsia="新宋体"/>
          <w:color w:val="auto"/>
          <w:highlight w:val="none"/>
        </w:rPr>
      </w:pPr>
      <w:r>
        <w:rPr>
          <w:rFonts w:hint="eastAsia" w:ascii="新宋体" w:hAnsi="新宋体" w:eastAsia="新宋体"/>
          <w:color w:val="auto"/>
          <w:highlight w:val="none"/>
        </w:rPr>
        <w:t>（2）</w:t>
      </w:r>
      <w:r>
        <w:rPr>
          <w:rFonts w:hint="default" w:ascii="新宋体" w:hAnsi="新宋体" w:eastAsia="新宋体"/>
          <w:color w:val="auto"/>
          <w:highlight w:val="none"/>
        </w:rPr>
        <w:t>提供行政处罚</w:t>
      </w:r>
      <w:r>
        <w:rPr>
          <w:rFonts w:hint="eastAsia" w:ascii="新宋体" w:hAnsi="新宋体" w:eastAsia="新宋体"/>
          <w:color w:val="auto"/>
          <w:highlight w:val="none"/>
        </w:rPr>
        <w:t>法律服务，</w:t>
      </w:r>
      <w:r>
        <w:rPr>
          <w:rFonts w:hint="default" w:ascii="新宋体" w:hAnsi="新宋体" w:eastAsia="新宋体"/>
          <w:color w:val="auto"/>
          <w:highlight w:val="none"/>
        </w:rPr>
        <w:t>对行政处罚案卷进行初步审查；</w:t>
      </w:r>
      <w:r>
        <w:rPr>
          <w:rFonts w:hint="eastAsia" w:ascii="新宋体" w:hAnsi="新宋体" w:eastAsia="新宋体"/>
          <w:color w:val="auto"/>
          <w:highlight w:val="none"/>
        </w:rPr>
        <w:t>协助草拟、制订、审查或者修改相关行政执法文书</w:t>
      </w:r>
      <w:r>
        <w:rPr>
          <w:rFonts w:hint="default" w:ascii="新宋体" w:hAnsi="新宋体" w:eastAsia="新宋体"/>
          <w:color w:val="auto"/>
          <w:highlight w:val="none"/>
        </w:rPr>
        <w:t>，在</w:t>
      </w:r>
      <w:r>
        <w:rPr>
          <w:rFonts w:hint="eastAsia" w:ascii="新宋体" w:hAnsi="新宋体" w:eastAsia="新宋体"/>
          <w:color w:val="auto"/>
          <w:highlight w:val="none"/>
        </w:rPr>
        <w:t>对外发布前进行合法性审查</w:t>
      </w:r>
      <w:r>
        <w:rPr>
          <w:rFonts w:hint="default" w:ascii="新宋体" w:hAnsi="新宋体" w:eastAsia="新宋体"/>
          <w:color w:val="auto"/>
          <w:highlight w:val="none"/>
        </w:rPr>
        <w:t>（约220宗）；</w:t>
      </w:r>
    </w:p>
    <w:p>
      <w:pPr>
        <w:spacing w:line="240" w:lineRule="auto"/>
        <w:ind w:firstLine="420" w:firstLineChars="200"/>
        <w:rPr>
          <w:rFonts w:hint="eastAsia" w:ascii="新宋体" w:hAnsi="新宋体" w:eastAsia="新宋体"/>
          <w:color w:val="auto"/>
          <w:highlight w:val="none"/>
        </w:rPr>
      </w:pPr>
      <w:r>
        <w:rPr>
          <w:rFonts w:hint="eastAsia" w:ascii="新宋体" w:hAnsi="新宋体" w:eastAsia="新宋体"/>
          <w:color w:val="auto"/>
          <w:highlight w:val="none"/>
        </w:rPr>
        <w:t>（3）由主办律师或协办律师对重大、</w:t>
      </w:r>
      <w:r>
        <w:rPr>
          <w:rFonts w:hint="default" w:ascii="新宋体" w:hAnsi="新宋体" w:eastAsia="新宋体"/>
          <w:color w:val="auto"/>
          <w:highlight w:val="none"/>
        </w:rPr>
        <w:t>疑难、</w:t>
      </w:r>
      <w:r>
        <w:rPr>
          <w:rFonts w:hint="eastAsia" w:ascii="新宋体" w:hAnsi="新宋体" w:eastAsia="新宋体"/>
          <w:color w:val="auto"/>
          <w:highlight w:val="none"/>
        </w:rPr>
        <w:t>复杂的环保方面的行政执法案件或其他案件，收集证据及法律依据，参与研究，提出书面法律意见</w:t>
      </w:r>
      <w:r>
        <w:rPr>
          <w:rFonts w:hint="default" w:ascii="新宋体" w:hAnsi="新宋体" w:eastAsia="新宋体"/>
          <w:color w:val="auto"/>
          <w:highlight w:val="none"/>
        </w:rPr>
        <w:t>（约10宗）</w:t>
      </w:r>
      <w:r>
        <w:rPr>
          <w:rFonts w:hint="eastAsia" w:ascii="新宋体" w:hAnsi="新宋体" w:eastAsia="新宋体"/>
          <w:color w:val="auto"/>
          <w:highlight w:val="none"/>
        </w:rPr>
        <w:t>；</w:t>
      </w:r>
    </w:p>
    <w:p>
      <w:pPr>
        <w:pStyle w:val="6"/>
        <w:ind w:firstLine="400" w:firstLineChars="200"/>
        <w:rPr>
          <w:rFonts w:hint="eastAsia" w:ascii="新宋体" w:hAnsi="新宋体" w:eastAsia="新宋体"/>
          <w:color w:val="auto"/>
          <w:highlight w:val="none"/>
        </w:rPr>
      </w:pPr>
      <w:r>
        <w:rPr>
          <w:rFonts w:hint="eastAsia" w:ascii="新宋体" w:hAnsi="新宋体" w:eastAsia="新宋体"/>
          <w:color w:val="auto"/>
          <w:highlight w:val="none"/>
        </w:rPr>
        <w:t>（4）重大行政执法活动</w:t>
      </w:r>
      <w:r>
        <w:rPr>
          <w:rFonts w:hint="default" w:ascii="新宋体" w:hAnsi="新宋体" w:eastAsia="新宋体"/>
          <w:color w:val="auto"/>
          <w:highlight w:val="none"/>
        </w:rPr>
        <w:t>合法</w:t>
      </w:r>
      <w:r>
        <w:rPr>
          <w:rFonts w:hint="eastAsia" w:ascii="新宋体" w:hAnsi="新宋体" w:eastAsia="新宋体"/>
          <w:color w:val="auto"/>
          <w:highlight w:val="none"/>
        </w:rPr>
        <w:t>审查</w:t>
      </w:r>
      <w:r>
        <w:rPr>
          <w:rFonts w:hint="default" w:ascii="新宋体" w:hAnsi="新宋体" w:eastAsia="新宋体"/>
          <w:color w:val="auto"/>
          <w:highlight w:val="none"/>
        </w:rPr>
        <w:t>，</w:t>
      </w:r>
      <w:r>
        <w:rPr>
          <w:rFonts w:hint="eastAsia" w:ascii="新宋体" w:hAnsi="新宋体" w:eastAsia="新宋体"/>
          <w:color w:val="auto"/>
          <w:highlight w:val="none"/>
        </w:rPr>
        <w:t>在研究开展重大行政执法活动前，由法律顾问出具法律意见，对执法活动的可行性、合法性进行审查，提示可能引发的法律风险和社会风险，确保重大行政执法活动依法开展；</w:t>
      </w:r>
    </w:p>
    <w:p>
      <w:pPr>
        <w:spacing w:line="240" w:lineRule="auto"/>
        <w:ind w:firstLine="420" w:firstLineChars="200"/>
        <w:rPr>
          <w:rFonts w:hint="default" w:ascii="新宋体" w:hAnsi="新宋体" w:eastAsia="新宋体"/>
          <w:color w:val="auto"/>
          <w:highlight w:val="none"/>
        </w:rPr>
      </w:pPr>
      <w:r>
        <w:rPr>
          <w:rFonts w:hint="eastAsia" w:ascii="新宋体" w:hAnsi="新宋体" w:eastAsia="新宋体"/>
          <w:color w:val="auto"/>
          <w:highlight w:val="none"/>
        </w:rPr>
        <w:t>（5）为执法过程中出现的各类问题提供法律指导</w:t>
      </w:r>
      <w:r>
        <w:rPr>
          <w:rFonts w:hint="default" w:ascii="新宋体" w:hAnsi="新宋体" w:eastAsia="新宋体"/>
          <w:color w:val="auto"/>
          <w:highlight w:val="none"/>
        </w:rPr>
        <w:t>，</w:t>
      </w:r>
      <w:r>
        <w:rPr>
          <w:rFonts w:hint="eastAsia" w:ascii="新宋体" w:hAnsi="新宋体" w:eastAsia="新宋体"/>
          <w:color w:val="auto"/>
          <w:highlight w:val="none"/>
        </w:rPr>
        <w:t>协助处理局内日常法律</w:t>
      </w:r>
      <w:r>
        <w:rPr>
          <w:rFonts w:hint="default" w:ascii="新宋体" w:hAnsi="新宋体" w:eastAsia="新宋体"/>
          <w:color w:val="auto"/>
          <w:highlight w:val="none"/>
        </w:rPr>
        <w:t>咨询</w:t>
      </w:r>
      <w:r>
        <w:rPr>
          <w:rFonts w:hint="eastAsia" w:ascii="新宋体" w:hAnsi="新宋体" w:eastAsia="新宋体"/>
          <w:color w:val="auto"/>
          <w:highlight w:val="none"/>
        </w:rPr>
        <w:t>工作</w:t>
      </w:r>
      <w:r>
        <w:rPr>
          <w:rFonts w:hint="default" w:ascii="新宋体" w:hAnsi="新宋体" w:eastAsia="新宋体"/>
          <w:color w:val="auto"/>
          <w:highlight w:val="none"/>
        </w:rPr>
        <w:t>；</w:t>
      </w:r>
    </w:p>
    <w:p>
      <w:pPr>
        <w:spacing w:line="240" w:lineRule="auto"/>
        <w:ind w:firstLine="420" w:firstLineChars="200"/>
        <w:rPr>
          <w:rFonts w:hint="eastAsia" w:ascii="新宋体" w:hAnsi="新宋体" w:eastAsia="新宋体"/>
          <w:color w:val="auto"/>
          <w:highlight w:val="none"/>
        </w:rPr>
      </w:pPr>
      <w:r>
        <w:rPr>
          <w:rFonts w:hint="eastAsia" w:ascii="新宋体" w:hAnsi="新宋体" w:eastAsia="新宋体"/>
          <w:color w:val="auto"/>
          <w:highlight w:val="none"/>
        </w:rPr>
        <w:t>（</w:t>
      </w:r>
      <w:r>
        <w:rPr>
          <w:rFonts w:hint="default" w:ascii="新宋体" w:hAnsi="新宋体" w:eastAsia="新宋体"/>
          <w:color w:val="auto"/>
          <w:highlight w:val="none"/>
        </w:rPr>
        <w:t>6</w:t>
      </w:r>
      <w:r>
        <w:rPr>
          <w:rFonts w:hint="eastAsia" w:ascii="新宋体" w:hAnsi="新宋体" w:eastAsia="新宋体"/>
          <w:color w:val="auto"/>
          <w:highlight w:val="none"/>
        </w:rPr>
        <w:t>）规范行政执法案卷</w:t>
      </w:r>
      <w:r>
        <w:rPr>
          <w:rFonts w:hint="default" w:ascii="新宋体" w:hAnsi="新宋体" w:eastAsia="新宋体"/>
          <w:color w:val="auto"/>
          <w:highlight w:val="none"/>
        </w:rPr>
        <w:t>，</w:t>
      </w:r>
      <w:r>
        <w:rPr>
          <w:rFonts w:hint="eastAsia" w:ascii="新宋体" w:hAnsi="新宋体" w:eastAsia="新宋体"/>
          <w:color w:val="auto"/>
          <w:highlight w:val="none"/>
        </w:rPr>
        <w:t>协助采购人办案人员开展行政执法案卷评查工作，严格按照《深圳市行政处罚案卷评查标准》要求进行评查</w:t>
      </w:r>
      <w:r>
        <w:rPr>
          <w:rFonts w:hint="default" w:ascii="新宋体" w:hAnsi="新宋体" w:eastAsia="新宋体"/>
          <w:color w:val="auto"/>
          <w:highlight w:val="none"/>
        </w:rPr>
        <w:t>，律师每周对案卷进行抽查</w:t>
      </w:r>
      <w:r>
        <w:rPr>
          <w:rFonts w:hint="eastAsia" w:ascii="新宋体" w:hAnsi="新宋体" w:eastAsia="新宋体"/>
          <w:color w:val="auto"/>
          <w:highlight w:val="none"/>
        </w:rPr>
        <w:t>；</w:t>
      </w:r>
    </w:p>
    <w:p>
      <w:pPr>
        <w:spacing w:line="240" w:lineRule="auto"/>
        <w:ind w:firstLine="420" w:firstLineChars="200"/>
        <w:rPr>
          <w:rFonts w:hint="eastAsia" w:ascii="新宋体" w:hAnsi="新宋体" w:eastAsia="新宋体"/>
          <w:color w:val="auto"/>
          <w:highlight w:val="none"/>
        </w:rPr>
      </w:pPr>
      <w:r>
        <w:rPr>
          <w:rFonts w:hint="eastAsia" w:ascii="新宋体" w:hAnsi="新宋体" w:eastAsia="新宋体"/>
          <w:color w:val="auto"/>
          <w:highlight w:val="none"/>
        </w:rPr>
        <w:t>（</w:t>
      </w:r>
      <w:r>
        <w:rPr>
          <w:rFonts w:hint="default" w:ascii="新宋体" w:hAnsi="新宋体" w:eastAsia="新宋体"/>
          <w:color w:val="auto"/>
          <w:highlight w:val="none"/>
        </w:rPr>
        <w:t>7</w:t>
      </w:r>
      <w:r>
        <w:rPr>
          <w:rFonts w:hint="eastAsia" w:ascii="新宋体" w:hAnsi="新宋体" w:eastAsia="新宋体"/>
          <w:color w:val="auto"/>
          <w:highlight w:val="none"/>
        </w:rPr>
        <w:t>）强制措施先行介入。在采购人采取强制措施之前，先行介入，协助执法人员开展行政执法活动</w:t>
      </w:r>
      <w:r>
        <w:rPr>
          <w:rFonts w:hint="default" w:ascii="新宋体" w:hAnsi="新宋体" w:eastAsia="新宋体"/>
          <w:color w:val="auto"/>
          <w:highlight w:val="none"/>
        </w:rPr>
        <w:t>，对强制措施执法程序及执法文书进行合法性审查</w:t>
      </w:r>
      <w:r>
        <w:rPr>
          <w:rFonts w:hint="eastAsia" w:ascii="新宋体" w:hAnsi="新宋体" w:eastAsia="新宋体"/>
          <w:color w:val="auto"/>
          <w:highlight w:val="none"/>
        </w:rPr>
        <w:t>；</w:t>
      </w:r>
    </w:p>
    <w:p>
      <w:pPr>
        <w:spacing w:line="240" w:lineRule="auto"/>
        <w:ind w:firstLine="420" w:firstLineChars="200"/>
        <w:rPr>
          <w:rFonts w:hint="default" w:ascii="新宋体" w:hAnsi="新宋体" w:eastAsia="新宋体"/>
          <w:color w:val="auto"/>
          <w:highlight w:val="none"/>
        </w:rPr>
      </w:pPr>
      <w:r>
        <w:rPr>
          <w:rFonts w:hint="eastAsia" w:ascii="新宋体" w:hAnsi="新宋体" w:eastAsia="新宋体"/>
          <w:color w:val="auto"/>
          <w:highlight w:val="none"/>
        </w:rPr>
        <w:t>（</w:t>
      </w:r>
      <w:r>
        <w:rPr>
          <w:rFonts w:hint="default" w:ascii="新宋体" w:hAnsi="新宋体" w:eastAsia="新宋体"/>
          <w:color w:val="auto"/>
          <w:highlight w:val="none"/>
        </w:rPr>
        <w:t>8</w:t>
      </w:r>
      <w:r>
        <w:rPr>
          <w:rFonts w:hint="eastAsia" w:ascii="新宋体" w:hAnsi="新宋体" w:eastAsia="新宋体"/>
          <w:color w:val="auto"/>
          <w:highlight w:val="none"/>
        </w:rPr>
        <w:t>）服务团队按照相关要求建立</w:t>
      </w:r>
      <w:r>
        <w:rPr>
          <w:rFonts w:hint="default" w:ascii="新宋体" w:hAnsi="新宋体" w:eastAsia="新宋体"/>
          <w:color w:val="auto"/>
          <w:highlight w:val="none"/>
        </w:rPr>
        <w:t>日常法律事务</w:t>
      </w:r>
      <w:r>
        <w:rPr>
          <w:rFonts w:hint="eastAsia" w:ascii="新宋体" w:hAnsi="新宋体" w:eastAsia="新宋体"/>
          <w:color w:val="auto"/>
          <w:highlight w:val="none"/>
        </w:rPr>
        <w:t>工作台账，并做好相关的保密工作。</w:t>
      </w:r>
    </w:p>
    <w:p>
      <w:pPr>
        <w:spacing w:line="240" w:lineRule="auto"/>
        <w:ind w:firstLine="420" w:firstLineChars="200"/>
        <w:rPr>
          <w:rFonts w:hint="eastAsia" w:ascii="新宋体" w:hAnsi="新宋体" w:eastAsia="新宋体"/>
          <w:color w:val="auto"/>
          <w:highlight w:val="none"/>
        </w:rPr>
      </w:pPr>
      <w:r>
        <w:rPr>
          <w:rFonts w:hint="default" w:ascii="新宋体" w:hAnsi="新宋体" w:eastAsia="新宋体"/>
          <w:color w:val="auto"/>
          <w:highlight w:val="none"/>
        </w:rPr>
        <w:t>4</w:t>
      </w:r>
      <w:r>
        <w:rPr>
          <w:rFonts w:hint="eastAsia" w:ascii="新宋体" w:hAnsi="新宋体" w:eastAsia="新宋体"/>
          <w:color w:val="auto"/>
          <w:highlight w:val="none"/>
        </w:rPr>
        <w:t>.</w:t>
      </w:r>
      <w:r>
        <w:rPr>
          <w:rFonts w:hint="default" w:ascii="新宋体" w:hAnsi="新宋体" w:eastAsia="新宋体"/>
          <w:color w:val="auto"/>
          <w:highlight w:val="none"/>
        </w:rPr>
        <w:t>协助开展</w:t>
      </w:r>
      <w:r>
        <w:rPr>
          <w:rFonts w:hint="eastAsia" w:ascii="新宋体" w:hAnsi="新宋体" w:eastAsia="新宋体"/>
          <w:color w:val="auto"/>
          <w:highlight w:val="none"/>
        </w:rPr>
        <w:t>企业信用修复</w:t>
      </w:r>
      <w:r>
        <w:rPr>
          <w:rFonts w:hint="default" w:ascii="新宋体" w:hAnsi="新宋体" w:eastAsia="新宋体"/>
          <w:color w:val="auto"/>
          <w:highlight w:val="none"/>
        </w:rPr>
        <w:t>工作，对企业提交的信用修复文件提供合规审查服务（约100宗）</w:t>
      </w:r>
    </w:p>
    <w:p>
      <w:pPr>
        <w:spacing w:line="240" w:lineRule="auto"/>
        <w:ind w:firstLine="420" w:firstLineChars="200"/>
        <w:rPr>
          <w:rFonts w:hint="eastAsia" w:ascii="新宋体" w:hAnsi="新宋体" w:eastAsia="新宋体"/>
          <w:color w:val="auto"/>
          <w:highlight w:val="none"/>
        </w:rPr>
      </w:pPr>
      <w:r>
        <w:rPr>
          <w:rFonts w:hint="default" w:ascii="新宋体" w:hAnsi="新宋体" w:eastAsia="新宋体"/>
          <w:color w:val="auto"/>
          <w:highlight w:val="none"/>
        </w:rPr>
        <w:t>5.开展普法</w:t>
      </w:r>
      <w:r>
        <w:rPr>
          <w:rFonts w:hint="eastAsia" w:ascii="新宋体" w:hAnsi="新宋体" w:eastAsia="新宋体"/>
          <w:color w:val="auto"/>
          <w:highlight w:val="none"/>
        </w:rPr>
        <w:t>宣传和执法培训（一年至少4场）</w:t>
      </w:r>
    </w:p>
    <w:p>
      <w:pPr>
        <w:spacing w:line="240" w:lineRule="auto"/>
        <w:ind w:firstLine="420" w:firstLineChars="200"/>
        <w:rPr>
          <w:rFonts w:hint="eastAsia" w:ascii="新宋体" w:hAnsi="新宋体" w:eastAsia="新宋体"/>
          <w:color w:val="auto"/>
          <w:highlight w:val="none"/>
        </w:rPr>
      </w:pPr>
      <w:r>
        <w:rPr>
          <w:rFonts w:hint="default" w:ascii="新宋体" w:hAnsi="新宋体" w:eastAsia="新宋体"/>
          <w:color w:val="auto"/>
          <w:highlight w:val="none"/>
        </w:rPr>
        <w:t>（1）</w:t>
      </w:r>
      <w:r>
        <w:rPr>
          <w:rFonts w:hint="eastAsia" w:ascii="新宋体" w:hAnsi="新宋体" w:eastAsia="新宋体"/>
          <w:color w:val="auto"/>
          <w:highlight w:val="none"/>
        </w:rPr>
        <w:t>根据采购人的安排，由主办律师或协办律师为行政执法人员开展法律知识培训学习</w:t>
      </w:r>
      <w:r>
        <w:rPr>
          <w:rFonts w:hint="default" w:ascii="新宋体" w:hAnsi="新宋体" w:eastAsia="新宋体"/>
          <w:color w:val="auto"/>
          <w:highlight w:val="none"/>
        </w:rPr>
        <w:t>，</w:t>
      </w:r>
      <w:r>
        <w:rPr>
          <w:rFonts w:hint="eastAsia" w:ascii="新宋体" w:hAnsi="新宋体" w:eastAsia="新宋体"/>
          <w:color w:val="auto"/>
          <w:highlight w:val="none"/>
        </w:rPr>
        <w:t>如新</w:t>
      </w:r>
      <w:r>
        <w:rPr>
          <w:rFonts w:hint="default" w:ascii="新宋体" w:hAnsi="新宋体" w:eastAsia="新宋体"/>
          <w:color w:val="auto"/>
          <w:highlight w:val="none"/>
        </w:rPr>
        <w:t>修订</w:t>
      </w:r>
      <w:r>
        <w:rPr>
          <w:rFonts w:hint="eastAsia" w:ascii="新宋体" w:hAnsi="新宋体" w:eastAsia="新宋体"/>
          <w:color w:val="auto"/>
          <w:highlight w:val="none"/>
        </w:rPr>
        <w:t>法律法规的学习、</w:t>
      </w:r>
      <w:r>
        <w:rPr>
          <w:rFonts w:hint="default" w:ascii="新宋体" w:hAnsi="新宋体" w:eastAsia="新宋体"/>
          <w:color w:val="auto"/>
          <w:highlight w:val="none"/>
        </w:rPr>
        <w:t>执法程序的规范、</w:t>
      </w:r>
      <w:r>
        <w:rPr>
          <w:rFonts w:hint="eastAsia" w:ascii="新宋体" w:hAnsi="新宋体" w:eastAsia="新宋体"/>
          <w:color w:val="auto"/>
          <w:highlight w:val="none"/>
        </w:rPr>
        <w:t>具体案件的剖析等；</w:t>
      </w:r>
    </w:p>
    <w:p>
      <w:pPr>
        <w:spacing w:line="240" w:lineRule="auto"/>
        <w:ind w:firstLine="420" w:firstLineChars="200"/>
        <w:rPr>
          <w:rFonts w:hint="eastAsia" w:ascii="新宋体" w:hAnsi="新宋体" w:eastAsia="新宋体"/>
          <w:color w:val="auto"/>
          <w:highlight w:val="none"/>
        </w:rPr>
      </w:pPr>
      <w:r>
        <w:rPr>
          <w:rFonts w:hint="default" w:ascii="新宋体" w:hAnsi="新宋体" w:eastAsia="新宋体"/>
          <w:color w:val="auto"/>
          <w:highlight w:val="none"/>
        </w:rPr>
        <w:t>（2）</w:t>
      </w:r>
      <w:r>
        <w:rPr>
          <w:rFonts w:hint="eastAsia" w:ascii="新宋体" w:hAnsi="新宋体" w:eastAsia="新宋体"/>
          <w:color w:val="auto"/>
          <w:highlight w:val="none"/>
        </w:rPr>
        <w:t>根据采购人的安排，由主办律师或协办律师</w:t>
      </w:r>
      <w:r>
        <w:rPr>
          <w:rFonts w:hint="default" w:ascii="新宋体" w:hAnsi="新宋体" w:eastAsia="新宋体"/>
          <w:color w:val="auto"/>
          <w:highlight w:val="none"/>
        </w:rPr>
        <w:t>协助采购人进行普法宣传，宣传法律法规知识等</w:t>
      </w:r>
      <w:r>
        <w:rPr>
          <w:rFonts w:hint="eastAsia" w:ascii="新宋体" w:hAnsi="新宋体" w:eastAsia="新宋体"/>
          <w:color w:val="auto"/>
          <w:highlight w:val="none"/>
        </w:rPr>
        <w:t>。</w:t>
      </w:r>
    </w:p>
    <w:p>
      <w:pPr>
        <w:spacing w:line="240" w:lineRule="auto"/>
        <w:ind w:firstLine="420" w:firstLineChars="200"/>
        <w:rPr>
          <w:rFonts w:hint="default" w:ascii="新宋体" w:hAnsi="新宋体" w:eastAsia="新宋体"/>
          <w:color w:val="auto"/>
          <w:highlight w:val="none"/>
        </w:rPr>
      </w:pPr>
      <w:r>
        <w:rPr>
          <w:rFonts w:hint="default" w:ascii="新宋体" w:hAnsi="新宋体" w:eastAsia="新宋体"/>
          <w:color w:val="auto"/>
          <w:highlight w:val="none"/>
        </w:rPr>
        <w:t>6.</w:t>
      </w:r>
      <w:r>
        <w:rPr>
          <w:rFonts w:hint="eastAsia" w:ascii="新宋体" w:hAnsi="新宋体" w:eastAsia="新宋体"/>
          <w:color w:val="auto"/>
          <w:highlight w:val="none"/>
        </w:rPr>
        <w:t>开展</w:t>
      </w:r>
      <w:r>
        <w:rPr>
          <w:rFonts w:hint="default" w:ascii="新宋体" w:hAnsi="新宋体" w:eastAsia="新宋体"/>
          <w:color w:val="auto"/>
          <w:highlight w:val="none"/>
        </w:rPr>
        <w:t>非税罚没收入清缴工作</w:t>
      </w:r>
    </w:p>
    <w:p>
      <w:pPr>
        <w:spacing w:line="240" w:lineRule="auto"/>
        <w:ind w:firstLine="420" w:firstLineChars="200"/>
        <w:rPr>
          <w:rFonts w:hint="default" w:ascii="新宋体" w:hAnsi="新宋体" w:eastAsia="新宋体"/>
          <w:color w:val="auto"/>
          <w:highlight w:val="none"/>
        </w:rPr>
      </w:pPr>
      <w:r>
        <w:rPr>
          <w:rFonts w:hint="default" w:ascii="新宋体" w:hAnsi="新宋体" w:eastAsia="新宋体"/>
          <w:color w:val="auto"/>
          <w:highlight w:val="none"/>
        </w:rPr>
        <w:t>协助对应缴未缴的罚款进行催缴，协助草拟、审查督促履行义务催告书（约150份）。</w:t>
      </w:r>
    </w:p>
    <w:p>
      <w:pPr>
        <w:spacing w:line="240" w:lineRule="auto"/>
        <w:ind w:firstLine="420" w:firstLineChars="200"/>
        <w:rPr>
          <w:rFonts w:hint="default" w:ascii="新宋体" w:hAnsi="新宋体" w:eastAsia="新宋体"/>
          <w:color w:val="auto"/>
          <w:highlight w:val="none"/>
        </w:rPr>
      </w:pPr>
      <w:r>
        <w:rPr>
          <w:rFonts w:hint="default" w:ascii="新宋体" w:hAnsi="新宋体" w:eastAsia="新宋体"/>
          <w:color w:val="auto"/>
          <w:highlight w:val="none"/>
        </w:rPr>
        <w:t>7.协助开展</w:t>
      </w:r>
      <w:r>
        <w:rPr>
          <w:rFonts w:hint="eastAsia" w:ascii="新宋体" w:hAnsi="新宋体" w:eastAsia="新宋体"/>
          <w:color w:val="auto"/>
          <w:highlight w:val="none"/>
        </w:rPr>
        <w:t>非诉强制执行</w:t>
      </w:r>
      <w:r>
        <w:rPr>
          <w:rFonts w:hint="default" w:ascii="新宋体" w:hAnsi="新宋体" w:eastAsia="新宋体"/>
          <w:color w:val="auto"/>
          <w:highlight w:val="none"/>
        </w:rPr>
        <w:t>法律服务</w:t>
      </w:r>
    </w:p>
    <w:p>
      <w:pPr>
        <w:spacing w:line="240" w:lineRule="auto"/>
        <w:ind w:firstLine="420" w:firstLineChars="200"/>
        <w:rPr>
          <w:rFonts w:hint="default" w:ascii="新宋体" w:hAnsi="新宋体" w:eastAsia="新宋体"/>
          <w:color w:val="auto"/>
          <w:highlight w:val="none"/>
        </w:rPr>
      </w:pPr>
      <w:r>
        <w:rPr>
          <w:rFonts w:hint="default" w:ascii="新宋体" w:hAnsi="新宋体" w:eastAsia="新宋体"/>
          <w:color w:val="auto"/>
          <w:highlight w:val="none"/>
        </w:rPr>
        <w:t>对既不申请复议也不提起诉讼，在法定期限内经催告仍不缴款的主体申请法院强制执行（约25宗）</w:t>
      </w:r>
    </w:p>
    <w:p>
      <w:pPr>
        <w:spacing w:line="240" w:lineRule="auto"/>
        <w:ind w:firstLine="420" w:firstLineChars="200"/>
        <w:rPr>
          <w:rFonts w:hint="default" w:ascii="新宋体" w:hAnsi="新宋体" w:eastAsia="新宋体"/>
          <w:color w:val="auto"/>
          <w:highlight w:val="none"/>
        </w:rPr>
      </w:pPr>
      <w:r>
        <w:rPr>
          <w:rFonts w:hint="default" w:ascii="新宋体" w:hAnsi="新宋体" w:eastAsia="新宋体"/>
          <w:color w:val="auto"/>
          <w:highlight w:val="none"/>
        </w:rPr>
        <w:t>8.协助开展法治政府建设工作</w:t>
      </w:r>
    </w:p>
    <w:p>
      <w:pPr>
        <w:spacing w:line="240" w:lineRule="auto"/>
        <w:ind w:firstLine="420" w:firstLineChars="200"/>
        <w:rPr>
          <w:rFonts w:hint="default" w:ascii="新宋体" w:hAnsi="新宋体" w:eastAsia="新宋体"/>
          <w:color w:val="auto"/>
          <w:highlight w:val="none"/>
        </w:rPr>
      </w:pPr>
      <w:r>
        <w:rPr>
          <w:rFonts w:hint="default" w:ascii="新宋体" w:hAnsi="新宋体" w:eastAsia="新宋体"/>
          <w:color w:val="auto"/>
          <w:highlight w:val="none"/>
        </w:rPr>
        <w:t>根据年度法治政府建设实施方案及我局实际工作需求，协助我局开展法治政府建设，配合我局开展相应工作任务，为我局行政决策、行政执法、纠纷调处等依法行政工作提供法律建议。</w:t>
      </w:r>
    </w:p>
    <w:p>
      <w:pPr>
        <w:pStyle w:val="9"/>
        <w:widowControl w:val="0"/>
        <w:numPr>
          <w:ilvl w:val="0"/>
          <w:numId w:val="1"/>
        </w:numPr>
        <w:pBdr>
          <w:top w:val="none" w:color="auto" w:sz="0" w:space="1"/>
          <w:left w:val="none" w:color="auto" w:sz="0" w:space="4"/>
          <w:bottom w:val="none" w:color="auto" w:sz="0" w:space="1"/>
          <w:right w:val="none" w:color="auto" w:sz="0" w:space="4"/>
          <w:between w:val="none" w:color="auto" w:sz="0" w:space="0"/>
        </w:pBdr>
        <w:shd w:val="clear" w:color="auto" w:fill="auto"/>
        <w:ind w:leftChars="0" w:firstLineChars="0"/>
        <w:jc w:val="both"/>
        <w:rPr>
          <w:rFonts w:hint="eastAsia" w:ascii="宋体" w:hAnsi="宋体" w:cs="宋体"/>
          <w:b/>
          <w:bCs/>
          <w:color w:val="auto"/>
          <w:szCs w:val="21"/>
          <w:highlight w:val="none"/>
          <w:shd w:val="clear" w:color="auto" w:fill="auto"/>
        </w:rPr>
      </w:pPr>
      <w:r>
        <w:rPr>
          <w:rFonts w:hint="eastAsia" w:ascii="宋体" w:hAnsi="宋体" w:cs="宋体"/>
          <w:b/>
          <w:bCs/>
          <w:color w:val="auto"/>
          <w:szCs w:val="21"/>
          <w:highlight w:val="none"/>
          <w:shd w:val="clear" w:color="auto" w:fill="auto"/>
        </w:rPr>
        <w:t>服务方式</w:t>
      </w:r>
    </w:p>
    <w:p>
      <w:pPr>
        <w:pStyle w:val="9"/>
        <w:widowControl w:val="0"/>
        <w:numPr>
          <w:ilvl w:val="0"/>
          <w:numId w:val="0"/>
        </w:numPr>
        <w:pBdr>
          <w:top w:val="none" w:color="auto" w:sz="0" w:space="1"/>
          <w:left w:val="none" w:color="auto" w:sz="0" w:space="4"/>
          <w:bottom w:val="none" w:color="auto" w:sz="0" w:space="1"/>
          <w:right w:val="none" w:color="auto" w:sz="0" w:space="4"/>
          <w:between w:val="none" w:color="auto" w:sz="0" w:space="0"/>
        </w:pBdr>
        <w:shd w:val="clear" w:color="auto" w:fill="auto"/>
        <w:ind w:leftChars="0" w:firstLine="420" w:firstLineChars="200"/>
        <w:jc w:val="both"/>
        <w:rPr>
          <w:rFonts w:hint="default" w:ascii="新宋体" w:hAnsi="新宋体" w:eastAsia="新宋体" w:cs="Times New Roman"/>
          <w:color w:val="auto"/>
          <w:kern w:val="2"/>
          <w:sz w:val="21"/>
          <w:szCs w:val="24"/>
          <w:highlight w:val="none"/>
          <w:lang w:eastAsia="zh-CN" w:bidi="ar-SA"/>
        </w:rPr>
      </w:pPr>
      <w:r>
        <w:rPr>
          <w:rFonts w:hint="default" w:ascii="新宋体" w:hAnsi="新宋体" w:eastAsia="新宋体" w:cs="Times New Roman"/>
          <w:color w:val="auto"/>
          <w:kern w:val="2"/>
          <w:sz w:val="21"/>
          <w:szCs w:val="24"/>
          <w:highlight w:val="none"/>
          <w:lang w:eastAsia="zh-CN" w:bidi="ar-SA"/>
        </w:rPr>
        <w:t>专业律师团队提供日常法律服务，辅助采购人合法合规开展法治政府建设工作。</w:t>
      </w:r>
      <w:r>
        <w:rPr>
          <w:rFonts w:hint="default" w:ascii="新宋体" w:hAnsi="新宋体" w:eastAsia="新宋体"/>
          <w:color w:val="auto"/>
          <w:highlight w:val="none"/>
        </w:rPr>
        <w:t>对于确需执业律师亲自到场处理的事务，</w:t>
      </w:r>
      <w:r>
        <w:rPr>
          <w:rFonts w:hint="eastAsia" w:ascii="新宋体" w:hAnsi="新宋体" w:eastAsia="新宋体"/>
          <w:color w:val="auto"/>
          <w:highlight w:val="none"/>
          <w:lang w:val="en-US" w:eastAsia="zh-CN"/>
        </w:rPr>
        <w:t>投标人应当配合</w:t>
      </w:r>
      <w:r>
        <w:rPr>
          <w:rFonts w:hint="default" w:ascii="新宋体" w:hAnsi="新宋体" w:eastAsia="新宋体"/>
          <w:color w:val="auto"/>
          <w:highlight w:val="none"/>
        </w:rPr>
        <w:t>。</w:t>
      </w:r>
    </w:p>
    <w:p>
      <w:pPr>
        <w:pStyle w:val="9"/>
        <w:widowControl w:val="0"/>
        <w:numPr>
          <w:ilvl w:val="0"/>
          <w:numId w:val="1"/>
        </w:numPr>
        <w:pBdr>
          <w:top w:val="none" w:color="auto" w:sz="0" w:space="1"/>
          <w:left w:val="none" w:color="auto" w:sz="0" w:space="4"/>
          <w:bottom w:val="none" w:color="auto" w:sz="0" w:space="1"/>
          <w:right w:val="none" w:color="auto" w:sz="0" w:space="4"/>
          <w:between w:val="none" w:color="auto" w:sz="0" w:space="0"/>
        </w:pBdr>
        <w:shd w:val="clear" w:color="auto" w:fill="auto"/>
        <w:ind w:leftChars="0" w:firstLineChars="0"/>
        <w:jc w:val="both"/>
        <w:rPr>
          <w:rFonts w:hint="eastAsia" w:ascii="宋体" w:hAnsi="宋体" w:cs="宋体"/>
          <w:b/>
          <w:bCs/>
          <w:color w:val="auto"/>
          <w:szCs w:val="21"/>
          <w:highlight w:val="none"/>
          <w:shd w:val="clear" w:color="auto" w:fill="auto"/>
        </w:rPr>
      </w:pPr>
      <w:r>
        <w:rPr>
          <w:rFonts w:hint="eastAsia" w:ascii="宋体" w:hAnsi="宋体" w:cs="宋体"/>
          <w:b/>
          <w:bCs/>
          <w:color w:val="auto"/>
          <w:szCs w:val="21"/>
          <w:highlight w:val="none"/>
          <w:shd w:val="clear" w:color="auto" w:fill="auto"/>
        </w:rPr>
        <w:t>人员要求</w:t>
      </w:r>
    </w:p>
    <w:p>
      <w:pPr>
        <w:pStyle w:val="9"/>
        <w:widowControl w:val="0"/>
        <w:numPr>
          <w:ilvl w:val="0"/>
          <w:numId w:val="0"/>
        </w:numPr>
        <w:pBdr>
          <w:top w:val="none" w:color="auto" w:sz="0" w:space="1"/>
          <w:left w:val="none" w:color="auto" w:sz="0" w:space="4"/>
          <w:bottom w:val="none" w:color="auto" w:sz="0" w:space="1"/>
          <w:right w:val="none" w:color="auto" w:sz="0" w:space="4"/>
          <w:between w:val="none" w:color="auto" w:sz="0" w:space="0"/>
        </w:pBdr>
        <w:shd w:val="clear" w:color="auto" w:fill="auto"/>
        <w:ind w:leftChars="0" w:firstLine="420" w:firstLineChars="200"/>
        <w:jc w:val="both"/>
        <w:rPr>
          <w:rFonts w:hint="eastAsia" w:ascii="新宋体" w:hAnsi="新宋体" w:eastAsia="新宋体" w:cs="Times New Roman"/>
          <w:color w:val="auto"/>
          <w:highlight w:val="none"/>
        </w:rPr>
      </w:pPr>
      <w:r>
        <w:rPr>
          <w:rFonts w:hint="eastAsia" w:ascii="新宋体" w:hAnsi="新宋体" w:eastAsia="新宋体" w:cs="Times New Roman"/>
          <w:color w:val="auto"/>
          <w:highlight w:val="none"/>
        </w:rPr>
        <w:t>1. 对采购人法律顾问的基本要求</w:t>
      </w:r>
    </w:p>
    <w:p>
      <w:pPr>
        <w:pStyle w:val="9"/>
        <w:widowControl w:val="0"/>
        <w:numPr>
          <w:ilvl w:val="0"/>
          <w:numId w:val="0"/>
        </w:numPr>
        <w:pBdr>
          <w:top w:val="none" w:color="auto" w:sz="0" w:space="1"/>
          <w:left w:val="none" w:color="auto" w:sz="0" w:space="4"/>
          <w:bottom w:val="none" w:color="auto" w:sz="0" w:space="1"/>
          <w:right w:val="none" w:color="auto" w:sz="0" w:space="4"/>
          <w:between w:val="none" w:color="auto" w:sz="0" w:space="0"/>
        </w:pBdr>
        <w:shd w:val="clear" w:color="auto" w:fill="auto"/>
        <w:ind w:leftChars="0" w:firstLine="420" w:firstLineChars="200"/>
        <w:jc w:val="both"/>
        <w:rPr>
          <w:rFonts w:hint="eastAsia" w:ascii="新宋体" w:hAnsi="新宋体" w:eastAsia="新宋体" w:cs="Times New Roman"/>
          <w:color w:val="auto"/>
          <w:highlight w:val="none"/>
        </w:rPr>
      </w:pPr>
      <w:r>
        <w:rPr>
          <w:rFonts w:hint="eastAsia" w:ascii="新宋体" w:hAnsi="新宋体" w:eastAsia="新宋体" w:cs="Times New Roman"/>
          <w:color w:val="auto"/>
          <w:highlight w:val="none"/>
        </w:rPr>
        <w:t>（1）忠于宪法、遵纪守法，有良好的品行和职业操守，具备与履行职责相适应的专业素质；</w:t>
      </w:r>
    </w:p>
    <w:p>
      <w:pPr>
        <w:pStyle w:val="9"/>
        <w:widowControl w:val="0"/>
        <w:numPr>
          <w:ilvl w:val="0"/>
          <w:numId w:val="0"/>
        </w:numPr>
        <w:pBdr>
          <w:top w:val="none" w:color="auto" w:sz="0" w:space="1"/>
          <w:left w:val="none" w:color="auto" w:sz="0" w:space="4"/>
          <w:bottom w:val="none" w:color="auto" w:sz="0" w:space="1"/>
          <w:right w:val="none" w:color="auto" w:sz="0" w:space="4"/>
          <w:between w:val="none" w:color="auto" w:sz="0" w:space="0"/>
        </w:pBdr>
        <w:shd w:val="clear" w:color="auto" w:fill="auto"/>
        <w:ind w:leftChars="0" w:firstLine="420" w:firstLineChars="200"/>
        <w:jc w:val="both"/>
        <w:rPr>
          <w:rFonts w:hint="eastAsia" w:ascii="新宋体" w:hAnsi="新宋体" w:eastAsia="新宋体" w:cs="Times New Roman"/>
          <w:color w:val="auto"/>
          <w:highlight w:val="none"/>
        </w:rPr>
      </w:pPr>
      <w:r>
        <w:rPr>
          <w:rFonts w:hint="eastAsia" w:ascii="新宋体" w:hAnsi="新宋体" w:eastAsia="新宋体" w:cs="Times New Roman"/>
          <w:color w:val="auto"/>
          <w:highlight w:val="none"/>
        </w:rPr>
        <w:t>（2）具有执业律师资格，熟悉所聘用行政执法领域方面的法律法规，并具有一定的工作经验；</w:t>
      </w:r>
    </w:p>
    <w:p>
      <w:pPr>
        <w:pStyle w:val="9"/>
        <w:widowControl w:val="0"/>
        <w:numPr>
          <w:ilvl w:val="0"/>
          <w:numId w:val="0"/>
        </w:numPr>
        <w:pBdr>
          <w:top w:val="none" w:color="auto" w:sz="0" w:space="1"/>
          <w:left w:val="none" w:color="auto" w:sz="0" w:space="4"/>
          <w:bottom w:val="none" w:color="auto" w:sz="0" w:space="1"/>
          <w:right w:val="none" w:color="auto" w:sz="0" w:space="4"/>
          <w:between w:val="none" w:color="auto" w:sz="0" w:space="0"/>
        </w:pBdr>
        <w:shd w:val="clear" w:color="auto" w:fill="auto"/>
        <w:ind w:leftChars="0" w:firstLine="420" w:firstLineChars="200"/>
        <w:jc w:val="both"/>
        <w:rPr>
          <w:rFonts w:hint="eastAsia" w:ascii="新宋体" w:hAnsi="新宋体" w:eastAsia="新宋体" w:cs="Times New Roman"/>
          <w:color w:val="auto"/>
          <w:highlight w:val="none"/>
        </w:rPr>
      </w:pPr>
      <w:r>
        <w:rPr>
          <w:rFonts w:hint="eastAsia" w:ascii="新宋体" w:hAnsi="新宋体" w:eastAsia="新宋体" w:cs="Times New Roman"/>
          <w:color w:val="auto"/>
          <w:highlight w:val="none"/>
        </w:rPr>
        <w:t>（3）熟悉所聘用执法领域执法办案流程，熟悉我市行政执法方面的工作要求；</w:t>
      </w:r>
    </w:p>
    <w:p>
      <w:pPr>
        <w:pStyle w:val="9"/>
        <w:widowControl w:val="0"/>
        <w:numPr>
          <w:ilvl w:val="0"/>
          <w:numId w:val="0"/>
        </w:numPr>
        <w:pBdr>
          <w:top w:val="none" w:color="auto" w:sz="0" w:space="1"/>
          <w:left w:val="none" w:color="auto" w:sz="0" w:space="4"/>
          <w:bottom w:val="none" w:color="auto" w:sz="0" w:space="1"/>
          <w:right w:val="none" w:color="auto" w:sz="0" w:space="4"/>
          <w:between w:val="none" w:color="auto" w:sz="0" w:space="0"/>
        </w:pBdr>
        <w:shd w:val="clear" w:color="auto" w:fill="auto"/>
        <w:ind w:leftChars="0" w:firstLine="420" w:firstLineChars="200"/>
        <w:jc w:val="both"/>
        <w:rPr>
          <w:rFonts w:hint="eastAsia" w:ascii="新宋体" w:hAnsi="新宋体" w:eastAsia="新宋体" w:cs="Times New Roman"/>
          <w:color w:val="auto"/>
          <w:highlight w:val="none"/>
        </w:rPr>
      </w:pPr>
      <w:r>
        <w:rPr>
          <w:rFonts w:hint="eastAsia" w:ascii="新宋体" w:hAnsi="新宋体" w:eastAsia="新宋体" w:cs="Times New Roman"/>
          <w:color w:val="auto"/>
          <w:highlight w:val="none"/>
        </w:rPr>
        <w:t>（4）具有担任党委政府及其部门法律顾问的工作经验；</w:t>
      </w:r>
    </w:p>
    <w:p>
      <w:pPr>
        <w:pStyle w:val="9"/>
        <w:widowControl w:val="0"/>
        <w:numPr>
          <w:ilvl w:val="0"/>
          <w:numId w:val="0"/>
        </w:numPr>
        <w:pBdr>
          <w:top w:val="none" w:color="auto" w:sz="0" w:space="1"/>
          <w:left w:val="none" w:color="auto" w:sz="0" w:space="4"/>
          <w:bottom w:val="none" w:color="auto" w:sz="0" w:space="1"/>
          <w:right w:val="none" w:color="auto" w:sz="0" w:space="4"/>
          <w:between w:val="none" w:color="auto" w:sz="0" w:space="0"/>
        </w:pBdr>
        <w:shd w:val="clear" w:color="auto" w:fill="auto"/>
        <w:ind w:leftChars="0" w:firstLine="420" w:firstLineChars="200"/>
        <w:jc w:val="both"/>
        <w:rPr>
          <w:rFonts w:hint="eastAsia" w:ascii="新宋体" w:hAnsi="新宋体" w:eastAsia="新宋体" w:cs="Times New Roman"/>
          <w:color w:val="auto"/>
          <w:highlight w:val="none"/>
        </w:rPr>
      </w:pPr>
      <w:r>
        <w:rPr>
          <w:rFonts w:hint="eastAsia" w:ascii="新宋体" w:hAnsi="新宋体" w:eastAsia="新宋体" w:cs="Times New Roman"/>
          <w:color w:val="auto"/>
          <w:highlight w:val="none"/>
        </w:rPr>
        <w:t>（5）有时间和精力履行职责，具强烈的履职意愿；</w:t>
      </w:r>
    </w:p>
    <w:p>
      <w:pPr>
        <w:pStyle w:val="9"/>
        <w:widowControl w:val="0"/>
        <w:numPr>
          <w:ilvl w:val="0"/>
          <w:numId w:val="0"/>
        </w:numPr>
        <w:pBdr>
          <w:top w:val="none" w:color="auto" w:sz="0" w:space="1"/>
          <w:left w:val="none" w:color="auto" w:sz="0" w:space="4"/>
          <w:bottom w:val="none" w:color="auto" w:sz="0" w:space="1"/>
          <w:right w:val="none" w:color="auto" w:sz="0" w:space="4"/>
          <w:between w:val="none" w:color="auto" w:sz="0" w:space="0"/>
        </w:pBdr>
        <w:shd w:val="clear" w:color="auto" w:fill="auto"/>
        <w:ind w:leftChars="0" w:firstLine="420" w:firstLineChars="200"/>
        <w:jc w:val="both"/>
        <w:rPr>
          <w:rFonts w:hint="eastAsia" w:ascii="新宋体" w:hAnsi="新宋体" w:eastAsia="新宋体" w:cs="Times New Roman"/>
          <w:color w:val="auto"/>
          <w:highlight w:val="none"/>
        </w:rPr>
      </w:pPr>
      <w:r>
        <w:rPr>
          <w:rFonts w:hint="eastAsia" w:ascii="新宋体" w:hAnsi="新宋体" w:eastAsia="新宋体" w:cs="Times New Roman"/>
          <w:color w:val="auto"/>
          <w:highlight w:val="none"/>
        </w:rPr>
        <w:t>（6）执业记录良好，无执业纪律处分纪录。</w:t>
      </w:r>
    </w:p>
    <w:p>
      <w:pPr>
        <w:pStyle w:val="9"/>
        <w:widowControl w:val="0"/>
        <w:numPr>
          <w:ilvl w:val="0"/>
          <w:numId w:val="0"/>
        </w:numPr>
        <w:pBdr>
          <w:top w:val="none" w:color="auto" w:sz="0" w:space="1"/>
          <w:left w:val="none" w:color="auto" w:sz="0" w:space="4"/>
          <w:bottom w:val="none" w:color="auto" w:sz="0" w:space="1"/>
          <w:right w:val="none" w:color="auto" w:sz="0" w:space="4"/>
          <w:between w:val="none" w:color="auto" w:sz="0" w:space="0"/>
        </w:pBdr>
        <w:shd w:val="clear" w:color="auto" w:fill="auto"/>
        <w:ind w:leftChars="0" w:firstLine="420" w:firstLineChars="200"/>
        <w:jc w:val="both"/>
        <w:rPr>
          <w:rFonts w:hint="eastAsia" w:ascii="新宋体" w:hAnsi="新宋体" w:eastAsia="新宋体" w:cs="Times New Roman"/>
          <w:color w:val="auto"/>
          <w:highlight w:val="none"/>
        </w:rPr>
      </w:pPr>
      <w:r>
        <w:rPr>
          <w:rFonts w:hint="eastAsia" w:ascii="新宋体" w:hAnsi="新宋体" w:eastAsia="新宋体" w:cs="Times New Roman"/>
          <w:color w:val="auto"/>
          <w:highlight w:val="none"/>
        </w:rPr>
        <w:t>2. 对投标人律师服务团队资质的要求</w:t>
      </w:r>
    </w:p>
    <w:p>
      <w:pPr>
        <w:pStyle w:val="9"/>
        <w:widowControl w:val="0"/>
        <w:numPr>
          <w:ilvl w:val="0"/>
          <w:numId w:val="0"/>
        </w:numPr>
        <w:pBdr>
          <w:top w:val="none" w:color="auto" w:sz="0" w:space="1"/>
          <w:left w:val="none" w:color="auto" w:sz="0" w:space="4"/>
          <w:bottom w:val="none" w:color="auto" w:sz="0" w:space="1"/>
          <w:right w:val="none" w:color="auto" w:sz="0" w:space="4"/>
          <w:between w:val="none" w:color="auto" w:sz="0" w:space="0"/>
        </w:pBdr>
        <w:shd w:val="clear" w:color="auto" w:fill="auto"/>
        <w:ind w:leftChars="0" w:firstLine="420" w:firstLineChars="200"/>
        <w:jc w:val="both"/>
        <w:rPr>
          <w:rFonts w:hint="eastAsia" w:ascii="新宋体" w:hAnsi="新宋体" w:eastAsia="新宋体" w:cs="Times New Roman"/>
          <w:color w:val="auto"/>
          <w:highlight w:val="none"/>
        </w:rPr>
      </w:pPr>
      <w:r>
        <w:rPr>
          <w:rFonts w:hint="eastAsia" w:ascii="新宋体" w:hAnsi="新宋体" w:eastAsia="新宋体" w:cs="Times New Roman"/>
          <w:color w:val="auto"/>
          <w:highlight w:val="none"/>
        </w:rPr>
        <w:t>（1）投标人应指派1名业务能力强、具有</w:t>
      </w:r>
      <w:r>
        <w:rPr>
          <w:rFonts w:hint="default" w:ascii="新宋体" w:hAnsi="新宋体" w:eastAsia="新宋体" w:cs="Times New Roman"/>
          <w:color w:val="auto"/>
          <w:highlight w:val="none"/>
        </w:rPr>
        <w:t>十</w:t>
      </w:r>
      <w:r>
        <w:rPr>
          <w:rFonts w:hint="eastAsia" w:ascii="新宋体" w:hAnsi="新宋体" w:eastAsia="新宋体" w:cs="Times New Roman"/>
          <w:color w:val="auto"/>
          <w:highlight w:val="none"/>
        </w:rPr>
        <w:t>年以上执业律师经验的律师担任采购人的</w:t>
      </w:r>
      <w:r>
        <w:rPr>
          <w:rFonts w:hint="default" w:ascii="新宋体" w:hAnsi="新宋体" w:eastAsia="新宋体" w:cs="Times New Roman"/>
          <w:color w:val="auto"/>
          <w:highlight w:val="none"/>
        </w:rPr>
        <w:t>法律顾问团队负责人</w:t>
      </w:r>
      <w:r>
        <w:rPr>
          <w:rFonts w:hint="eastAsia" w:ascii="新宋体" w:hAnsi="新宋体" w:eastAsia="新宋体" w:cs="Times New Roman"/>
          <w:color w:val="auto"/>
          <w:highlight w:val="none"/>
        </w:rPr>
        <w:t>；</w:t>
      </w:r>
    </w:p>
    <w:p>
      <w:pPr>
        <w:pStyle w:val="9"/>
        <w:widowControl w:val="0"/>
        <w:numPr>
          <w:ilvl w:val="0"/>
          <w:numId w:val="0"/>
        </w:numPr>
        <w:pBdr>
          <w:top w:val="none" w:color="auto" w:sz="0" w:space="1"/>
          <w:left w:val="none" w:color="auto" w:sz="0" w:space="4"/>
          <w:bottom w:val="none" w:color="auto" w:sz="0" w:space="1"/>
          <w:right w:val="none" w:color="auto" w:sz="0" w:space="4"/>
          <w:between w:val="none" w:color="auto" w:sz="0" w:space="0"/>
        </w:pBdr>
        <w:shd w:val="clear" w:color="auto" w:fill="auto"/>
        <w:ind w:leftChars="0" w:firstLine="420" w:firstLineChars="200"/>
        <w:jc w:val="both"/>
        <w:rPr>
          <w:rFonts w:hint="eastAsia" w:ascii="新宋体" w:hAnsi="新宋体" w:eastAsia="新宋体" w:cs="Times New Roman"/>
          <w:color w:val="auto"/>
          <w:highlight w:val="none"/>
        </w:rPr>
      </w:pPr>
      <w:r>
        <w:rPr>
          <w:rFonts w:hint="eastAsia" w:ascii="新宋体" w:hAnsi="新宋体" w:eastAsia="新宋体" w:cs="Times New Roman"/>
          <w:color w:val="auto"/>
          <w:highlight w:val="none"/>
        </w:rPr>
        <w:t>（2）投标人需指派</w:t>
      </w:r>
      <w:r>
        <w:rPr>
          <w:rFonts w:hint="default" w:ascii="新宋体" w:hAnsi="新宋体" w:eastAsia="新宋体" w:cs="Times New Roman"/>
          <w:color w:val="auto"/>
          <w:highlight w:val="none"/>
        </w:rPr>
        <w:t>3</w:t>
      </w:r>
      <w:r>
        <w:rPr>
          <w:rFonts w:hint="eastAsia" w:ascii="新宋体" w:hAnsi="新宋体" w:eastAsia="新宋体" w:cs="Times New Roman"/>
          <w:color w:val="auto"/>
          <w:highlight w:val="none"/>
        </w:rPr>
        <w:t>名专职律师服务团队协助</w:t>
      </w:r>
      <w:r>
        <w:rPr>
          <w:rFonts w:hint="default" w:ascii="新宋体" w:hAnsi="新宋体" w:eastAsia="新宋体" w:cs="Times New Roman"/>
          <w:color w:val="auto"/>
          <w:highlight w:val="none"/>
        </w:rPr>
        <w:t>采购人</w:t>
      </w:r>
      <w:r>
        <w:rPr>
          <w:rFonts w:hint="eastAsia" w:ascii="新宋体" w:hAnsi="新宋体" w:eastAsia="新宋体" w:cs="Times New Roman"/>
          <w:color w:val="auto"/>
          <w:highlight w:val="none"/>
        </w:rPr>
        <w:t>处理相关事务（要求至少有1名工作经验满3年的专职</w:t>
      </w:r>
      <w:r>
        <w:rPr>
          <w:rFonts w:hint="eastAsia" w:ascii="新宋体" w:hAnsi="新宋体" w:eastAsia="新宋体" w:cs="Times New Roman"/>
          <w:color w:val="auto"/>
          <w:highlight w:val="none"/>
          <w:lang w:val="en-US" w:eastAsia="zh-CN"/>
        </w:rPr>
        <w:t>执业</w:t>
      </w:r>
      <w:r>
        <w:rPr>
          <w:rFonts w:hint="eastAsia" w:ascii="新宋体" w:hAnsi="新宋体" w:eastAsia="新宋体" w:cs="Times New Roman"/>
          <w:color w:val="auto"/>
          <w:highlight w:val="none"/>
        </w:rPr>
        <w:t>律师），对于专职人员不符合采购人工作要求的，采购人有权要求投标人在收到采购人书面换人通知后一个月内更换符合条件的专职人员。(中标后签订合同前，提供专职人员的律师执业证复印件交由采购人查验，原件备查)。</w:t>
      </w:r>
    </w:p>
    <w:p>
      <w:pPr>
        <w:pStyle w:val="9"/>
        <w:widowControl w:val="0"/>
        <w:numPr>
          <w:ilvl w:val="0"/>
          <w:numId w:val="0"/>
        </w:numPr>
        <w:pBdr>
          <w:top w:val="none" w:color="auto" w:sz="0" w:space="1"/>
          <w:left w:val="none" w:color="auto" w:sz="0" w:space="4"/>
          <w:bottom w:val="none" w:color="auto" w:sz="0" w:space="1"/>
          <w:right w:val="none" w:color="auto" w:sz="0" w:space="4"/>
          <w:between w:val="none" w:color="auto" w:sz="0" w:space="0"/>
        </w:pBdr>
        <w:shd w:val="clear" w:color="auto" w:fill="auto"/>
        <w:ind w:leftChars="0" w:firstLine="420" w:firstLineChars="200"/>
        <w:jc w:val="both"/>
        <w:rPr>
          <w:rFonts w:hint="eastAsia" w:ascii="新宋体" w:hAnsi="新宋体" w:eastAsia="新宋体" w:cs="Times New Roman"/>
          <w:color w:val="auto"/>
          <w:highlight w:val="none"/>
        </w:rPr>
      </w:pPr>
      <w:r>
        <w:rPr>
          <w:rFonts w:hint="eastAsia" w:ascii="新宋体" w:hAnsi="新宋体" w:eastAsia="新宋体" w:cs="Times New Roman"/>
          <w:color w:val="auto"/>
          <w:highlight w:val="none"/>
        </w:rPr>
        <w:t>3.其他</w:t>
      </w:r>
    </w:p>
    <w:p>
      <w:pPr>
        <w:pStyle w:val="9"/>
        <w:widowControl w:val="0"/>
        <w:numPr>
          <w:ilvl w:val="0"/>
          <w:numId w:val="0"/>
        </w:numPr>
        <w:pBdr>
          <w:top w:val="none" w:color="auto" w:sz="0" w:space="1"/>
          <w:left w:val="none" w:color="auto" w:sz="0" w:space="4"/>
          <w:bottom w:val="none" w:color="auto" w:sz="0" w:space="1"/>
          <w:right w:val="none" w:color="auto" w:sz="0" w:space="4"/>
          <w:between w:val="none" w:color="auto" w:sz="0" w:space="0"/>
        </w:pBdr>
        <w:shd w:val="clear" w:color="auto" w:fill="auto"/>
        <w:ind w:leftChars="0" w:firstLine="420" w:firstLineChars="200"/>
        <w:jc w:val="both"/>
        <w:rPr>
          <w:rFonts w:hint="eastAsia" w:ascii="新宋体" w:hAnsi="新宋体" w:eastAsia="新宋体" w:cs="Times New Roman"/>
          <w:color w:val="auto"/>
          <w:highlight w:val="none"/>
        </w:rPr>
      </w:pPr>
      <w:r>
        <w:rPr>
          <w:rFonts w:hint="eastAsia" w:ascii="新宋体" w:hAnsi="新宋体" w:eastAsia="新宋体" w:cs="Times New Roman"/>
          <w:color w:val="auto"/>
          <w:highlight w:val="none"/>
        </w:rPr>
        <w:t>中标人的工作人员人身安全、财产安全及人事管理由中标人负责，合作期间中标人的工作人员发生的人身安全等意外事故由中标人自行负责。</w:t>
      </w:r>
    </w:p>
    <w:p>
      <w:pPr>
        <w:pStyle w:val="9"/>
        <w:widowControl w:val="0"/>
        <w:numPr>
          <w:ilvl w:val="0"/>
          <w:numId w:val="1"/>
        </w:numPr>
        <w:pBdr>
          <w:top w:val="none" w:color="auto" w:sz="0" w:space="1"/>
          <w:left w:val="none" w:color="auto" w:sz="0" w:space="4"/>
          <w:bottom w:val="none" w:color="auto" w:sz="0" w:space="1"/>
          <w:right w:val="none" w:color="auto" w:sz="0" w:space="4"/>
          <w:between w:val="none" w:color="auto" w:sz="0" w:space="0"/>
        </w:pBdr>
        <w:shd w:val="clear" w:color="auto" w:fill="auto"/>
        <w:ind w:leftChars="0" w:firstLineChars="0"/>
        <w:jc w:val="both"/>
        <w:rPr>
          <w:rFonts w:hint="eastAsia" w:ascii="宋体" w:hAnsi="宋体" w:cs="宋体"/>
          <w:b/>
          <w:bCs/>
          <w:color w:val="auto"/>
          <w:szCs w:val="21"/>
          <w:highlight w:val="none"/>
          <w:shd w:val="clear" w:color="auto" w:fill="auto"/>
        </w:rPr>
      </w:pPr>
      <w:r>
        <w:rPr>
          <w:rFonts w:hint="eastAsia" w:ascii="宋体" w:hAnsi="宋体" w:cs="宋体"/>
          <w:b/>
          <w:bCs/>
          <w:color w:val="auto"/>
          <w:szCs w:val="21"/>
          <w:highlight w:val="none"/>
          <w:shd w:val="clear" w:color="auto" w:fill="auto"/>
          <w:lang w:eastAsia="zh-CN"/>
        </w:rPr>
        <w:t>其他</w:t>
      </w:r>
      <w:r>
        <w:rPr>
          <w:rFonts w:hint="eastAsia" w:ascii="宋体" w:hAnsi="宋体" w:cs="宋体"/>
          <w:b/>
          <w:bCs/>
          <w:color w:val="auto"/>
          <w:szCs w:val="21"/>
          <w:highlight w:val="none"/>
          <w:shd w:val="clear" w:color="auto" w:fill="auto"/>
        </w:rPr>
        <w:t>要求</w:t>
      </w:r>
    </w:p>
    <w:p>
      <w:pPr>
        <w:pStyle w:val="9"/>
        <w:widowControl w:val="0"/>
        <w:numPr>
          <w:ilvl w:val="0"/>
          <w:numId w:val="0"/>
        </w:numPr>
        <w:pBdr>
          <w:top w:val="none" w:color="auto" w:sz="0" w:space="1"/>
          <w:left w:val="none" w:color="auto" w:sz="0" w:space="4"/>
          <w:bottom w:val="none" w:color="auto" w:sz="0" w:space="1"/>
          <w:right w:val="none" w:color="auto" w:sz="0" w:space="4"/>
          <w:between w:val="none" w:color="auto" w:sz="0" w:space="0"/>
        </w:pBdr>
        <w:shd w:val="clear" w:color="auto" w:fill="auto"/>
        <w:ind w:leftChars="0" w:firstLine="420" w:firstLineChars="200"/>
        <w:jc w:val="both"/>
        <w:rPr>
          <w:rFonts w:hint="default" w:ascii="新宋体" w:hAnsi="新宋体" w:eastAsia="新宋体" w:cs="Times New Roman"/>
          <w:color w:val="auto"/>
          <w:highlight w:val="none"/>
        </w:rPr>
      </w:pPr>
      <w:r>
        <w:rPr>
          <w:rFonts w:hint="default" w:ascii="新宋体" w:hAnsi="新宋体" w:eastAsia="新宋体" w:cs="Times New Roman"/>
          <w:color w:val="auto"/>
          <w:highlight w:val="none"/>
        </w:rPr>
        <w:t>配备项目所需的办公设备、仪器等， 并满足项目所需的交通出行要求。</w:t>
      </w:r>
    </w:p>
    <w:p>
      <w:pPr>
        <w:pStyle w:val="9"/>
        <w:widowControl w:val="0"/>
        <w:numPr>
          <w:ilvl w:val="0"/>
          <w:numId w:val="1"/>
        </w:numPr>
        <w:pBdr>
          <w:top w:val="none" w:color="auto" w:sz="0" w:space="1"/>
          <w:left w:val="none" w:color="auto" w:sz="0" w:space="4"/>
          <w:bottom w:val="none" w:color="auto" w:sz="0" w:space="1"/>
          <w:right w:val="none" w:color="auto" w:sz="0" w:space="4"/>
          <w:between w:val="none" w:color="auto" w:sz="0" w:space="0"/>
        </w:pBdr>
        <w:shd w:val="clear" w:color="auto" w:fill="auto"/>
        <w:ind w:leftChars="0" w:firstLineChars="0"/>
        <w:jc w:val="both"/>
        <w:rPr>
          <w:rFonts w:hint="eastAsia" w:ascii="宋体" w:hAnsi="宋体" w:cs="宋体"/>
          <w:b/>
          <w:bCs/>
          <w:color w:val="auto"/>
          <w:szCs w:val="21"/>
          <w:highlight w:val="none"/>
          <w:shd w:val="clear" w:color="auto" w:fill="auto"/>
        </w:rPr>
      </w:pPr>
      <w:r>
        <w:rPr>
          <w:rFonts w:hint="eastAsia" w:ascii="宋体" w:hAnsi="宋体" w:cs="宋体"/>
          <w:b/>
          <w:bCs/>
          <w:color w:val="auto"/>
          <w:szCs w:val="21"/>
          <w:highlight w:val="none"/>
          <w:shd w:val="clear" w:color="auto" w:fill="auto"/>
        </w:rPr>
        <w:t>验收要求</w:t>
      </w:r>
    </w:p>
    <w:p>
      <w:pPr>
        <w:rPr>
          <w:rFonts w:ascii="新宋体" w:hAnsi="新宋体" w:eastAsia="新宋体"/>
          <w:b/>
          <w:color w:val="auto"/>
        </w:rPr>
      </w:pPr>
      <w:r>
        <w:rPr>
          <w:rFonts w:hint="default" w:ascii="新宋体" w:hAnsi="新宋体" w:eastAsia="新宋体" w:cs="Times New Roman"/>
          <w:color w:val="auto"/>
          <w:kern w:val="2"/>
          <w:sz w:val="21"/>
          <w:szCs w:val="24"/>
          <w:highlight w:val="none"/>
          <w:lang w:eastAsia="zh-CN" w:bidi="ar-SA"/>
        </w:rPr>
        <w:t>投标人需提交项目验收报告作为项目中期和尾期验收时的成果文件。</w:t>
      </w:r>
    </w:p>
    <w:p>
      <w:pPr>
        <w:rPr>
          <w:rFonts w:ascii="新宋体" w:hAnsi="新宋体" w:eastAsia="新宋体"/>
          <w:b/>
          <w:color w:val="auto"/>
        </w:rPr>
      </w:pPr>
    </w:p>
    <w:p>
      <w:pPr>
        <w:pStyle w:val="3"/>
        <w:rPr>
          <w:rFonts w:ascii="新宋体" w:hAnsi="新宋体" w:eastAsia="新宋体"/>
          <w:color w:val="auto"/>
          <w:kern w:val="44"/>
          <w:szCs w:val="28"/>
        </w:rPr>
      </w:pPr>
      <w:r>
        <w:rPr>
          <w:rFonts w:hint="eastAsia" w:ascii="新宋体" w:hAnsi="新宋体" w:eastAsia="新宋体"/>
          <w:color w:val="auto"/>
          <w:kern w:val="44"/>
          <w:szCs w:val="28"/>
        </w:rPr>
        <w:t>五、项目商务要求</w:t>
      </w:r>
    </w:p>
    <w:p>
      <w:pPr>
        <w:numPr>
          <w:ilvl w:val="0"/>
          <w:numId w:val="2"/>
        </w:numPr>
        <w:tabs>
          <w:tab w:val="left" w:pos="540"/>
        </w:tabs>
        <w:adjustRightInd w:val="0"/>
        <w:snapToGrid w:val="0"/>
        <w:spacing w:line="240" w:lineRule="auto"/>
        <w:rPr>
          <w:rFonts w:hint="eastAsia" w:ascii="宋体" w:hAnsi="宋体" w:cs="宋体"/>
          <w:b/>
          <w:bCs/>
          <w:color w:val="auto"/>
          <w:kern w:val="0"/>
          <w:szCs w:val="21"/>
          <w:highlight w:val="none"/>
        </w:rPr>
      </w:pPr>
      <w:r>
        <w:rPr>
          <w:rFonts w:hint="eastAsia" w:ascii="宋体" w:hAnsi="宋体" w:cs="宋体"/>
          <w:b/>
          <w:bCs/>
          <w:color w:val="auto"/>
          <w:kern w:val="0"/>
          <w:szCs w:val="21"/>
          <w:highlight w:val="none"/>
        </w:rPr>
        <w:t>报价要求</w:t>
      </w:r>
    </w:p>
    <w:p>
      <w:pPr>
        <w:widowControl/>
        <w:adjustRightInd w:val="0"/>
        <w:snapToGrid w:val="0"/>
        <w:spacing w:line="240" w:lineRule="auto"/>
        <w:ind w:firstLine="420" w:firstLineChars="200"/>
        <w:outlineLvl w:val="0"/>
        <w:rPr>
          <w:rFonts w:hint="eastAsia" w:ascii="宋体" w:hAnsi="宋体" w:cs="宋体"/>
          <w:color w:val="auto"/>
          <w:szCs w:val="21"/>
          <w:highlight w:val="none"/>
        </w:rPr>
      </w:pPr>
      <w:r>
        <w:rPr>
          <w:rFonts w:hint="eastAsia" w:ascii="宋体" w:hAnsi="宋体" w:cs="宋体"/>
          <w:color w:val="auto"/>
          <w:szCs w:val="21"/>
          <w:highlight w:val="none"/>
        </w:rPr>
        <w:t>1、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widowControl/>
        <w:adjustRightInd w:val="0"/>
        <w:snapToGrid w:val="0"/>
        <w:spacing w:line="240" w:lineRule="auto"/>
        <w:ind w:firstLine="420" w:firstLineChars="200"/>
        <w:outlineLvl w:val="0"/>
        <w:rPr>
          <w:rFonts w:hint="eastAsia" w:ascii="宋体" w:hAnsi="宋体" w:cs="宋体"/>
          <w:color w:val="auto"/>
          <w:szCs w:val="21"/>
          <w:highlight w:val="none"/>
        </w:rPr>
      </w:pPr>
      <w:r>
        <w:rPr>
          <w:rFonts w:hint="eastAsia" w:ascii="宋体" w:hAnsi="宋体" w:cs="宋体"/>
          <w:color w:val="auto"/>
          <w:szCs w:val="21"/>
          <w:highlight w:val="none"/>
        </w:rPr>
        <w:t>2、投标人的投标报价，应是本项目招标范围和招标文件及合同条款上所列的各项内容中所述的全部，不得以任何理由予以重复，并以投标人在投标文件中提出的综合单价或总价为依据。</w:t>
      </w:r>
    </w:p>
    <w:p>
      <w:pPr>
        <w:widowControl/>
        <w:adjustRightInd w:val="0"/>
        <w:snapToGrid w:val="0"/>
        <w:spacing w:line="240" w:lineRule="auto"/>
        <w:ind w:firstLine="420" w:firstLineChars="200"/>
        <w:outlineLvl w:val="0"/>
        <w:rPr>
          <w:rFonts w:hint="eastAsia" w:ascii="宋体" w:hAnsi="宋体" w:cs="宋体"/>
          <w:color w:val="auto"/>
          <w:szCs w:val="21"/>
          <w:highlight w:val="none"/>
        </w:rPr>
      </w:pPr>
      <w:r>
        <w:rPr>
          <w:rFonts w:hint="eastAsia" w:ascii="宋体" w:hAnsi="宋体" w:cs="宋体"/>
          <w:color w:val="auto"/>
          <w:szCs w:val="21"/>
          <w:highlight w:val="none"/>
        </w:rPr>
        <w:t>3、除非政府集中采购机构通过修改招标文件予以更正，否则，投标人应毫无例外地按招标文件所列的清单中项目和数量填报综合单价或总价。投标人未填综合单价或总价的项目，在实施后，将不得以支付，并视作该项费用已包括在其它有价款的综合单价或总价内。</w:t>
      </w:r>
    </w:p>
    <w:p>
      <w:pPr>
        <w:widowControl/>
        <w:adjustRightInd w:val="0"/>
        <w:snapToGrid w:val="0"/>
        <w:spacing w:line="240" w:lineRule="auto"/>
        <w:ind w:firstLine="420" w:firstLineChars="200"/>
        <w:outlineLvl w:val="0"/>
        <w:rPr>
          <w:rFonts w:hint="eastAsia" w:ascii="宋体" w:hAnsi="宋体" w:cs="宋体"/>
          <w:color w:val="auto"/>
          <w:szCs w:val="21"/>
          <w:highlight w:val="none"/>
        </w:rPr>
      </w:pPr>
      <w:r>
        <w:rPr>
          <w:rFonts w:hint="eastAsia" w:ascii="宋体" w:hAnsi="宋体" w:cs="宋体"/>
          <w:color w:val="auto"/>
          <w:szCs w:val="21"/>
          <w:highlight w:val="none"/>
        </w:rPr>
        <w:t>4、投标人应充分了解项目的位置、情况、道路及任何其它足以影响投标报价的情况，任何因忽视或误解项目情况而导致的索赔或服务期限延长申请将不获批准。</w:t>
      </w:r>
    </w:p>
    <w:p>
      <w:pPr>
        <w:widowControl/>
        <w:adjustRightInd w:val="0"/>
        <w:snapToGrid w:val="0"/>
        <w:spacing w:line="240" w:lineRule="auto"/>
        <w:ind w:firstLine="420" w:firstLineChars="200"/>
        <w:outlineLvl w:val="0"/>
        <w:rPr>
          <w:rFonts w:hint="eastAsia" w:ascii="宋体" w:hAnsi="宋体" w:cs="宋体"/>
          <w:color w:val="auto"/>
          <w:szCs w:val="21"/>
          <w:highlight w:val="none"/>
        </w:rPr>
      </w:pPr>
      <w:r>
        <w:rPr>
          <w:rFonts w:hint="eastAsia" w:ascii="宋体" w:hAnsi="宋体" w:cs="宋体"/>
          <w:color w:val="auto"/>
          <w:szCs w:val="21"/>
          <w:highlight w:val="none"/>
        </w:rPr>
        <w:t>5、投标人不得期望通过索赔等方式获取补偿，否则，除可能遭到拒绝外，还可能将被作为不良行为记录在案，并可能影响其以后参加政府采购的项目投标。各投标人在投标报价时，应充分考虑投标报价的风险。</w:t>
      </w:r>
    </w:p>
    <w:p>
      <w:pPr>
        <w:adjustRightInd w:val="0"/>
        <w:snapToGrid w:val="0"/>
        <w:spacing w:line="24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 xml:space="preserve">6、投标人须考虑本项目在实施期间的一切可能产生的费用。在项目实施过程中，如项目工作范围发生变更，由中标人和采购人双方协商解决；其余情况下，投标总价均不予调整。  </w:t>
      </w:r>
    </w:p>
    <w:p>
      <w:pPr>
        <w:numPr>
          <w:ilvl w:val="0"/>
          <w:numId w:val="2"/>
        </w:numPr>
        <w:tabs>
          <w:tab w:val="left" w:pos="540"/>
        </w:tabs>
        <w:adjustRightInd w:val="0"/>
        <w:snapToGrid w:val="0"/>
        <w:spacing w:line="240" w:lineRule="auto"/>
        <w:rPr>
          <w:rFonts w:hint="eastAsia" w:ascii="宋体" w:hAnsi="宋体" w:cs="宋体"/>
          <w:b/>
          <w:bCs/>
          <w:color w:val="auto"/>
          <w:szCs w:val="21"/>
          <w:highlight w:val="none"/>
        </w:rPr>
      </w:pPr>
      <w:r>
        <w:rPr>
          <w:rFonts w:hint="eastAsia" w:ascii="宋体" w:hAnsi="宋体" w:cs="宋体"/>
          <w:b/>
          <w:bCs/>
          <w:color w:val="auto"/>
          <w:szCs w:val="21"/>
          <w:highlight w:val="none"/>
        </w:rPr>
        <w:t>支付要求</w:t>
      </w:r>
    </w:p>
    <w:p>
      <w:pPr>
        <w:pStyle w:val="5"/>
        <w:numPr>
          <w:ilvl w:val="0"/>
          <w:numId w:val="0"/>
        </w:numPr>
        <w:tabs>
          <w:tab w:val="left" w:pos="780"/>
        </w:tabs>
        <w:adjustRightInd w:val="0"/>
        <w:snapToGrid w:val="0"/>
        <w:spacing w:line="240" w:lineRule="auto"/>
        <w:ind w:firstLine="420" w:firstLineChars="200"/>
        <w:rPr>
          <w:rFonts w:hint="eastAsia" w:ascii="宋体" w:hAnsi="宋体" w:eastAsia="宋体" w:cs="宋体"/>
          <w:color w:val="auto"/>
          <w:kern w:val="0"/>
          <w:sz w:val="21"/>
          <w:szCs w:val="21"/>
          <w:highlight w:val="none"/>
        </w:rPr>
      </w:pPr>
      <w:r>
        <w:rPr>
          <w:rFonts w:hint="default" w:hAnsi="宋体" w:cs="宋体"/>
          <w:color w:val="auto"/>
          <w:sz w:val="21"/>
          <w:szCs w:val="21"/>
          <w:highlight w:val="none"/>
        </w:rPr>
        <w:t>1.合同款项分三期支付：</w:t>
      </w:r>
    </w:p>
    <w:p>
      <w:pPr>
        <w:pStyle w:val="5"/>
        <w:numPr>
          <w:ilvl w:val="0"/>
          <w:numId w:val="0"/>
        </w:numPr>
        <w:tabs>
          <w:tab w:val="left" w:pos="780"/>
        </w:tabs>
        <w:adjustRightInd w:val="0"/>
        <w:snapToGrid w:val="0"/>
        <w:spacing w:line="240" w:lineRule="auto"/>
        <w:ind w:firstLine="420" w:firstLineChars="200"/>
        <w:rPr>
          <w:rFonts w:hint="default" w:hAnsi="宋体" w:cs="宋体"/>
          <w:color w:val="auto"/>
          <w:sz w:val="21"/>
          <w:szCs w:val="21"/>
          <w:highlight w:val="none"/>
        </w:rPr>
      </w:pPr>
      <w:r>
        <w:rPr>
          <w:rFonts w:hint="default" w:hAnsi="宋体" w:cs="宋体"/>
          <w:color w:val="auto"/>
          <w:sz w:val="21"/>
          <w:szCs w:val="21"/>
          <w:highlight w:val="none"/>
        </w:rPr>
        <w:t>（1）首期：</w:t>
      </w:r>
      <w:r>
        <w:rPr>
          <w:rFonts w:hint="eastAsia" w:ascii="宋体" w:hAnsi="宋体" w:eastAsia="宋体" w:cs="宋体"/>
          <w:color w:val="auto"/>
          <w:sz w:val="21"/>
          <w:szCs w:val="21"/>
          <w:highlight w:val="none"/>
        </w:rPr>
        <w:t>签订合同后，采购人在收到</w:t>
      </w:r>
      <w:r>
        <w:rPr>
          <w:rFonts w:hint="default" w:hAnsi="宋体" w:cs="宋体"/>
          <w:color w:val="auto"/>
          <w:sz w:val="21"/>
          <w:szCs w:val="21"/>
          <w:highlight w:val="none"/>
        </w:rPr>
        <w:t>中标人的</w:t>
      </w:r>
      <w:r>
        <w:rPr>
          <w:rFonts w:hint="eastAsia" w:ascii="宋体" w:hAnsi="宋体" w:eastAsia="宋体" w:cs="宋体"/>
          <w:color w:val="auto"/>
          <w:sz w:val="21"/>
          <w:szCs w:val="21"/>
          <w:highlight w:val="none"/>
        </w:rPr>
        <w:t>发票</w:t>
      </w:r>
      <w:r>
        <w:rPr>
          <w:rFonts w:hint="eastAsia" w:ascii="宋体" w:hAnsi="宋体" w:eastAsia="宋体" w:cs="宋体"/>
          <w:color w:val="auto"/>
          <w:sz w:val="21"/>
          <w:szCs w:val="21"/>
          <w:highlight w:val="none"/>
          <w:u w:val="none"/>
        </w:rPr>
        <w:t>后</w:t>
      </w:r>
      <w:r>
        <w:rPr>
          <w:rFonts w:hint="default" w:hAnsi="宋体" w:cs="宋体"/>
          <w:color w:val="auto"/>
          <w:sz w:val="21"/>
          <w:szCs w:val="21"/>
          <w:highlight w:val="none"/>
          <w:u w:val="none"/>
        </w:rPr>
        <w:t>10日</w:t>
      </w:r>
      <w:r>
        <w:rPr>
          <w:rFonts w:hint="eastAsia" w:ascii="宋体" w:hAnsi="宋体" w:eastAsia="宋体" w:cs="宋体"/>
          <w:color w:val="auto"/>
          <w:sz w:val="21"/>
          <w:szCs w:val="21"/>
          <w:highlight w:val="none"/>
          <w:u w:val="none"/>
        </w:rPr>
        <w:t>内向</w:t>
      </w:r>
      <w:r>
        <w:rPr>
          <w:rFonts w:hint="eastAsia" w:ascii="宋体" w:hAnsi="宋体" w:eastAsia="宋体" w:cs="宋体"/>
          <w:color w:val="auto"/>
          <w:sz w:val="21"/>
          <w:szCs w:val="21"/>
          <w:highlight w:val="none"/>
        </w:rPr>
        <w:t>中标人支付合同总价的</w:t>
      </w:r>
      <w:r>
        <w:rPr>
          <w:rFonts w:hint="eastAsia" w:ascii="宋体" w:hAnsi="宋体" w:eastAsia="宋体" w:cs="宋体"/>
          <w:color w:val="auto"/>
          <w:sz w:val="21"/>
          <w:szCs w:val="21"/>
          <w:highlight w:val="none"/>
          <w:u w:val="none"/>
        </w:rPr>
        <w:t xml:space="preserve"> </w:t>
      </w:r>
      <w:r>
        <w:rPr>
          <w:rFonts w:hint="default" w:hAnsi="宋体" w:cs="宋体"/>
          <w:color w:val="auto"/>
          <w:sz w:val="21"/>
          <w:szCs w:val="21"/>
          <w:highlight w:val="none"/>
          <w:u w:val="none"/>
        </w:rPr>
        <w:t>30</w:t>
      </w:r>
      <w:r>
        <w:rPr>
          <w:rFonts w:hint="eastAsia" w:ascii="宋体" w:hAnsi="宋体" w:eastAsia="宋体" w:cs="宋体"/>
          <w:color w:val="auto"/>
          <w:sz w:val="21"/>
          <w:szCs w:val="21"/>
          <w:highlight w:val="none"/>
          <w:u w:val="none"/>
        </w:rPr>
        <w:t>%</w:t>
      </w:r>
      <w:r>
        <w:rPr>
          <w:rFonts w:hint="default" w:hAnsi="宋体" w:cs="宋体"/>
          <w:color w:val="auto"/>
          <w:sz w:val="21"/>
          <w:szCs w:val="21"/>
          <w:highlight w:val="none"/>
        </w:rPr>
        <w:t>；</w:t>
      </w:r>
    </w:p>
    <w:p>
      <w:pPr>
        <w:pStyle w:val="5"/>
        <w:numPr>
          <w:ilvl w:val="0"/>
          <w:numId w:val="0"/>
        </w:numPr>
        <w:tabs>
          <w:tab w:val="left" w:pos="780"/>
        </w:tabs>
        <w:adjustRightInd w:val="0"/>
        <w:snapToGrid w:val="0"/>
        <w:spacing w:line="240" w:lineRule="auto"/>
        <w:ind w:firstLine="420" w:firstLineChars="200"/>
        <w:rPr>
          <w:rFonts w:hint="eastAsia" w:ascii="宋体" w:hAnsi="宋体" w:eastAsia="宋体" w:cs="宋体"/>
          <w:color w:val="auto"/>
          <w:sz w:val="21"/>
          <w:szCs w:val="21"/>
          <w:highlight w:val="none"/>
        </w:rPr>
      </w:pPr>
      <w:r>
        <w:rPr>
          <w:rFonts w:hint="default" w:hAnsi="宋体" w:cs="宋体"/>
          <w:color w:val="auto"/>
          <w:sz w:val="21"/>
          <w:szCs w:val="21"/>
          <w:highlight w:val="none"/>
        </w:rPr>
        <w:t>（2）中期：中标人</w:t>
      </w:r>
      <w:r>
        <w:rPr>
          <w:color w:val="auto"/>
          <w:highlight w:val="none"/>
        </w:rPr>
        <w:t>服务期满</w:t>
      </w:r>
      <w:r>
        <w:rPr>
          <w:rFonts w:hint="default"/>
          <w:color w:val="auto"/>
          <w:highlight w:val="none"/>
        </w:rPr>
        <w:t>6个月且中期验收合格后，采购人在收到中标人的等发票后</w:t>
      </w:r>
      <w:r>
        <w:rPr>
          <w:rFonts w:hint="default" w:hAnsi="宋体" w:cs="宋体"/>
          <w:color w:val="auto"/>
          <w:sz w:val="21"/>
          <w:szCs w:val="21"/>
          <w:highlight w:val="none"/>
          <w:u w:val="none"/>
        </w:rPr>
        <w:t>10日</w:t>
      </w:r>
      <w:r>
        <w:rPr>
          <w:rFonts w:hint="eastAsia" w:ascii="宋体" w:hAnsi="宋体" w:eastAsia="宋体" w:cs="宋体"/>
          <w:color w:val="auto"/>
          <w:sz w:val="21"/>
          <w:szCs w:val="21"/>
          <w:highlight w:val="none"/>
          <w:u w:val="none"/>
        </w:rPr>
        <w:t>内</w:t>
      </w:r>
      <w:r>
        <w:rPr>
          <w:color w:val="auto"/>
          <w:highlight w:val="none"/>
        </w:rPr>
        <w:t>支付合同总价的</w:t>
      </w:r>
      <w:r>
        <w:rPr>
          <w:rFonts w:hint="default"/>
          <w:color w:val="auto"/>
          <w:highlight w:val="none"/>
        </w:rPr>
        <w:t>20%</w:t>
      </w:r>
      <w:r>
        <w:rPr>
          <w:rFonts w:hint="default" w:hAnsi="宋体" w:cs="宋体"/>
          <w:color w:val="auto"/>
          <w:sz w:val="21"/>
          <w:szCs w:val="21"/>
          <w:highlight w:val="none"/>
        </w:rPr>
        <w:t>；</w:t>
      </w:r>
    </w:p>
    <w:p>
      <w:pPr>
        <w:pStyle w:val="5"/>
        <w:numPr>
          <w:ilvl w:val="0"/>
          <w:numId w:val="0"/>
        </w:numPr>
        <w:tabs>
          <w:tab w:val="left" w:pos="780"/>
        </w:tabs>
        <w:adjustRightInd w:val="0"/>
        <w:snapToGrid w:val="0"/>
        <w:spacing w:line="240" w:lineRule="auto"/>
        <w:ind w:firstLine="420" w:firstLineChars="200"/>
        <w:rPr>
          <w:rFonts w:hint="eastAsia" w:ascii="宋体" w:hAnsi="宋体" w:eastAsia="宋体" w:cs="宋体"/>
          <w:color w:val="auto"/>
          <w:sz w:val="21"/>
          <w:szCs w:val="21"/>
          <w:highlight w:val="none"/>
        </w:rPr>
      </w:pPr>
      <w:r>
        <w:rPr>
          <w:rFonts w:hint="default" w:hAnsi="宋体" w:cs="宋体"/>
          <w:color w:val="auto"/>
          <w:sz w:val="21"/>
          <w:szCs w:val="21"/>
          <w:highlight w:val="none"/>
        </w:rPr>
        <w:t>（3）尾期：</w:t>
      </w:r>
      <w:r>
        <w:rPr>
          <w:rFonts w:hint="default" w:hAnsi="宋体" w:cs="宋体"/>
          <w:color w:val="auto"/>
          <w:sz w:val="21"/>
          <w:szCs w:val="21"/>
          <w:highlight w:val="none"/>
          <w:lang w:eastAsia="zh-CN"/>
        </w:rPr>
        <w:t>中标人</w:t>
      </w:r>
      <w:r>
        <w:rPr>
          <w:rFonts w:hint="default" w:hAnsi="宋体" w:cs="宋体"/>
          <w:color w:val="auto"/>
          <w:sz w:val="21"/>
          <w:szCs w:val="21"/>
          <w:highlight w:val="none"/>
        </w:rPr>
        <w:t>服务期满且中期验收合格后，采购人</w:t>
      </w:r>
      <w:r>
        <w:rPr>
          <w:rFonts w:hint="eastAsia" w:ascii="宋体" w:hAnsi="宋体" w:eastAsia="宋体" w:cs="宋体"/>
          <w:color w:val="auto"/>
          <w:sz w:val="21"/>
          <w:szCs w:val="21"/>
          <w:highlight w:val="none"/>
        </w:rPr>
        <w:t>在收到</w:t>
      </w:r>
      <w:r>
        <w:rPr>
          <w:rFonts w:hint="default"/>
          <w:color w:val="auto"/>
          <w:highlight w:val="none"/>
        </w:rPr>
        <w:t>中标人的发票</w:t>
      </w:r>
      <w:r>
        <w:rPr>
          <w:rFonts w:hint="eastAsia" w:ascii="宋体" w:hAnsi="宋体" w:eastAsia="宋体" w:cs="宋体"/>
          <w:color w:val="auto"/>
          <w:sz w:val="21"/>
          <w:szCs w:val="21"/>
          <w:highlight w:val="none"/>
        </w:rPr>
        <w:t>后</w:t>
      </w:r>
      <w:r>
        <w:rPr>
          <w:rFonts w:hint="default" w:hAnsi="宋体" w:cs="宋体"/>
          <w:color w:val="auto"/>
          <w:sz w:val="21"/>
          <w:szCs w:val="21"/>
          <w:highlight w:val="none"/>
          <w:u w:val="none"/>
        </w:rPr>
        <w:t>10日</w:t>
      </w:r>
      <w:r>
        <w:rPr>
          <w:rFonts w:hint="eastAsia" w:ascii="宋体" w:hAnsi="宋体" w:eastAsia="宋体" w:cs="宋体"/>
          <w:color w:val="auto"/>
          <w:sz w:val="21"/>
          <w:szCs w:val="21"/>
          <w:highlight w:val="none"/>
        </w:rPr>
        <w:t>内向中标人支付合同</w:t>
      </w:r>
      <w:r>
        <w:rPr>
          <w:rFonts w:hint="default" w:hAnsi="宋体" w:cs="宋体"/>
          <w:color w:val="auto"/>
          <w:sz w:val="21"/>
          <w:szCs w:val="21"/>
          <w:highlight w:val="none"/>
        </w:rPr>
        <w:t>总价的50%</w:t>
      </w:r>
      <w:r>
        <w:rPr>
          <w:rFonts w:hint="eastAsia" w:ascii="宋体" w:hAnsi="宋体" w:eastAsia="宋体" w:cs="宋体"/>
          <w:color w:val="auto"/>
          <w:sz w:val="21"/>
          <w:szCs w:val="21"/>
          <w:highlight w:val="none"/>
        </w:rPr>
        <w:t>。</w:t>
      </w:r>
    </w:p>
    <w:p>
      <w:pPr>
        <w:pStyle w:val="5"/>
        <w:numPr>
          <w:ilvl w:val="0"/>
          <w:numId w:val="0"/>
        </w:numPr>
        <w:tabs>
          <w:tab w:val="left" w:pos="780"/>
        </w:tabs>
        <w:adjustRightInd w:val="0"/>
        <w:snapToGrid w:val="0"/>
        <w:spacing w:line="240" w:lineRule="auto"/>
        <w:ind w:firstLine="420" w:firstLineChars="200"/>
        <w:rPr>
          <w:rFonts w:hint="eastAsia" w:ascii="宋体" w:hAnsi="宋体" w:eastAsia="宋体" w:cs="宋体"/>
          <w:color w:val="auto"/>
          <w:kern w:val="2"/>
          <w:sz w:val="21"/>
          <w:szCs w:val="21"/>
          <w:highlight w:val="none"/>
          <w:lang w:val="en-US" w:eastAsia="zh-TW" w:bidi="ar-SA"/>
        </w:rPr>
      </w:pPr>
      <w:r>
        <w:rPr>
          <w:rFonts w:hint="default" w:hAnsi="宋体" w:cs="宋体"/>
          <w:color w:val="auto"/>
          <w:sz w:val="21"/>
          <w:szCs w:val="21"/>
          <w:highlight w:val="none"/>
        </w:rPr>
        <w:t>2.</w:t>
      </w:r>
      <w:r>
        <w:rPr>
          <w:rFonts w:hint="eastAsia" w:ascii="宋体" w:hAnsi="宋体" w:eastAsia="宋体" w:cs="宋体"/>
          <w:color w:val="auto"/>
          <w:sz w:val="21"/>
          <w:szCs w:val="21"/>
          <w:highlight w:val="none"/>
        </w:rPr>
        <w:t>每次</w:t>
      </w:r>
      <w:r>
        <w:rPr>
          <w:rFonts w:hint="eastAsia" w:ascii="宋体" w:hAnsi="宋体" w:eastAsia="宋体" w:cs="宋体"/>
          <w:color w:val="auto"/>
          <w:sz w:val="21"/>
          <w:szCs w:val="21"/>
          <w:highlight w:val="none"/>
          <w:lang w:eastAsia="zh-TW"/>
        </w:rPr>
        <w:t>按合同支付款项前，中标人</w:t>
      </w:r>
      <w:r>
        <w:rPr>
          <w:rFonts w:hint="eastAsia" w:ascii="宋体" w:hAnsi="宋体" w:eastAsia="宋体" w:cs="宋体"/>
          <w:color w:val="auto"/>
          <w:sz w:val="21"/>
          <w:szCs w:val="21"/>
          <w:highlight w:val="none"/>
        </w:rPr>
        <w:t>应</w:t>
      </w:r>
      <w:r>
        <w:rPr>
          <w:rFonts w:hint="eastAsia" w:ascii="宋体" w:hAnsi="宋体" w:eastAsia="宋体" w:cs="宋体"/>
          <w:color w:val="auto"/>
          <w:sz w:val="21"/>
          <w:szCs w:val="21"/>
          <w:highlight w:val="none"/>
          <w:lang w:eastAsia="zh-TW"/>
        </w:rPr>
        <w:t>向采购人提供与支付金额相符的有效发票，且收款方、出具</w:t>
      </w:r>
      <w:r>
        <w:rPr>
          <w:rFonts w:hint="eastAsia" w:ascii="宋体" w:hAnsi="宋体" w:eastAsia="宋体" w:cs="宋体"/>
          <w:color w:val="auto"/>
          <w:kern w:val="2"/>
          <w:sz w:val="21"/>
          <w:szCs w:val="21"/>
          <w:highlight w:val="none"/>
          <w:lang w:val="en-US" w:eastAsia="zh-TW" w:bidi="ar-SA"/>
        </w:rPr>
        <w:t>发票方、合同乙方均必须与中标人名称一致；</w:t>
      </w:r>
    </w:p>
    <w:p>
      <w:pPr>
        <w:pStyle w:val="5"/>
        <w:numPr>
          <w:ilvl w:val="0"/>
          <w:numId w:val="0"/>
        </w:numPr>
        <w:tabs>
          <w:tab w:val="left" w:pos="780"/>
        </w:tabs>
        <w:adjustRightInd w:val="0"/>
        <w:snapToGrid w:val="0"/>
        <w:spacing w:line="240" w:lineRule="auto"/>
        <w:ind w:firstLine="420" w:firstLineChars="200"/>
        <w:rPr>
          <w:rFonts w:hint="default" w:hAnsi="宋体" w:cs="宋体"/>
          <w:color w:val="auto"/>
          <w:kern w:val="2"/>
          <w:sz w:val="21"/>
          <w:szCs w:val="21"/>
          <w:highlight w:val="none"/>
          <w:lang w:eastAsia="zh-TW" w:bidi="ar-SA"/>
        </w:rPr>
      </w:pPr>
      <w:r>
        <w:rPr>
          <w:rFonts w:hint="default" w:hAnsi="宋体" w:cs="宋体"/>
          <w:color w:val="auto"/>
          <w:kern w:val="2"/>
          <w:sz w:val="21"/>
          <w:szCs w:val="21"/>
          <w:highlight w:val="none"/>
          <w:lang w:eastAsia="zh-TW" w:bidi="ar-SA"/>
        </w:rPr>
        <w:t>3.中标金额即合同支付最高总价，超出测算数量以合同中标金额结算。</w:t>
      </w:r>
    </w:p>
    <w:p>
      <w:pPr>
        <w:pStyle w:val="5"/>
        <w:numPr>
          <w:ilvl w:val="0"/>
          <w:numId w:val="0"/>
        </w:numPr>
        <w:tabs>
          <w:tab w:val="left" w:pos="780"/>
        </w:tabs>
        <w:adjustRightInd w:val="0"/>
        <w:snapToGrid w:val="0"/>
        <w:spacing w:line="240" w:lineRule="auto"/>
        <w:ind w:firstLine="420" w:firstLineChars="200"/>
        <w:rPr>
          <w:rFonts w:hint="eastAsia" w:ascii="宋体" w:hAnsi="宋体" w:eastAsia="宋体" w:cs="宋体"/>
          <w:color w:val="auto"/>
          <w:kern w:val="2"/>
          <w:sz w:val="21"/>
          <w:szCs w:val="21"/>
          <w:highlight w:val="none"/>
          <w:lang w:val="en-US" w:eastAsia="zh-TW" w:bidi="ar-SA"/>
        </w:rPr>
      </w:pPr>
      <w:r>
        <w:rPr>
          <w:rFonts w:hint="eastAsia" w:ascii="宋体" w:hAnsi="宋体" w:eastAsia="宋体" w:cs="宋体"/>
          <w:color w:val="auto"/>
          <w:kern w:val="2"/>
          <w:sz w:val="21"/>
          <w:szCs w:val="21"/>
          <w:highlight w:val="none"/>
          <w:lang w:val="en-US" w:eastAsia="zh-CN" w:bidi="ar-SA"/>
        </w:rPr>
        <w:t>注意：项目付款均需按照财政集中支付程序办理付款手续，且在拨款到位后支付，若后续年度经人大审议通过的部门预算中，该采购项目预算金额较提前采购计划金额发生变化的，双方可根据相关规定签订补充协议或终止协议执行。</w:t>
      </w:r>
    </w:p>
    <w:p>
      <w:pPr>
        <w:numPr>
          <w:ilvl w:val="0"/>
          <w:numId w:val="2"/>
        </w:numPr>
        <w:tabs>
          <w:tab w:val="left" w:pos="540"/>
        </w:tabs>
        <w:adjustRightInd w:val="0"/>
        <w:snapToGrid w:val="0"/>
        <w:spacing w:line="240" w:lineRule="auto"/>
        <w:rPr>
          <w:rFonts w:hint="eastAsia" w:ascii="宋体" w:hAnsi="宋体" w:cs="宋体"/>
          <w:b/>
          <w:bCs/>
          <w:color w:val="auto"/>
          <w:szCs w:val="21"/>
          <w:highlight w:val="none"/>
        </w:rPr>
      </w:pPr>
      <w:r>
        <w:rPr>
          <w:rFonts w:hint="eastAsia" w:ascii="宋体" w:hAnsi="宋体" w:cs="宋体"/>
          <w:b/>
          <w:bCs/>
          <w:color w:val="auto"/>
          <w:szCs w:val="21"/>
          <w:highlight w:val="none"/>
        </w:rPr>
        <w:t>合同服务期限</w:t>
      </w:r>
    </w:p>
    <w:p>
      <w:pPr>
        <w:numPr>
          <w:ilvl w:val="0"/>
          <w:numId w:val="3"/>
        </w:numPr>
        <w:adjustRightInd w:val="0"/>
        <w:snapToGrid w:val="0"/>
        <w:spacing w:line="240" w:lineRule="auto"/>
        <w:ind w:firstLine="420" w:firstLineChars="200"/>
        <w:rPr>
          <w:rFonts w:hint="default"/>
          <w:color w:val="auto"/>
          <w:highlight w:val="none"/>
        </w:rPr>
      </w:pPr>
      <w:r>
        <w:rPr>
          <w:rFonts w:hint="eastAsia" w:ascii="宋体" w:hAnsi="宋体" w:cs="宋体"/>
          <w:color w:val="auto"/>
          <w:szCs w:val="21"/>
          <w:highlight w:val="none"/>
        </w:rPr>
        <w:t>项目服务期限：</w:t>
      </w:r>
      <w:r>
        <w:rPr>
          <w:rFonts w:hint="eastAsia" w:ascii="宋体" w:hAnsi="宋体" w:eastAsia="宋体" w:cs="宋体"/>
          <w:color w:val="auto"/>
          <w:kern w:val="0"/>
          <w:szCs w:val="21"/>
          <w:lang w:val="en-US" w:eastAsia="zh-CN"/>
        </w:rPr>
        <w:t>本项目合同服务期自合同约定之日起</w:t>
      </w:r>
      <w:r>
        <w:rPr>
          <w:rFonts w:hint="eastAsia" w:ascii="宋体" w:hAnsi="宋体" w:eastAsia="宋体" w:cs="宋体"/>
          <w:color w:val="auto"/>
          <w:kern w:val="0"/>
          <w:szCs w:val="21"/>
          <w:lang w:eastAsia="zh-CN"/>
        </w:rPr>
        <w:t>十二个月</w:t>
      </w:r>
      <w:r>
        <w:rPr>
          <w:rFonts w:hint="eastAsia" w:ascii="宋体" w:hAnsi="宋体" w:eastAsia="宋体" w:cs="宋体"/>
          <w:color w:val="auto"/>
          <w:kern w:val="0"/>
          <w:szCs w:val="21"/>
          <w:lang w:val="en-US" w:eastAsia="zh-CN"/>
        </w:rPr>
        <w:t>内</w:t>
      </w:r>
      <w:r>
        <w:rPr>
          <w:rFonts w:hint="default"/>
          <w:color w:val="auto"/>
          <w:highlight w:val="none"/>
        </w:rPr>
        <w:t>；</w:t>
      </w:r>
    </w:p>
    <w:p>
      <w:pPr>
        <w:numPr>
          <w:ilvl w:val="0"/>
          <w:numId w:val="3"/>
        </w:numPr>
        <w:adjustRightInd w:val="0"/>
        <w:snapToGrid w:val="0"/>
        <w:spacing w:line="240" w:lineRule="auto"/>
        <w:ind w:firstLine="420" w:firstLineChars="200"/>
        <w:rPr>
          <w:rFonts w:hint="eastAsia" w:ascii="宋体" w:hAnsi="宋体" w:cs="宋体"/>
          <w:color w:val="auto"/>
          <w:szCs w:val="21"/>
          <w:highlight w:val="none"/>
        </w:rPr>
      </w:pPr>
      <w:r>
        <w:rPr>
          <w:rFonts w:hint="eastAsia" w:ascii="宋体" w:hAnsi="宋体" w:cs="宋体"/>
          <w:color w:val="auto"/>
          <w:szCs w:val="21"/>
        </w:rPr>
        <w:t>本项目为长期服务项目，政府采购合同一年一签，履行期限最长不得超过三十六个月。如甲方对履约情况不满意，甲方不再续约。</w:t>
      </w:r>
    </w:p>
    <w:p>
      <w:pPr>
        <w:adjustRightInd w:val="0"/>
        <w:snapToGrid w:val="0"/>
        <w:spacing w:line="240" w:lineRule="auto"/>
        <w:ind w:firstLine="420" w:firstLineChars="200"/>
        <w:rPr>
          <w:rFonts w:hint="eastAsia" w:ascii="宋体" w:hAnsi="宋体" w:eastAsia="宋体" w:cs="宋体"/>
          <w:color w:val="auto"/>
          <w:szCs w:val="21"/>
          <w:highlight w:val="none"/>
        </w:rPr>
      </w:pPr>
      <w:r>
        <w:rPr>
          <w:rFonts w:hint="default" w:ascii="宋体" w:hAnsi="宋体" w:cs="宋体"/>
          <w:color w:val="auto"/>
          <w:szCs w:val="21"/>
          <w:highlight w:val="none"/>
        </w:rPr>
        <w:t>3</w:t>
      </w:r>
      <w:r>
        <w:rPr>
          <w:rFonts w:hint="eastAsia" w:ascii="宋体" w:hAnsi="宋体" w:eastAsia="宋体" w:cs="宋体"/>
          <w:color w:val="auto"/>
          <w:szCs w:val="21"/>
          <w:highlight w:val="none"/>
          <w:lang w:val="en-US" w:eastAsia="zh-CN"/>
        </w:rPr>
        <w:t>.售后服务期限：项目完成由采购人验收通过后进入售后服务期1年，中标人要在售后服务期限内提供相关咨询、协调和项目审查等技术支持。</w:t>
      </w:r>
    </w:p>
    <w:p>
      <w:pPr>
        <w:numPr>
          <w:ilvl w:val="0"/>
          <w:numId w:val="0"/>
        </w:numPr>
        <w:tabs>
          <w:tab w:val="left" w:pos="540"/>
        </w:tabs>
        <w:adjustRightInd w:val="0"/>
        <w:snapToGrid w:val="0"/>
        <w:spacing w:line="240" w:lineRule="auto"/>
        <w:jc w:val="left"/>
        <w:rPr>
          <w:rFonts w:hint="eastAsia" w:ascii="宋体" w:hAnsi="宋体" w:eastAsia="宋体" w:cs="宋体"/>
          <w:b/>
          <w:color w:val="auto"/>
          <w:szCs w:val="21"/>
          <w:highlight w:val="none"/>
        </w:rPr>
      </w:pPr>
      <w:r>
        <w:rPr>
          <w:rFonts w:hint="default" w:ascii="宋体" w:hAnsi="宋体" w:eastAsia="宋体" w:cs="宋体"/>
          <w:b/>
          <w:color w:val="auto"/>
          <w:szCs w:val="21"/>
          <w:highlight w:val="none"/>
        </w:rPr>
        <w:t>四、</w:t>
      </w:r>
      <w:r>
        <w:rPr>
          <w:rFonts w:hint="eastAsia" w:ascii="宋体" w:hAnsi="宋体" w:eastAsia="宋体" w:cs="宋体"/>
          <w:b/>
          <w:color w:val="auto"/>
          <w:szCs w:val="21"/>
          <w:highlight w:val="none"/>
        </w:rPr>
        <w:t>项目考核要求</w:t>
      </w:r>
    </w:p>
    <w:p>
      <w:pPr>
        <w:adjustRightInd w:val="0"/>
        <w:snapToGrid w:val="0"/>
        <w:spacing w:line="24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lang w:eastAsia="zh-CN"/>
        </w:rPr>
        <w:t>1</w:t>
      </w:r>
      <w:r>
        <w:rPr>
          <w:rFonts w:hint="eastAsia" w:ascii="宋体" w:hAnsi="宋体" w:cs="宋体"/>
          <w:color w:val="auto"/>
          <w:szCs w:val="21"/>
          <w:highlight w:val="none"/>
          <w:lang w:val="en-US" w:eastAsia="zh-CN"/>
        </w:rPr>
        <w:t>.</w:t>
      </w:r>
      <w:r>
        <w:rPr>
          <w:rFonts w:hint="eastAsia" w:ascii="宋体" w:hAnsi="宋体" w:cs="宋体"/>
          <w:color w:val="auto"/>
          <w:szCs w:val="21"/>
          <w:highlight w:val="none"/>
        </w:rPr>
        <w:t>由采购人对专职法律服务人员的服务内容建立严格的考核制度，负责对专职服务律师进行考核</w:t>
      </w:r>
      <w:r>
        <w:rPr>
          <w:rFonts w:hint="default" w:ascii="宋体" w:hAnsi="宋体" w:cs="宋体"/>
          <w:color w:val="auto"/>
          <w:szCs w:val="21"/>
          <w:highlight w:val="none"/>
        </w:rPr>
        <w:t>，</w:t>
      </w:r>
      <w:r>
        <w:rPr>
          <w:rFonts w:hint="eastAsia" w:ascii="宋体" w:hAnsi="宋体" w:cs="宋体"/>
          <w:color w:val="auto"/>
          <w:szCs w:val="21"/>
          <w:highlight w:val="none"/>
        </w:rPr>
        <w:t>考核结果未达到合格的，将不纳入下一次标候选单位；</w:t>
      </w:r>
    </w:p>
    <w:p>
      <w:pPr>
        <w:adjustRightInd w:val="0"/>
        <w:snapToGrid w:val="0"/>
        <w:spacing w:line="24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lang w:eastAsia="zh-CN"/>
        </w:rPr>
        <w:t>2</w:t>
      </w:r>
      <w:r>
        <w:rPr>
          <w:rFonts w:hint="eastAsia" w:ascii="宋体" w:hAnsi="宋体" w:cs="宋体"/>
          <w:color w:val="auto"/>
          <w:szCs w:val="21"/>
          <w:highlight w:val="none"/>
          <w:lang w:val="en-US" w:eastAsia="zh-CN"/>
        </w:rPr>
        <w:t>.</w:t>
      </w:r>
      <w:r>
        <w:rPr>
          <w:rFonts w:hint="eastAsia" w:ascii="宋体" w:hAnsi="宋体" w:cs="宋体"/>
          <w:color w:val="auto"/>
          <w:szCs w:val="21"/>
          <w:highlight w:val="none"/>
        </w:rPr>
        <w:t>将复议、诉讼案件的办理结果纳入考核，如果之前出具的法律意见未提出案件存在的瑕疵导致超过2宗（含2宗）复议或诉讼案件未被复议机关或法院支持的情况，则不纳入下一次标候选单位；</w:t>
      </w:r>
    </w:p>
    <w:p>
      <w:pPr>
        <w:adjustRightInd w:val="0"/>
        <w:snapToGrid w:val="0"/>
        <w:spacing w:line="240" w:lineRule="auto"/>
        <w:ind w:firstLine="420" w:firstLineChars="200"/>
        <w:rPr>
          <w:rFonts w:hint="default" w:ascii="宋体" w:hAnsi="宋体" w:cs="宋体"/>
          <w:color w:val="auto"/>
          <w:szCs w:val="21"/>
          <w:highlight w:val="none"/>
        </w:rPr>
      </w:pPr>
      <w:r>
        <w:rPr>
          <w:rFonts w:hint="eastAsia" w:ascii="宋体" w:hAnsi="宋体" w:cs="宋体"/>
          <w:color w:val="auto"/>
          <w:szCs w:val="21"/>
          <w:highlight w:val="none"/>
          <w:lang w:eastAsia="zh-CN"/>
        </w:rPr>
        <w:t>3</w:t>
      </w:r>
      <w:r>
        <w:rPr>
          <w:rFonts w:hint="eastAsia" w:ascii="宋体" w:hAnsi="宋体" w:cs="宋体"/>
          <w:color w:val="auto"/>
          <w:szCs w:val="21"/>
          <w:highlight w:val="none"/>
          <w:lang w:val="en-US" w:eastAsia="zh-CN"/>
        </w:rPr>
        <w:t>.</w:t>
      </w:r>
      <w:r>
        <w:rPr>
          <w:rFonts w:hint="eastAsia" w:ascii="宋体" w:hAnsi="宋体" w:cs="宋体"/>
          <w:color w:val="auto"/>
          <w:szCs w:val="21"/>
          <w:highlight w:val="none"/>
        </w:rPr>
        <w:t>将上级案卷评查结果纳入考核，在上级组织的案卷评查中案卷排名不低于倒数第三名，否则按一次扣除2万元（如成绩在99.5分以上，免于扣除），排名在倒数第五名或第四名，一次扣除1万（如成绩在99.5分以上，免于扣除），金额在尾款内一次性扣除。</w:t>
      </w:r>
      <w:r>
        <w:rPr>
          <w:rFonts w:hint="default" w:ascii="宋体" w:hAnsi="宋体" w:cs="宋体"/>
          <w:color w:val="auto"/>
          <w:szCs w:val="21"/>
          <w:highlight w:val="none"/>
        </w:rPr>
        <w:t>因立案、调查环节填报系统或公示超期等环境管理科不可控因素扣分而导致排名靠后，且审查案件阶段无法补救的除外。</w:t>
      </w:r>
    </w:p>
    <w:p>
      <w:pPr>
        <w:numPr>
          <w:ilvl w:val="0"/>
          <w:numId w:val="0"/>
        </w:numPr>
        <w:tabs>
          <w:tab w:val="left" w:pos="540"/>
        </w:tabs>
        <w:adjustRightInd w:val="0"/>
        <w:snapToGrid w:val="0"/>
        <w:spacing w:line="240" w:lineRule="auto"/>
        <w:ind w:leftChars="0"/>
        <w:rPr>
          <w:rFonts w:hint="eastAsia" w:ascii="宋体" w:hAnsi="宋体" w:cs="宋体"/>
          <w:b/>
          <w:color w:val="auto"/>
          <w:szCs w:val="21"/>
          <w:highlight w:val="none"/>
        </w:rPr>
      </w:pPr>
      <w:r>
        <w:rPr>
          <w:rFonts w:hint="default" w:ascii="宋体" w:hAnsi="宋体" w:cs="宋体"/>
          <w:b/>
          <w:color w:val="auto"/>
          <w:szCs w:val="21"/>
          <w:highlight w:val="none"/>
        </w:rPr>
        <w:t>五、</w:t>
      </w:r>
      <w:r>
        <w:rPr>
          <w:rFonts w:hint="eastAsia" w:ascii="宋体" w:hAnsi="宋体" w:cs="宋体"/>
          <w:b/>
          <w:color w:val="auto"/>
          <w:szCs w:val="21"/>
          <w:highlight w:val="none"/>
        </w:rPr>
        <w:t>保密要求</w:t>
      </w:r>
    </w:p>
    <w:p>
      <w:pPr>
        <w:numPr>
          <w:ilvl w:val="0"/>
          <w:numId w:val="0"/>
        </w:numPr>
        <w:tabs>
          <w:tab w:val="left" w:pos="540"/>
          <w:tab w:val="left" w:pos="780"/>
        </w:tabs>
        <w:adjustRightInd w:val="0"/>
        <w:snapToGrid w:val="0"/>
        <w:spacing w:line="240" w:lineRule="auto"/>
        <w:ind w:firstLine="420" w:firstLineChars="200"/>
        <w:rPr>
          <w:rFonts w:hint="eastAsia" w:ascii="宋体" w:hAnsi="宋体" w:eastAsia="宋体" w:cs="宋体"/>
          <w:color w:val="auto"/>
          <w:kern w:val="0"/>
          <w:szCs w:val="21"/>
          <w:lang w:val="en-US" w:eastAsia="zh-CN"/>
        </w:rPr>
      </w:pPr>
      <w:r>
        <w:rPr>
          <w:rFonts w:hint="eastAsia" w:ascii="宋体" w:hAnsi="宋体" w:eastAsia="宋体" w:cs="宋体"/>
          <w:color w:val="auto"/>
          <w:kern w:val="0"/>
          <w:szCs w:val="21"/>
          <w:lang w:val="en-US" w:eastAsia="zh-CN"/>
        </w:rPr>
        <w:t>1.由采购人收集的、开发的、整理的、复制的、研究的和准备的与本合同项下工作有关的所有资料在提供给中标人时，均被视为保密的，不得泄漏给除采购人或其指定的代表之外的任何人、企业或公司，不管本合同因何种原因终止，本条款一直约束中标人；</w:t>
      </w:r>
    </w:p>
    <w:p>
      <w:pPr>
        <w:numPr>
          <w:ilvl w:val="0"/>
          <w:numId w:val="0"/>
        </w:numPr>
        <w:tabs>
          <w:tab w:val="left" w:pos="540"/>
          <w:tab w:val="left" w:pos="780"/>
        </w:tabs>
        <w:adjustRightInd w:val="0"/>
        <w:snapToGrid w:val="0"/>
        <w:spacing w:line="240" w:lineRule="auto"/>
        <w:ind w:firstLine="420" w:firstLineChars="200"/>
        <w:rPr>
          <w:rFonts w:hint="eastAsia" w:ascii="宋体" w:hAnsi="宋体" w:eastAsia="宋体" w:cs="宋体"/>
          <w:color w:val="auto"/>
          <w:kern w:val="0"/>
          <w:szCs w:val="21"/>
          <w:lang w:val="en-US" w:eastAsia="zh-CN"/>
        </w:rPr>
      </w:pPr>
      <w:r>
        <w:rPr>
          <w:rFonts w:hint="eastAsia" w:ascii="宋体" w:hAnsi="宋体" w:eastAsia="宋体" w:cs="宋体"/>
          <w:color w:val="auto"/>
          <w:kern w:val="0"/>
          <w:szCs w:val="21"/>
          <w:lang w:val="en-US" w:eastAsia="zh-CN"/>
        </w:rPr>
        <w:t>2.中标人在履行合同过程中所获得或接触到的任何内部数据资料，未经采购人同意，不得向第三方透露；</w:t>
      </w:r>
    </w:p>
    <w:p>
      <w:pPr>
        <w:numPr>
          <w:ilvl w:val="0"/>
          <w:numId w:val="0"/>
        </w:numPr>
        <w:tabs>
          <w:tab w:val="left" w:pos="540"/>
          <w:tab w:val="left" w:pos="780"/>
        </w:tabs>
        <w:adjustRightInd w:val="0"/>
        <w:snapToGrid w:val="0"/>
        <w:spacing w:line="240" w:lineRule="auto"/>
        <w:ind w:firstLine="420" w:firstLineChars="200"/>
        <w:rPr>
          <w:rFonts w:hint="eastAsia" w:ascii="宋体" w:hAnsi="宋体" w:eastAsia="宋体" w:cs="宋体"/>
          <w:color w:val="auto"/>
          <w:kern w:val="0"/>
          <w:szCs w:val="21"/>
          <w:lang w:val="en-US" w:eastAsia="zh-CN"/>
        </w:rPr>
      </w:pPr>
      <w:r>
        <w:rPr>
          <w:rFonts w:hint="eastAsia" w:ascii="宋体" w:hAnsi="宋体" w:eastAsia="宋体" w:cs="宋体"/>
          <w:color w:val="auto"/>
          <w:kern w:val="0"/>
          <w:szCs w:val="21"/>
          <w:lang w:val="en-US" w:eastAsia="zh-CN"/>
        </w:rPr>
        <w:t>3.中标人实施项目的一切程序都应符合国家安全、保密的有关规定和标号招标文件、中标人投标文件，国家和行业有关规范、规程和标准；</w:t>
      </w:r>
    </w:p>
    <w:p>
      <w:pPr>
        <w:numPr>
          <w:ilvl w:val="0"/>
          <w:numId w:val="0"/>
        </w:numPr>
        <w:tabs>
          <w:tab w:val="left" w:pos="540"/>
          <w:tab w:val="left" w:pos="780"/>
        </w:tabs>
        <w:adjustRightInd w:val="0"/>
        <w:snapToGrid w:val="0"/>
        <w:spacing w:line="240" w:lineRule="auto"/>
        <w:ind w:firstLine="420" w:firstLineChars="200"/>
        <w:rPr>
          <w:rFonts w:hint="eastAsia" w:ascii="宋体" w:hAnsi="宋体" w:eastAsia="宋体" w:cs="宋体"/>
          <w:color w:val="auto"/>
          <w:kern w:val="0"/>
          <w:szCs w:val="21"/>
          <w:lang w:val="en-US" w:eastAsia="zh-CN"/>
        </w:rPr>
      </w:pPr>
      <w:r>
        <w:rPr>
          <w:rFonts w:hint="eastAsia" w:ascii="宋体" w:hAnsi="宋体" w:eastAsia="宋体" w:cs="宋体"/>
          <w:color w:val="auto"/>
          <w:kern w:val="0"/>
          <w:szCs w:val="21"/>
          <w:lang w:val="en-US" w:eastAsia="zh-CN"/>
        </w:rPr>
        <w:t>4.中标人参加项目的有关人员由中标人负责进行保密意识培训，履行保密义务；</w:t>
      </w:r>
    </w:p>
    <w:p>
      <w:pPr>
        <w:numPr>
          <w:ilvl w:val="0"/>
          <w:numId w:val="0"/>
        </w:numPr>
        <w:tabs>
          <w:tab w:val="left" w:pos="540"/>
          <w:tab w:val="left" w:pos="780"/>
        </w:tabs>
        <w:adjustRightInd w:val="0"/>
        <w:snapToGrid w:val="0"/>
        <w:spacing w:line="240" w:lineRule="auto"/>
        <w:ind w:firstLine="420" w:firstLineChars="200"/>
        <w:rPr>
          <w:rFonts w:hint="eastAsia" w:ascii="宋体" w:hAnsi="宋体" w:eastAsia="宋体" w:cs="宋体"/>
          <w:color w:val="auto"/>
          <w:kern w:val="0"/>
          <w:szCs w:val="21"/>
          <w:lang w:val="en-US" w:eastAsia="zh-CN"/>
        </w:rPr>
      </w:pPr>
      <w:r>
        <w:rPr>
          <w:rFonts w:hint="eastAsia" w:ascii="宋体" w:hAnsi="宋体" w:eastAsia="宋体" w:cs="宋体"/>
          <w:color w:val="auto"/>
          <w:kern w:val="0"/>
          <w:szCs w:val="21"/>
          <w:lang w:val="en-US" w:eastAsia="zh-CN"/>
        </w:rPr>
        <w:t>5.合同履行完毕，未经采购人的书面同意，中标人不得保存在履行合同过程中所获得或接触到的任何内部数据资料、项目成果。若中标人违反咨询服务资料归属的约定，由此造成采购人损失或第三人的损失均由中标人承担。</w:t>
      </w:r>
    </w:p>
    <w:p>
      <w:pPr>
        <w:numPr>
          <w:ilvl w:val="0"/>
          <w:numId w:val="0"/>
        </w:numPr>
        <w:tabs>
          <w:tab w:val="left" w:pos="540"/>
        </w:tabs>
        <w:adjustRightInd w:val="0"/>
        <w:snapToGrid w:val="0"/>
        <w:spacing w:line="240" w:lineRule="auto"/>
        <w:ind w:leftChars="0"/>
        <w:rPr>
          <w:rFonts w:hint="eastAsia" w:ascii="宋体" w:hAnsi="宋体" w:cs="宋体"/>
          <w:b/>
          <w:bCs/>
          <w:color w:val="auto"/>
          <w:kern w:val="0"/>
          <w:szCs w:val="21"/>
          <w:highlight w:val="none"/>
        </w:rPr>
      </w:pPr>
      <w:r>
        <w:rPr>
          <w:rFonts w:hint="default" w:ascii="宋体" w:hAnsi="宋体" w:cs="宋体"/>
          <w:b/>
          <w:bCs/>
          <w:color w:val="auto"/>
          <w:szCs w:val="21"/>
          <w:highlight w:val="none"/>
        </w:rPr>
        <w:t>六、</w:t>
      </w:r>
      <w:r>
        <w:rPr>
          <w:rFonts w:hint="eastAsia" w:ascii="宋体" w:hAnsi="宋体" w:cs="宋体"/>
          <w:b/>
          <w:bCs/>
          <w:color w:val="auto"/>
          <w:szCs w:val="21"/>
          <w:highlight w:val="none"/>
        </w:rPr>
        <w:t>★违约责任</w:t>
      </w:r>
      <w:r>
        <w:rPr>
          <w:rFonts w:hint="eastAsia" w:ascii="宋体" w:hAnsi="宋体" w:cs="宋体"/>
          <w:b/>
          <w:bCs/>
          <w:color w:val="auto"/>
          <w:szCs w:val="21"/>
          <w:highlight w:val="none"/>
        </w:rPr>
        <w:tab/>
      </w:r>
    </w:p>
    <w:p>
      <w:pPr>
        <w:numPr>
          <w:ilvl w:val="0"/>
          <w:numId w:val="0"/>
        </w:numPr>
        <w:tabs>
          <w:tab w:val="left" w:pos="540"/>
          <w:tab w:val="left" w:pos="780"/>
        </w:tabs>
        <w:adjustRightInd w:val="0"/>
        <w:snapToGrid w:val="0"/>
        <w:spacing w:line="240" w:lineRule="auto"/>
        <w:ind w:firstLine="420" w:firstLineChars="200"/>
        <w:rPr>
          <w:rFonts w:hint="default" w:ascii="宋体" w:hAnsi="宋体" w:cs="宋体"/>
          <w:color w:val="auto"/>
          <w:kern w:val="0"/>
          <w:szCs w:val="21"/>
          <w:highlight w:val="none"/>
        </w:rPr>
      </w:pPr>
      <w:r>
        <w:rPr>
          <w:rFonts w:hint="default" w:ascii="宋体" w:hAnsi="宋体" w:cs="宋体"/>
          <w:color w:val="auto"/>
          <w:kern w:val="0"/>
          <w:szCs w:val="21"/>
          <w:highlight w:val="none"/>
        </w:rPr>
        <w:t>1.</w:t>
      </w:r>
      <w:r>
        <w:rPr>
          <w:rFonts w:hint="eastAsia" w:ascii="宋体" w:hAnsi="宋体" w:cs="宋体"/>
          <w:color w:val="auto"/>
          <w:kern w:val="0"/>
          <w:szCs w:val="21"/>
          <w:highlight w:val="none"/>
          <w:lang w:eastAsia="zh-CN"/>
        </w:rPr>
        <w:t>因</w:t>
      </w:r>
      <w:r>
        <w:rPr>
          <w:rFonts w:hint="eastAsia" w:ascii="宋体" w:hAnsi="宋体" w:eastAsia="宋体" w:cs="宋体"/>
          <w:color w:val="auto"/>
          <w:kern w:val="0"/>
          <w:szCs w:val="21"/>
        </w:rPr>
        <w:t>中标人原因，未能按规定时间完成有关工作的，每延误一天，采购人可在支付合同余款中扣除合同价款千分之一，延误超过15天，采购人有权解除合同，中标人应当向采购人支付采购合同总价款20%的违约金；</w:t>
      </w:r>
    </w:p>
    <w:p>
      <w:pPr>
        <w:numPr>
          <w:ilvl w:val="0"/>
          <w:numId w:val="0"/>
        </w:numPr>
        <w:tabs>
          <w:tab w:val="left" w:pos="540"/>
          <w:tab w:val="left" w:pos="780"/>
        </w:tabs>
        <w:adjustRightInd w:val="0"/>
        <w:snapToGrid w:val="0"/>
        <w:spacing w:line="240" w:lineRule="auto"/>
        <w:ind w:firstLine="420" w:firstLineChars="200"/>
        <w:rPr>
          <w:rFonts w:hint="eastAsia" w:ascii="宋体" w:hAnsi="宋体" w:cs="宋体"/>
          <w:color w:val="auto"/>
          <w:szCs w:val="21"/>
          <w:highlight w:val="none"/>
        </w:rPr>
      </w:pPr>
      <w:r>
        <w:rPr>
          <w:rFonts w:hint="eastAsia" w:ascii="宋体" w:hAnsi="宋体" w:cs="宋体"/>
          <w:color w:val="auto"/>
          <w:kern w:val="0"/>
          <w:szCs w:val="21"/>
          <w:highlight w:val="none"/>
          <w:lang w:val="en-US" w:eastAsia="zh-CN"/>
        </w:rPr>
        <w:t>2.</w:t>
      </w:r>
      <w:r>
        <w:rPr>
          <w:rFonts w:hint="eastAsia" w:ascii="宋体" w:hAnsi="宋体" w:cs="宋体"/>
          <w:color w:val="auto"/>
          <w:kern w:val="0"/>
          <w:szCs w:val="21"/>
          <w:highlight w:val="none"/>
        </w:rPr>
        <w:t>如中标人提供的</w:t>
      </w:r>
      <w:r>
        <w:rPr>
          <w:rFonts w:hint="default" w:ascii="宋体" w:hAnsi="宋体" w:cs="宋体"/>
          <w:color w:val="auto"/>
          <w:kern w:val="0"/>
          <w:szCs w:val="21"/>
          <w:highlight w:val="none"/>
        </w:rPr>
        <w:t>法律</w:t>
      </w:r>
      <w:r>
        <w:rPr>
          <w:rFonts w:hint="eastAsia" w:ascii="宋体" w:hAnsi="宋体" w:cs="宋体"/>
          <w:color w:val="auto"/>
          <w:kern w:val="0"/>
          <w:szCs w:val="21"/>
          <w:highlight w:val="none"/>
        </w:rPr>
        <w:t>服务或</w:t>
      </w:r>
      <w:r>
        <w:rPr>
          <w:rFonts w:hint="default" w:ascii="宋体" w:hAnsi="宋体" w:cs="宋体"/>
          <w:color w:val="auto"/>
          <w:kern w:val="0"/>
          <w:szCs w:val="21"/>
          <w:highlight w:val="none"/>
        </w:rPr>
        <w:t>法律</w:t>
      </w:r>
      <w:r>
        <w:rPr>
          <w:rFonts w:hint="eastAsia" w:ascii="宋体" w:hAnsi="宋体" w:cs="宋体"/>
          <w:color w:val="auto"/>
          <w:kern w:val="0"/>
          <w:szCs w:val="21"/>
          <w:highlight w:val="none"/>
        </w:rPr>
        <w:t>服务文件不符合质量要求，必须在采购人提出要求后7天内无条件修改，其费用由中标人承担。</w:t>
      </w:r>
      <w:r>
        <w:rPr>
          <w:rFonts w:hint="eastAsia" w:ascii="CESI宋体-GB2312" w:hAnsi="CESI宋体-GB2312" w:eastAsia="CESI宋体-GB2312" w:cs="CESI宋体-GB2312"/>
          <w:color w:val="auto"/>
          <w:szCs w:val="21"/>
          <w:highlight w:val="none"/>
        </w:rPr>
        <w:t>中标人经修改后</w:t>
      </w:r>
      <w:r>
        <w:rPr>
          <w:rFonts w:hint="eastAsia" w:ascii="宋体" w:hAnsi="宋体" w:cs="宋体"/>
          <w:color w:val="auto"/>
          <w:kern w:val="0"/>
          <w:szCs w:val="21"/>
          <w:highlight w:val="none"/>
        </w:rPr>
        <w:t>提供的</w:t>
      </w:r>
      <w:r>
        <w:rPr>
          <w:rFonts w:hint="default" w:ascii="宋体" w:hAnsi="宋体" w:cs="宋体"/>
          <w:color w:val="auto"/>
          <w:kern w:val="0"/>
          <w:szCs w:val="21"/>
          <w:highlight w:val="none"/>
        </w:rPr>
        <w:t>法律</w:t>
      </w:r>
      <w:r>
        <w:rPr>
          <w:rFonts w:hint="eastAsia" w:ascii="宋体" w:hAnsi="宋体" w:cs="宋体"/>
          <w:color w:val="auto"/>
          <w:kern w:val="0"/>
          <w:szCs w:val="21"/>
          <w:highlight w:val="none"/>
        </w:rPr>
        <w:t>服务或</w:t>
      </w:r>
      <w:r>
        <w:rPr>
          <w:rFonts w:hint="default" w:ascii="宋体" w:hAnsi="宋体" w:cs="宋体"/>
          <w:color w:val="auto"/>
          <w:kern w:val="0"/>
          <w:szCs w:val="21"/>
          <w:highlight w:val="none"/>
        </w:rPr>
        <w:t>法律</w:t>
      </w:r>
      <w:r>
        <w:rPr>
          <w:rFonts w:hint="eastAsia" w:ascii="宋体" w:hAnsi="宋体" w:cs="宋体"/>
          <w:color w:val="auto"/>
          <w:kern w:val="0"/>
          <w:szCs w:val="21"/>
          <w:highlight w:val="none"/>
        </w:rPr>
        <w:t>服务文件</w:t>
      </w:r>
      <w:r>
        <w:rPr>
          <w:rFonts w:hint="eastAsia" w:ascii="CESI宋体-GB2312" w:hAnsi="CESI宋体-GB2312" w:eastAsia="CESI宋体-GB2312" w:cs="CESI宋体-GB2312"/>
          <w:color w:val="auto"/>
          <w:szCs w:val="21"/>
          <w:highlight w:val="none"/>
        </w:rPr>
        <w:t>仍</w:t>
      </w:r>
      <w:r>
        <w:rPr>
          <w:rFonts w:hint="eastAsia" w:ascii="宋体" w:hAnsi="宋体" w:cs="宋体"/>
          <w:color w:val="auto"/>
          <w:kern w:val="0"/>
          <w:szCs w:val="21"/>
          <w:highlight w:val="none"/>
        </w:rPr>
        <w:t>不符合质量要求的</w:t>
      </w:r>
      <w:r>
        <w:rPr>
          <w:rFonts w:hint="eastAsia" w:ascii="CESI宋体-GB2312" w:hAnsi="CESI宋体-GB2312" w:eastAsia="CESI宋体-GB2312" w:cs="CESI宋体-GB2312"/>
          <w:color w:val="auto"/>
          <w:szCs w:val="21"/>
          <w:highlight w:val="none"/>
        </w:rPr>
        <w:t>，</w:t>
      </w:r>
      <w:r>
        <w:rPr>
          <w:rFonts w:hint="eastAsia" w:ascii="宋体" w:hAnsi="宋体" w:cs="宋体"/>
          <w:color w:val="auto"/>
          <w:kern w:val="0"/>
          <w:szCs w:val="21"/>
          <w:highlight w:val="none"/>
        </w:rPr>
        <w:t>采购人有权解除合同，中标人应当返还采购人已支付款项并向采购人支付采购合同总价款20%的违约金；</w:t>
      </w:r>
    </w:p>
    <w:p>
      <w:pPr>
        <w:pStyle w:val="6"/>
        <w:spacing w:line="240" w:lineRule="auto"/>
        <w:ind w:firstLine="400" w:firstLineChars="200"/>
        <w:rPr>
          <w:rFonts w:hint="eastAsia" w:ascii="宋体" w:hAnsi="宋体" w:cs="宋体"/>
          <w:color w:val="auto"/>
          <w:highlight w:val="none"/>
        </w:rPr>
      </w:pPr>
      <w:r>
        <w:rPr>
          <w:rFonts w:hint="eastAsia" w:ascii="宋体" w:hAnsi="宋体" w:cs="宋体"/>
          <w:color w:val="auto"/>
          <w:highlight w:val="none"/>
          <w:lang w:val="en-US" w:eastAsia="zh-CN"/>
        </w:rPr>
        <w:t>3</w:t>
      </w:r>
      <w:r>
        <w:rPr>
          <w:rFonts w:hint="default" w:ascii="宋体" w:hAnsi="宋体" w:cs="宋体"/>
          <w:color w:val="auto"/>
          <w:highlight w:val="none"/>
        </w:rPr>
        <w:t>.</w:t>
      </w:r>
      <w:r>
        <w:rPr>
          <w:rFonts w:hint="eastAsia" w:ascii="宋体" w:hAnsi="宋体" w:cs="宋体"/>
          <w:color w:val="auto"/>
          <w:highlight w:val="none"/>
        </w:rPr>
        <w:t>如中标人违反保密义务或提供的项目服务或项目成果侵犯第三方知识产权的，采购人有权解除合同，中标人应当返还采购人已支付款项并向采购人支付采购合同总价款20%的违约金；</w:t>
      </w:r>
    </w:p>
    <w:p>
      <w:pPr>
        <w:pStyle w:val="6"/>
        <w:spacing w:line="240" w:lineRule="auto"/>
        <w:ind w:firstLine="400" w:firstLineChars="200"/>
        <w:rPr>
          <w:color w:val="auto"/>
          <w:highlight w:val="none"/>
        </w:rPr>
      </w:pPr>
      <w:r>
        <w:rPr>
          <w:rFonts w:hint="eastAsia" w:ascii="宋体" w:hAnsi="宋体" w:eastAsia="宋体" w:cs="宋体"/>
          <w:b w:val="0"/>
          <w:bCs w:val="0"/>
          <w:color w:val="auto"/>
          <w:highlight w:val="none"/>
          <w:lang w:val="en-US" w:eastAsia="zh-CN"/>
        </w:rPr>
        <w:t>4</w:t>
      </w:r>
      <w:r>
        <w:rPr>
          <w:rFonts w:hint="eastAsia" w:ascii="宋体" w:hAnsi="宋体" w:eastAsia="宋体" w:cs="宋体"/>
          <w:b w:val="0"/>
          <w:bCs w:val="0"/>
          <w:color w:val="auto"/>
          <w:highlight w:val="none"/>
        </w:rPr>
        <w:t>.</w:t>
      </w:r>
      <w:r>
        <w:rPr>
          <w:rFonts w:hint="eastAsia" w:ascii="Arial" w:hAnsi="Arial" w:eastAsia="宋体" w:cs="Times New Roman"/>
          <w:color w:val="auto"/>
          <w:highlight w:val="none"/>
        </w:rPr>
        <w:t>未经</w:t>
      </w:r>
      <w:r>
        <w:rPr>
          <w:rFonts w:hint="eastAsia"/>
          <w:color w:val="auto"/>
          <w:highlight w:val="none"/>
        </w:rPr>
        <w:t>采购人同意，中标人不得将项目转包或分包给其他第三方，如若违反，采购人有权解除合同，中标人应当返还采购人已支付的款项并向采购人支付采购合同总价款20%的违约金。</w:t>
      </w:r>
    </w:p>
    <w:p>
      <w:pPr>
        <w:numPr>
          <w:ilvl w:val="0"/>
          <w:numId w:val="0"/>
        </w:numPr>
        <w:tabs>
          <w:tab w:val="left" w:pos="540"/>
        </w:tabs>
        <w:adjustRightInd w:val="0"/>
        <w:snapToGrid w:val="0"/>
        <w:spacing w:line="240" w:lineRule="auto"/>
        <w:ind w:leftChars="0"/>
        <w:rPr>
          <w:rFonts w:hint="eastAsia" w:ascii="宋体" w:hAnsi="宋体" w:cs="宋体"/>
          <w:b/>
          <w:bCs/>
          <w:color w:val="auto"/>
          <w:szCs w:val="21"/>
          <w:highlight w:val="none"/>
        </w:rPr>
      </w:pPr>
      <w:r>
        <w:rPr>
          <w:rFonts w:hint="default" w:ascii="宋体" w:hAnsi="宋体" w:cs="宋体"/>
          <w:b/>
          <w:bCs/>
          <w:color w:val="auto"/>
          <w:szCs w:val="21"/>
          <w:highlight w:val="none"/>
        </w:rPr>
        <w:t>七、</w:t>
      </w:r>
      <w:r>
        <w:rPr>
          <w:rFonts w:hint="eastAsia" w:ascii="宋体" w:hAnsi="宋体" w:cs="宋体"/>
          <w:b/>
          <w:bCs/>
          <w:color w:val="auto"/>
          <w:szCs w:val="21"/>
          <w:highlight w:val="none"/>
        </w:rPr>
        <w:t>合同的变更</w:t>
      </w:r>
    </w:p>
    <w:p>
      <w:pPr>
        <w:numPr>
          <w:ilvl w:val="0"/>
          <w:numId w:val="0"/>
        </w:numPr>
        <w:tabs>
          <w:tab w:val="left" w:pos="780"/>
        </w:tabs>
        <w:adjustRightInd w:val="0"/>
        <w:snapToGrid w:val="0"/>
        <w:spacing w:line="240" w:lineRule="auto"/>
        <w:ind w:firstLine="420" w:firstLineChars="200"/>
        <w:rPr>
          <w:rFonts w:hint="default" w:ascii="宋体" w:hAnsi="宋体" w:cs="宋体"/>
          <w:color w:val="auto"/>
          <w:kern w:val="0"/>
          <w:szCs w:val="21"/>
          <w:highlight w:val="none"/>
        </w:rPr>
      </w:pPr>
      <w:r>
        <w:rPr>
          <w:rFonts w:hint="default" w:ascii="宋体" w:hAnsi="宋体" w:cs="宋体"/>
          <w:color w:val="auto"/>
          <w:kern w:val="0"/>
          <w:szCs w:val="21"/>
          <w:highlight w:val="none"/>
        </w:rPr>
        <w:t>1.</w:t>
      </w:r>
      <w:r>
        <w:rPr>
          <w:rFonts w:hint="eastAsia" w:ascii="宋体" w:hAnsi="宋体" w:cs="宋体"/>
          <w:color w:val="auto"/>
          <w:kern w:val="0"/>
          <w:szCs w:val="21"/>
          <w:highlight w:val="none"/>
        </w:rPr>
        <w:t>在合同履行过程中，采购人、中标人双方可就合同履行的时间、地点和方式等协商进行变更。协商一致后，双方应签订书面的补充协议</w:t>
      </w:r>
      <w:r>
        <w:rPr>
          <w:rFonts w:hint="default" w:ascii="宋体" w:hAnsi="宋体" w:cs="宋体"/>
          <w:color w:val="auto"/>
          <w:kern w:val="0"/>
          <w:szCs w:val="21"/>
          <w:highlight w:val="none"/>
        </w:rPr>
        <w:t>；</w:t>
      </w:r>
    </w:p>
    <w:p>
      <w:pPr>
        <w:numPr>
          <w:ilvl w:val="0"/>
          <w:numId w:val="0"/>
        </w:numPr>
        <w:tabs>
          <w:tab w:val="left" w:pos="780"/>
        </w:tabs>
        <w:adjustRightInd w:val="0"/>
        <w:snapToGrid w:val="0"/>
        <w:spacing w:line="240" w:lineRule="auto"/>
        <w:ind w:firstLine="420" w:firstLineChars="200"/>
        <w:rPr>
          <w:rFonts w:hint="eastAsia" w:ascii="宋体" w:hAnsi="宋体" w:cs="宋体"/>
          <w:color w:val="auto"/>
          <w:kern w:val="0"/>
          <w:szCs w:val="21"/>
          <w:highlight w:val="none"/>
        </w:rPr>
      </w:pPr>
      <w:r>
        <w:rPr>
          <w:rFonts w:hint="default" w:ascii="宋体" w:hAnsi="宋体" w:cs="宋体"/>
          <w:color w:val="auto"/>
          <w:kern w:val="0"/>
          <w:szCs w:val="21"/>
          <w:highlight w:val="none"/>
        </w:rPr>
        <w:t>2.</w:t>
      </w:r>
      <w:r>
        <w:rPr>
          <w:rFonts w:hint="eastAsia" w:ascii="宋体" w:hAnsi="宋体" w:cs="宋体"/>
          <w:color w:val="auto"/>
          <w:kern w:val="0"/>
          <w:szCs w:val="21"/>
        </w:rPr>
        <w:t>除了双方签署书面协议，并成为合同不可分割的一部分之外，合同条件不得有任何变更。</w:t>
      </w:r>
    </w:p>
    <w:p>
      <w:pPr>
        <w:numPr>
          <w:ilvl w:val="0"/>
          <w:numId w:val="0"/>
        </w:numPr>
        <w:tabs>
          <w:tab w:val="left" w:pos="540"/>
        </w:tabs>
        <w:adjustRightInd w:val="0"/>
        <w:snapToGrid w:val="0"/>
        <w:spacing w:line="240" w:lineRule="auto"/>
        <w:ind w:leftChars="0"/>
        <w:rPr>
          <w:rFonts w:hint="eastAsia" w:ascii="宋体" w:hAnsi="宋体" w:cs="宋体"/>
          <w:b/>
          <w:bCs/>
          <w:color w:val="auto"/>
          <w:szCs w:val="21"/>
          <w:highlight w:val="none"/>
        </w:rPr>
      </w:pPr>
      <w:r>
        <w:rPr>
          <w:rFonts w:hint="default" w:ascii="宋体" w:hAnsi="宋体" w:cs="宋体"/>
          <w:b/>
          <w:bCs/>
          <w:color w:val="auto"/>
          <w:szCs w:val="21"/>
          <w:highlight w:val="none"/>
        </w:rPr>
        <w:t>八、</w:t>
      </w:r>
      <w:r>
        <w:rPr>
          <w:rFonts w:hint="eastAsia" w:ascii="宋体" w:hAnsi="宋体" w:cs="宋体"/>
          <w:b/>
          <w:bCs/>
          <w:color w:val="auto"/>
          <w:szCs w:val="21"/>
          <w:highlight w:val="none"/>
        </w:rPr>
        <w:t>合同转让和分包</w:t>
      </w:r>
    </w:p>
    <w:p>
      <w:pPr>
        <w:numPr>
          <w:ilvl w:val="0"/>
          <w:numId w:val="0"/>
        </w:numPr>
        <w:tabs>
          <w:tab w:val="left" w:pos="780"/>
        </w:tabs>
        <w:adjustRightInd w:val="0"/>
        <w:snapToGrid w:val="0"/>
        <w:spacing w:line="240" w:lineRule="auto"/>
        <w:ind w:firstLine="420" w:firstLineChars="200"/>
        <w:rPr>
          <w:rFonts w:hint="default" w:ascii="宋体" w:hAnsi="宋体" w:cs="宋体"/>
          <w:color w:val="auto"/>
          <w:kern w:val="0"/>
          <w:szCs w:val="21"/>
          <w:highlight w:val="none"/>
        </w:rPr>
      </w:pPr>
      <w:r>
        <w:rPr>
          <w:rFonts w:hint="default" w:ascii="宋体" w:hAnsi="宋体" w:cs="宋体"/>
          <w:color w:val="auto"/>
          <w:kern w:val="0"/>
          <w:szCs w:val="21"/>
          <w:highlight w:val="none"/>
        </w:rPr>
        <w:t>1.</w:t>
      </w:r>
      <w:r>
        <w:rPr>
          <w:rFonts w:hint="eastAsia" w:ascii="宋体" w:hAnsi="宋体" w:cs="宋体"/>
          <w:color w:val="auto"/>
          <w:kern w:val="0"/>
          <w:szCs w:val="21"/>
          <w:highlight w:val="none"/>
        </w:rPr>
        <w:t>中标人不得以任何形式部分或全部转让其应履行的合同义务</w:t>
      </w:r>
      <w:r>
        <w:rPr>
          <w:rFonts w:hint="default" w:ascii="宋体" w:hAnsi="宋体" w:cs="宋体"/>
          <w:color w:val="auto"/>
          <w:kern w:val="0"/>
          <w:szCs w:val="21"/>
          <w:highlight w:val="none"/>
        </w:rPr>
        <w:t>；</w:t>
      </w:r>
    </w:p>
    <w:p>
      <w:pPr>
        <w:numPr>
          <w:ilvl w:val="0"/>
          <w:numId w:val="0"/>
        </w:numPr>
        <w:tabs>
          <w:tab w:val="left" w:pos="780"/>
        </w:tabs>
        <w:adjustRightInd w:val="0"/>
        <w:snapToGrid w:val="0"/>
        <w:spacing w:line="240" w:lineRule="auto"/>
        <w:ind w:firstLine="420" w:firstLineChars="200"/>
        <w:rPr>
          <w:rFonts w:hint="eastAsia" w:ascii="宋体" w:hAnsi="宋体" w:cs="宋体"/>
          <w:color w:val="auto"/>
          <w:kern w:val="0"/>
          <w:szCs w:val="21"/>
          <w:highlight w:val="none"/>
        </w:rPr>
      </w:pPr>
      <w:r>
        <w:rPr>
          <w:rFonts w:hint="default" w:ascii="宋体" w:hAnsi="宋体" w:cs="宋体"/>
          <w:color w:val="auto"/>
          <w:kern w:val="0"/>
          <w:szCs w:val="21"/>
          <w:highlight w:val="none"/>
        </w:rPr>
        <w:t>2.</w:t>
      </w:r>
      <w:r>
        <w:rPr>
          <w:rFonts w:hint="eastAsia" w:ascii="宋体" w:hAnsi="宋体" w:cs="宋体"/>
          <w:color w:val="auto"/>
          <w:kern w:val="0"/>
          <w:szCs w:val="21"/>
          <w:highlight w:val="none"/>
        </w:rPr>
        <w:t>除非在投标文件中提出的分包项目和建议的分包人，中标人不得采用分包方式履行合同</w:t>
      </w:r>
      <w:r>
        <w:rPr>
          <w:rFonts w:hint="default" w:ascii="宋体" w:hAnsi="宋体" w:cs="宋体"/>
          <w:color w:val="auto"/>
          <w:kern w:val="0"/>
          <w:szCs w:val="21"/>
          <w:highlight w:val="none"/>
        </w:rPr>
        <w:t>；</w:t>
      </w:r>
    </w:p>
    <w:p>
      <w:pPr>
        <w:numPr>
          <w:ilvl w:val="0"/>
          <w:numId w:val="0"/>
        </w:numPr>
        <w:tabs>
          <w:tab w:val="left" w:pos="780"/>
        </w:tabs>
        <w:adjustRightInd w:val="0"/>
        <w:snapToGrid w:val="0"/>
        <w:spacing w:line="240" w:lineRule="auto"/>
        <w:ind w:firstLine="420" w:firstLineChars="200"/>
        <w:rPr>
          <w:rFonts w:hint="eastAsia" w:ascii="宋体" w:hAnsi="宋体" w:cs="宋体"/>
          <w:color w:val="auto"/>
          <w:kern w:val="0"/>
          <w:szCs w:val="21"/>
          <w:highlight w:val="none"/>
        </w:rPr>
      </w:pPr>
      <w:r>
        <w:rPr>
          <w:rFonts w:hint="default" w:ascii="宋体" w:hAnsi="宋体" w:cs="宋体"/>
          <w:color w:val="auto"/>
          <w:kern w:val="0"/>
          <w:szCs w:val="21"/>
          <w:highlight w:val="none"/>
        </w:rPr>
        <w:t>3.</w:t>
      </w:r>
      <w:r>
        <w:rPr>
          <w:rFonts w:hint="eastAsia" w:ascii="宋体" w:hAnsi="宋体" w:cs="宋体"/>
          <w:color w:val="auto"/>
          <w:kern w:val="0"/>
          <w:szCs w:val="21"/>
          <w:highlight w:val="none"/>
        </w:rPr>
        <w:t>在合同实施过程中，除非中标人违约，采购人不得指定分包人。</w:t>
      </w:r>
    </w:p>
    <w:p>
      <w:pPr>
        <w:numPr>
          <w:ilvl w:val="0"/>
          <w:numId w:val="0"/>
        </w:numPr>
        <w:tabs>
          <w:tab w:val="left" w:pos="540"/>
        </w:tabs>
        <w:adjustRightInd w:val="0"/>
        <w:snapToGrid w:val="0"/>
        <w:spacing w:line="240" w:lineRule="auto"/>
        <w:ind w:leftChars="0"/>
        <w:rPr>
          <w:rFonts w:hint="eastAsia" w:ascii="宋体" w:hAnsi="宋体" w:cs="宋体"/>
          <w:b/>
          <w:bCs/>
          <w:color w:val="auto"/>
          <w:szCs w:val="21"/>
          <w:highlight w:val="none"/>
        </w:rPr>
      </w:pPr>
      <w:r>
        <w:rPr>
          <w:rFonts w:hint="default" w:ascii="宋体" w:hAnsi="宋体" w:cs="宋体"/>
          <w:b/>
          <w:bCs/>
          <w:color w:val="auto"/>
          <w:szCs w:val="21"/>
          <w:highlight w:val="none"/>
        </w:rPr>
        <w:t>九、</w:t>
      </w:r>
      <w:r>
        <w:rPr>
          <w:rFonts w:hint="eastAsia" w:ascii="宋体" w:hAnsi="宋体" w:cs="宋体"/>
          <w:b/>
          <w:bCs/>
          <w:color w:val="auto"/>
          <w:szCs w:val="21"/>
          <w:highlight w:val="none"/>
        </w:rPr>
        <w:t>解决争议的方法</w:t>
      </w:r>
      <w:r>
        <w:rPr>
          <w:rFonts w:hint="eastAsia" w:ascii="宋体" w:hAnsi="宋体" w:cs="宋体"/>
          <w:b/>
          <w:bCs/>
          <w:color w:val="auto"/>
          <w:szCs w:val="21"/>
          <w:highlight w:val="none"/>
        </w:rPr>
        <w:tab/>
      </w:r>
    </w:p>
    <w:p>
      <w:pPr>
        <w:numPr>
          <w:ilvl w:val="0"/>
          <w:numId w:val="0"/>
        </w:numPr>
        <w:tabs>
          <w:tab w:val="left" w:pos="780"/>
        </w:tabs>
        <w:adjustRightInd w:val="0"/>
        <w:snapToGrid w:val="0"/>
        <w:spacing w:line="240" w:lineRule="auto"/>
        <w:ind w:firstLine="420" w:firstLineChars="200"/>
        <w:rPr>
          <w:rFonts w:hint="default" w:ascii="宋体" w:hAnsi="宋体" w:cs="宋体"/>
          <w:color w:val="auto"/>
          <w:kern w:val="0"/>
          <w:szCs w:val="21"/>
          <w:highlight w:val="none"/>
        </w:rPr>
      </w:pPr>
      <w:r>
        <w:rPr>
          <w:rFonts w:hint="default" w:ascii="宋体" w:hAnsi="宋体" w:cs="宋体"/>
          <w:color w:val="auto"/>
          <w:kern w:val="0"/>
          <w:szCs w:val="21"/>
          <w:highlight w:val="none"/>
        </w:rPr>
        <w:t>1.</w:t>
      </w:r>
      <w:r>
        <w:rPr>
          <w:rFonts w:hint="eastAsia" w:ascii="宋体" w:hAnsi="宋体" w:cs="宋体"/>
          <w:color w:val="auto"/>
          <w:kern w:val="0"/>
          <w:szCs w:val="21"/>
          <w:highlight w:val="none"/>
        </w:rPr>
        <w:t>合同各方应通过友好协商，解决在执行合同过程中所发生的或与合同有关的一切争端</w:t>
      </w:r>
      <w:r>
        <w:rPr>
          <w:rFonts w:hint="default" w:ascii="宋体" w:hAnsi="宋体" w:cs="宋体"/>
          <w:color w:val="auto"/>
          <w:kern w:val="0"/>
          <w:szCs w:val="21"/>
          <w:highlight w:val="none"/>
        </w:rPr>
        <w:t>；</w:t>
      </w:r>
    </w:p>
    <w:p>
      <w:pPr>
        <w:numPr>
          <w:ilvl w:val="0"/>
          <w:numId w:val="0"/>
        </w:numPr>
        <w:tabs>
          <w:tab w:val="left" w:pos="780"/>
        </w:tabs>
        <w:adjustRightInd w:val="0"/>
        <w:snapToGrid w:val="0"/>
        <w:spacing w:line="240" w:lineRule="auto"/>
        <w:ind w:firstLine="420" w:firstLineChars="200"/>
        <w:rPr>
          <w:rFonts w:hint="default" w:ascii="宋体" w:hAnsi="宋体" w:cs="宋体"/>
          <w:color w:val="auto"/>
          <w:kern w:val="0"/>
          <w:szCs w:val="21"/>
          <w:highlight w:val="none"/>
        </w:rPr>
      </w:pPr>
      <w:r>
        <w:rPr>
          <w:rFonts w:hint="default" w:ascii="宋体" w:hAnsi="宋体" w:cs="宋体"/>
          <w:color w:val="auto"/>
          <w:kern w:val="0"/>
          <w:szCs w:val="21"/>
          <w:highlight w:val="none"/>
        </w:rPr>
        <w:t>2.</w:t>
      </w:r>
      <w:r>
        <w:rPr>
          <w:rFonts w:hint="eastAsia" w:ascii="宋体" w:hAnsi="宋体" w:cs="宋体"/>
          <w:color w:val="auto"/>
          <w:kern w:val="0"/>
          <w:szCs w:val="21"/>
          <w:highlight w:val="none"/>
        </w:rPr>
        <w:t>如从协商开始28天内仍不能解决，任一方可向采购人所在地的人民法院提起诉讼</w:t>
      </w:r>
      <w:r>
        <w:rPr>
          <w:rFonts w:hint="default" w:ascii="宋体" w:hAnsi="宋体" w:cs="宋体"/>
          <w:color w:val="auto"/>
          <w:kern w:val="0"/>
          <w:szCs w:val="21"/>
          <w:highlight w:val="none"/>
        </w:rPr>
        <w:t>；</w:t>
      </w:r>
    </w:p>
    <w:p>
      <w:pPr>
        <w:numPr>
          <w:ilvl w:val="0"/>
          <w:numId w:val="0"/>
        </w:numPr>
        <w:tabs>
          <w:tab w:val="left" w:pos="780"/>
        </w:tabs>
        <w:adjustRightInd w:val="0"/>
        <w:snapToGrid w:val="0"/>
        <w:spacing w:line="240" w:lineRule="auto"/>
        <w:ind w:firstLine="420" w:firstLineChars="200"/>
        <w:rPr>
          <w:rFonts w:hint="eastAsia" w:ascii="宋体" w:hAnsi="宋体" w:cs="宋体"/>
          <w:color w:val="auto"/>
          <w:kern w:val="0"/>
          <w:szCs w:val="21"/>
          <w:highlight w:val="none"/>
        </w:rPr>
      </w:pPr>
      <w:r>
        <w:rPr>
          <w:rFonts w:hint="default" w:ascii="宋体" w:hAnsi="宋体" w:cs="宋体"/>
          <w:color w:val="auto"/>
          <w:kern w:val="0"/>
          <w:szCs w:val="21"/>
          <w:highlight w:val="none"/>
        </w:rPr>
        <w:t>3.</w:t>
      </w:r>
      <w:r>
        <w:rPr>
          <w:rFonts w:hint="eastAsia" w:ascii="宋体" w:hAnsi="宋体" w:cs="宋体"/>
          <w:color w:val="auto"/>
          <w:kern w:val="0"/>
          <w:szCs w:val="21"/>
          <w:highlight w:val="none"/>
        </w:rPr>
        <w:t>在诉讼期间，除正在进行诉讼的部分外，合同的其他部分应继续执行。</w:t>
      </w:r>
    </w:p>
    <w:p>
      <w:pPr>
        <w:numPr>
          <w:ilvl w:val="0"/>
          <w:numId w:val="0"/>
        </w:numPr>
        <w:tabs>
          <w:tab w:val="left" w:pos="540"/>
        </w:tabs>
        <w:adjustRightInd w:val="0"/>
        <w:snapToGrid w:val="0"/>
        <w:spacing w:line="240" w:lineRule="auto"/>
        <w:ind w:leftChars="0"/>
        <w:rPr>
          <w:rFonts w:hint="eastAsia" w:ascii="宋体" w:hAnsi="宋体" w:cs="宋体"/>
          <w:b/>
          <w:bCs/>
          <w:color w:val="auto"/>
          <w:szCs w:val="21"/>
          <w:highlight w:val="none"/>
        </w:rPr>
      </w:pPr>
      <w:r>
        <w:rPr>
          <w:rFonts w:hint="default" w:ascii="宋体" w:hAnsi="宋体" w:cs="宋体"/>
          <w:b/>
          <w:bCs/>
          <w:color w:val="auto"/>
          <w:szCs w:val="21"/>
          <w:highlight w:val="none"/>
        </w:rPr>
        <w:t>十、</w:t>
      </w:r>
      <w:r>
        <w:rPr>
          <w:rFonts w:hint="eastAsia" w:ascii="宋体" w:hAnsi="宋体" w:cs="宋体"/>
          <w:b/>
          <w:bCs/>
          <w:color w:val="auto"/>
          <w:szCs w:val="21"/>
          <w:highlight w:val="none"/>
        </w:rPr>
        <w:t>合同语言</w:t>
      </w:r>
      <w:r>
        <w:rPr>
          <w:rFonts w:hint="eastAsia" w:ascii="宋体" w:hAnsi="宋体" w:cs="宋体"/>
          <w:b/>
          <w:bCs/>
          <w:color w:val="auto"/>
          <w:szCs w:val="21"/>
          <w:highlight w:val="none"/>
        </w:rPr>
        <w:tab/>
      </w:r>
    </w:p>
    <w:p>
      <w:pPr>
        <w:numPr>
          <w:ilvl w:val="0"/>
          <w:numId w:val="0"/>
        </w:numPr>
        <w:tabs>
          <w:tab w:val="left" w:pos="780"/>
        </w:tabs>
        <w:adjustRightInd w:val="0"/>
        <w:snapToGrid w:val="0"/>
        <w:spacing w:line="24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合同以及双方来住的与合同有关的信件、传真和其它文件应用中文书写。</w:t>
      </w:r>
    </w:p>
    <w:p>
      <w:pPr>
        <w:numPr>
          <w:ilvl w:val="0"/>
          <w:numId w:val="0"/>
        </w:numPr>
        <w:tabs>
          <w:tab w:val="left" w:pos="540"/>
        </w:tabs>
        <w:adjustRightInd w:val="0"/>
        <w:snapToGrid w:val="0"/>
        <w:spacing w:line="240" w:lineRule="auto"/>
        <w:ind w:leftChars="0"/>
        <w:rPr>
          <w:rFonts w:hint="eastAsia" w:ascii="宋体" w:hAnsi="宋体" w:cs="宋体"/>
          <w:b/>
          <w:bCs/>
          <w:color w:val="auto"/>
          <w:szCs w:val="21"/>
          <w:highlight w:val="none"/>
        </w:rPr>
      </w:pPr>
      <w:r>
        <w:rPr>
          <w:rFonts w:hint="default" w:ascii="宋体" w:hAnsi="宋体" w:cs="宋体"/>
          <w:b/>
          <w:bCs/>
          <w:color w:val="auto"/>
          <w:szCs w:val="21"/>
          <w:highlight w:val="none"/>
        </w:rPr>
        <w:t>十一、</w:t>
      </w:r>
      <w:r>
        <w:rPr>
          <w:rFonts w:hint="eastAsia" w:ascii="宋体" w:hAnsi="宋体" w:cs="宋体"/>
          <w:b/>
          <w:bCs/>
          <w:color w:val="auto"/>
          <w:szCs w:val="21"/>
          <w:highlight w:val="none"/>
        </w:rPr>
        <w:t>法律适用</w:t>
      </w:r>
      <w:r>
        <w:rPr>
          <w:rFonts w:hint="eastAsia" w:ascii="宋体" w:hAnsi="宋体" w:cs="宋体"/>
          <w:b/>
          <w:bCs/>
          <w:color w:val="auto"/>
          <w:szCs w:val="21"/>
          <w:highlight w:val="none"/>
        </w:rPr>
        <w:tab/>
      </w:r>
    </w:p>
    <w:p>
      <w:pPr>
        <w:numPr>
          <w:ilvl w:val="0"/>
          <w:numId w:val="0"/>
        </w:numPr>
        <w:tabs>
          <w:tab w:val="left" w:pos="780"/>
        </w:tabs>
        <w:adjustRightInd w:val="0"/>
        <w:snapToGrid w:val="0"/>
        <w:spacing w:line="24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合同适用中华人民共和国现行法律、行政法规和规章，如合同条款与法律、行政法规和规章不一致的，按照法律、行政法规和规章修改合同。</w:t>
      </w:r>
    </w:p>
    <w:p>
      <w:pPr>
        <w:numPr>
          <w:ilvl w:val="0"/>
          <w:numId w:val="0"/>
        </w:numPr>
        <w:tabs>
          <w:tab w:val="left" w:pos="540"/>
        </w:tabs>
        <w:adjustRightInd w:val="0"/>
        <w:snapToGrid w:val="0"/>
        <w:spacing w:line="240" w:lineRule="auto"/>
        <w:ind w:leftChars="0"/>
        <w:rPr>
          <w:rFonts w:hint="eastAsia" w:ascii="宋体" w:hAnsi="宋体" w:cs="宋体"/>
          <w:b/>
          <w:bCs/>
          <w:color w:val="auto"/>
          <w:szCs w:val="21"/>
          <w:highlight w:val="none"/>
        </w:rPr>
      </w:pPr>
      <w:r>
        <w:rPr>
          <w:rFonts w:hint="default" w:ascii="宋体" w:hAnsi="宋体" w:cs="宋体"/>
          <w:b/>
          <w:bCs/>
          <w:color w:val="auto"/>
          <w:szCs w:val="21"/>
          <w:highlight w:val="none"/>
        </w:rPr>
        <w:t>十二、</w:t>
      </w:r>
      <w:r>
        <w:rPr>
          <w:rFonts w:hint="eastAsia" w:ascii="宋体" w:hAnsi="宋体" w:cs="宋体"/>
          <w:b/>
          <w:bCs/>
          <w:color w:val="auto"/>
          <w:szCs w:val="21"/>
          <w:highlight w:val="none"/>
        </w:rPr>
        <w:t>通知</w:t>
      </w:r>
      <w:r>
        <w:rPr>
          <w:rFonts w:hint="eastAsia" w:ascii="宋体" w:hAnsi="宋体" w:cs="宋体"/>
          <w:b/>
          <w:bCs/>
          <w:color w:val="auto"/>
          <w:szCs w:val="21"/>
          <w:highlight w:val="none"/>
        </w:rPr>
        <w:tab/>
      </w:r>
    </w:p>
    <w:p>
      <w:pPr>
        <w:numPr>
          <w:ilvl w:val="0"/>
          <w:numId w:val="0"/>
        </w:numPr>
        <w:tabs>
          <w:tab w:val="left" w:pos="780"/>
        </w:tabs>
        <w:adjustRightInd w:val="0"/>
        <w:snapToGrid w:val="0"/>
        <w:spacing w:line="240" w:lineRule="auto"/>
        <w:ind w:firstLine="420" w:firstLineChars="200"/>
        <w:rPr>
          <w:rFonts w:hint="eastAsia" w:ascii="宋体" w:hAnsi="宋体" w:cs="宋体"/>
          <w:color w:val="auto"/>
          <w:kern w:val="0"/>
          <w:szCs w:val="21"/>
          <w:highlight w:val="none"/>
        </w:rPr>
      </w:pPr>
      <w:r>
        <w:rPr>
          <w:rFonts w:hint="default" w:ascii="宋体" w:hAnsi="宋体" w:cs="宋体"/>
          <w:color w:val="auto"/>
          <w:kern w:val="0"/>
          <w:szCs w:val="21"/>
          <w:highlight w:val="none"/>
        </w:rPr>
        <w:t>1.</w:t>
      </w:r>
      <w:r>
        <w:rPr>
          <w:rFonts w:hint="eastAsia" w:ascii="宋体" w:hAnsi="宋体" w:cs="宋体"/>
          <w:color w:val="auto"/>
          <w:kern w:val="0"/>
          <w:szCs w:val="21"/>
          <w:highlight w:val="none"/>
        </w:rPr>
        <w:t>合同一方给另一方的通知均应采用书面形式，传真或快递送到对方的地址和办理签收手续。</w:t>
      </w:r>
    </w:p>
    <w:p>
      <w:pPr>
        <w:numPr>
          <w:ilvl w:val="0"/>
          <w:numId w:val="0"/>
        </w:numPr>
        <w:tabs>
          <w:tab w:val="left" w:pos="780"/>
        </w:tabs>
        <w:adjustRightInd w:val="0"/>
        <w:snapToGrid w:val="0"/>
        <w:spacing w:line="240" w:lineRule="auto"/>
        <w:ind w:firstLine="420" w:firstLineChars="200"/>
        <w:rPr>
          <w:rFonts w:hint="eastAsia" w:ascii="宋体" w:hAnsi="宋体" w:cs="宋体"/>
          <w:color w:val="auto"/>
          <w:kern w:val="0"/>
          <w:szCs w:val="21"/>
          <w:highlight w:val="none"/>
        </w:rPr>
      </w:pPr>
      <w:r>
        <w:rPr>
          <w:rFonts w:hint="default" w:ascii="宋体" w:hAnsi="宋体" w:cs="宋体"/>
          <w:color w:val="auto"/>
          <w:kern w:val="0"/>
          <w:szCs w:val="21"/>
          <w:highlight w:val="none"/>
        </w:rPr>
        <w:t>2.</w:t>
      </w:r>
      <w:r>
        <w:rPr>
          <w:rFonts w:hint="eastAsia" w:ascii="宋体" w:hAnsi="宋体" w:cs="宋体"/>
          <w:color w:val="auto"/>
          <w:kern w:val="0"/>
          <w:szCs w:val="21"/>
          <w:highlight w:val="none"/>
        </w:rPr>
        <w:t>通知以送到之日或通知书中规定的生效之日起生效，两者中以较迟之日为准。</w:t>
      </w:r>
    </w:p>
    <w:p>
      <w:pPr>
        <w:numPr>
          <w:ilvl w:val="0"/>
          <w:numId w:val="0"/>
        </w:numPr>
        <w:tabs>
          <w:tab w:val="left" w:pos="780"/>
        </w:tabs>
        <w:adjustRightInd w:val="0"/>
        <w:snapToGrid w:val="0"/>
        <w:spacing w:line="240" w:lineRule="auto"/>
        <w:rPr>
          <w:rFonts w:hint="eastAsia" w:ascii="宋体" w:hAnsi="宋体" w:cs="宋体"/>
          <w:b/>
          <w:bCs/>
          <w:color w:val="auto"/>
          <w:szCs w:val="21"/>
          <w:highlight w:val="none"/>
        </w:rPr>
      </w:pPr>
      <w:r>
        <w:rPr>
          <w:rFonts w:hint="default" w:ascii="宋体" w:hAnsi="宋体" w:cs="宋体"/>
          <w:color w:val="auto"/>
          <w:kern w:val="0"/>
          <w:szCs w:val="21"/>
          <w:highlight w:val="none"/>
        </w:rPr>
        <w:t>十三、</w:t>
      </w:r>
      <w:r>
        <w:rPr>
          <w:rFonts w:hint="eastAsia" w:ascii="宋体" w:hAnsi="宋体" w:cs="宋体"/>
          <w:b/>
          <w:bCs/>
          <w:color w:val="auto"/>
          <w:szCs w:val="21"/>
          <w:highlight w:val="none"/>
        </w:rPr>
        <w:t>★知识产权合规承诺</w:t>
      </w:r>
      <w:r>
        <w:rPr>
          <w:rFonts w:hint="eastAsia" w:ascii="宋体" w:hAnsi="宋体" w:cs="宋体"/>
          <w:b/>
          <w:bCs/>
          <w:color w:val="auto"/>
          <w:szCs w:val="21"/>
          <w:highlight w:val="none"/>
        </w:rPr>
        <w:tab/>
      </w:r>
    </w:p>
    <w:p>
      <w:pPr>
        <w:numPr>
          <w:ilvl w:val="0"/>
          <w:numId w:val="0"/>
        </w:numPr>
        <w:tabs>
          <w:tab w:val="left" w:pos="780"/>
        </w:tabs>
        <w:adjustRightInd w:val="0"/>
        <w:snapToGrid w:val="0"/>
        <w:spacing w:line="240" w:lineRule="auto"/>
        <w:ind w:firstLine="420" w:firstLineChars="200"/>
        <w:rPr>
          <w:rFonts w:hint="eastAsia" w:ascii="宋体" w:hAnsi="宋体" w:cs="宋体"/>
          <w:color w:val="auto"/>
          <w:kern w:val="0"/>
          <w:szCs w:val="21"/>
          <w:highlight w:val="none"/>
        </w:rPr>
      </w:pPr>
      <w:r>
        <w:rPr>
          <w:rFonts w:hint="default" w:ascii="宋体" w:hAnsi="宋体" w:cs="宋体"/>
          <w:color w:val="auto"/>
          <w:kern w:val="0"/>
          <w:szCs w:val="21"/>
          <w:highlight w:val="none"/>
        </w:rPr>
        <w:t>1.</w:t>
      </w:r>
      <w:r>
        <w:rPr>
          <w:rFonts w:hint="eastAsia" w:ascii="宋体" w:hAnsi="宋体" w:cs="宋体"/>
          <w:color w:val="auto"/>
          <w:kern w:val="0"/>
          <w:szCs w:val="21"/>
          <w:highlight w:val="none"/>
        </w:rPr>
        <w:t>中标人在履行合同的过程中不得侵犯他人知识产权，不得提供虚假知识产权申请材料或者违背知识产权合规性承诺，否则依法追究其违约等责任，并将其失信违法信息依法纳入公共信用信息系统。</w:t>
      </w:r>
    </w:p>
    <w:p>
      <w:pPr>
        <w:numPr>
          <w:ilvl w:val="0"/>
          <w:numId w:val="0"/>
        </w:numPr>
        <w:tabs>
          <w:tab w:val="left" w:pos="780"/>
        </w:tabs>
        <w:adjustRightInd w:val="0"/>
        <w:snapToGrid w:val="0"/>
        <w:spacing w:line="240" w:lineRule="auto"/>
        <w:ind w:firstLine="420" w:firstLineChars="200"/>
        <w:rPr>
          <w:rFonts w:hint="eastAsia" w:ascii="宋体" w:hAnsi="宋体" w:cs="宋体"/>
          <w:color w:val="auto"/>
          <w:kern w:val="0"/>
          <w:szCs w:val="21"/>
          <w:highlight w:val="none"/>
        </w:rPr>
      </w:pPr>
      <w:r>
        <w:rPr>
          <w:rFonts w:hint="default" w:ascii="宋体" w:hAnsi="宋体" w:cs="宋体"/>
          <w:color w:val="auto"/>
          <w:kern w:val="0"/>
          <w:szCs w:val="21"/>
          <w:highlight w:val="none"/>
        </w:rPr>
        <w:t>2.</w:t>
      </w:r>
      <w:r>
        <w:rPr>
          <w:rFonts w:hint="eastAsia" w:ascii="宋体" w:hAnsi="宋体" w:cs="宋体"/>
          <w:color w:val="auto"/>
          <w:kern w:val="0"/>
          <w:szCs w:val="21"/>
          <w:highlight w:val="none"/>
        </w:rPr>
        <w:t>中标人应保证采购人在使用该项目服务、项目成果或其任何一部分时免受第三方提出侵犯其专利、商标、版权等知识产权或商品名称及其他权利的起诉及索赔。若采购人因此被第三方起诉或以其它方式追究责任，中标人应赔偿因采购人被第三方索赔所引起的一切损失，包括但不限于采购人所支付的侵权损害赔偿费、律师费、诉讼费、仲裁费、办案差旅费等因应诉、沟通协调所发的一切费用。</w:t>
      </w:r>
    </w:p>
    <w:p>
      <w:pPr>
        <w:pStyle w:val="5"/>
        <w:numPr>
          <w:ilvl w:val="0"/>
          <w:numId w:val="0"/>
        </w:numPr>
        <w:tabs>
          <w:tab w:val="left" w:pos="780"/>
        </w:tabs>
        <w:adjustRightInd w:val="0"/>
        <w:snapToGrid w:val="0"/>
        <w:spacing w:line="240" w:lineRule="auto"/>
        <w:ind w:firstLine="420" w:firstLineChars="200"/>
        <w:rPr>
          <w:rFonts w:hint="eastAsia" w:hAnsi="宋体" w:cs="宋体"/>
          <w:color w:val="auto"/>
          <w:kern w:val="0"/>
          <w:szCs w:val="21"/>
          <w:highlight w:val="none"/>
        </w:rPr>
      </w:pPr>
      <w:r>
        <w:rPr>
          <w:rFonts w:hint="default" w:hAnsi="宋体" w:cs="宋体"/>
          <w:bCs/>
          <w:color w:val="auto"/>
          <w:kern w:val="0"/>
          <w:szCs w:val="21"/>
          <w:highlight w:val="none"/>
        </w:rPr>
        <w:t>3.</w:t>
      </w:r>
      <w:r>
        <w:rPr>
          <w:rFonts w:hint="eastAsia" w:hAnsi="宋体" w:cs="宋体"/>
          <w:bCs/>
          <w:color w:val="auto"/>
          <w:kern w:val="0"/>
          <w:szCs w:val="21"/>
          <w:highlight w:val="none"/>
        </w:rPr>
        <w:t>中标人实施本项目所形成成果的知识产权归采购人所有，未经采购人许可，中标人不得随意使用。</w:t>
      </w:r>
    </w:p>
    <w:p>
      <w:pPr>
        <w:numPr>
          <w:ilvl w:val="0"/>
          <w:numId w:val="0"/>
        </w:numPr>
        <w:tabs>
          <w:tab w:val="left" w:pos="540"/>
        </w:tabs>
        <w:adjustRightInd w:val="0"/>
        <w:snapToGrid w:val="0"/>
        <w:spacing w:line="240" w:lineRule="auto"/>
        <w:ind w:leftChars="0"/>
        <w:rPr>
          <w:rFonts w:hint="eastAsia" w:ascii="宋体" w:hAnsi="宋体" w:cs="宋体"/>
          <w:b/>
          <w:bCs/>
          <w:color w:val="auto"/>
          <w:szCs w:val="21"/>
          <w:highlight w:val="none"/>
        </w:rPr>
      </w:pPr>
      <w:r>
        <w:rPr>
          <w:rFonts w:hint="default" w:ascii="宋体" w:hAnsi="宋体" w:cs="宋体"/>
          <w:b/>
          <w:bCs/>
          <w:color w:val="auto"/>
          <w:szCs w:val="21"/>
          <w:highlight w:val="none"/>
        </w:rPr>
        <w:t>十四、</w:t>
      </w:r>
      <w:r>
        <w:rPr>
          <w:rFonts w:hint="eastAsia" w:ascii="宋体" w:hAnsi="宋体" w:cs="宋体"/>
          <w:b/>
          <w:bCs/>
          <w:color w:val="auto"/>
          <w:szCs w:val="21"/>
          <w:highlight w:val="none"/>
        </w:rPr>
        <w:t>廉政承诺条款</w:t>
      </w:r>
    </w:p>
    <w:p>
      <w:pPr>
        <w:numPr>
          <w:ilvl w:val="0"/>
          <w:numId w:val="0"/>
        </w:numPr>
        <w:tabs>
          <w:tab w:val="left" w:pos="780"/>
        </w:tabs>
        <w:adjustRightInd w:val="0"/>
        <w:snapToGrid w:val="0"/>
        <w:spacing w:line="240" w:lineRule="auto"/>
        <w:ind w:firstLine="420" w:firstLineChars="200"/>
        <w:rPr>
          <w:rFonts w:hint="eastAsia" w:ascii="宋体" w:hAnsi="宋体" w:eastAsia="宋体" w:cs="宋体"/>
          <w:color w:val="auto"/>
          <w:kern w:val="0"/>
          <w:szCs w:val="21"/>
          <w:highlight w:val="none"/>
        </w:rPr>
      </w:pPr>
      <w:r>
        <w:rPr>
          <w:rFonts w:hint="default" w:ascii="宋体" w:hAnsi="宋体" w:eastAsia="宋体" w:cs="宋体"/>
          <w:color w:val="auto"/>
          <w:kern w:val="0"/>
          <w:szCs w:val="21"/>
          <w:highlight w:val="none"/>
        </w:rPr>
        <w:t>1.</w:t>
      </w:r>
      <w:r>
        <w:rPr>
          <w:rFonts w:hint="eastAsia" w:ascii="宋体" w:hAnsi="宋体" w:eastAsia="宋体" w:cs="宋体"/>
          <w:color w:val="auto"/>
          <w:kern w:val="0"/>
          <w:szCs w:val="21"/>
          <w:highlight w:val="none"/>
        </w:rPr>
        <w:t>中标人应加强对参加项目的有关人员进行法律、法规、规章、政策等的教育工作，切实要求参加项目的有关人员不得利用工作便利从事违法、违规活动，做到依法履职、廉洁自律；</w:t>
      </w:r>
    </w:p>
    <w:p>
      <w:pPr>
        <w:numPr>
          <w:ilvl w:val="0"/>
          <w:numId w:val="0"/>
        </w:numPr>
        <w:tabs>
          <w:tab w:val="left" w:pos="780"/>
        </w:tabs>
        <w:adjustRightInd w:val="0"/>
        <w:snapToGrid w:val="0"/>
        <w:spacing w:line="240" w:lineRule="auto"/>
        <w:ind w:firstLine="420" w:firstLineChars="200"/>
        <w:rPr>
          <w:rFonts w:hint="eastAsia" w:ascii="宋体" w:hAnsi="宋体" w:eastAsia="宋体" w:cs="宋体"/>
          <w:color w:val="auto"/>
          <w:kern w:val="0"/>
          <w:szCs w:val="21"/>
          <w:highlight w:val="none"/>
        </w:rPr>
      </w:pPr>
      <w:r>
        <w:rPr>
          <w:rFonts w:hint="default" w:ascii="宋体" w:hAnsi="宋体" w:eastAsia="宋体" w:cs="宋体"/>
          <w:color w:val="auto"/>
          <w:kern w:val="0"/>
          <w:szCs w:val="21"/>
          <w:highlight w:val="none"/>
        </w:rPr>
        <w:t>2.</w:t>
      </w:r>
      <w:r>
        <w:rPr>
          <w:rFonts w:hint="eastAsia" w:ascii="宋体" w:hAnsi="宋体" w:eastAsia="宋体" w:cs="宋体"/>
          <w:color w:val="auto"/>
          <w:kern w:val="0"/>
          <w:szCs w:val="21"/>
          <w:highlight w:val="none"/>
        </w:rPr>
        <w:t>中标人参与项目相关人员严格遵守工作纪律，不利用工作便利和掌握的内部秘密为本人或者他人从事牟利活动提供方便，不发生损害采购人利益的行为；</w:t>
      </w:r>
    </w:p>
    <w:p>
      <w:pPr>
        <w:numPr>
          <w:ilvl w:val="0"/>
          <w:numId w:val="0"/>
        </w:numPr>
        <w:tabs>
          <w:tab w:val="left" w:pos="780"/>
        </w:tabs>
        <w:adjustRightInd w:val="0"/>
        <w:snapToGrid w:val="0"/>
        <w:spacing w:line="240" w:lineRule="auto"/>
        <w:ind w:firstLine="420" w:firstLineChars="200"/>
        <w:rPr>
          <w:rFonts w:hint="eastAsia" w:ascii="宋体" w:hAnsi="宋体" w:eastAsia="宋体" w:cs="宋体"/>
          <w:color w:val="auto"/>
          <w:kern w:val="0"/>
          <w:szCs w:val="21"/>
          <w:highlight w:val="none"/>
        </w:rPr>
      </w:pPr>
      <w:r>
        <w:rPr>
          <w:rFonts w:hint="default" w:ascii="宋体" w:hAnsi="宋体" w:eastAsia="宋体" w:cs="宋体"/>
          <w:color w:val="auto"/>
          <w:kern w:val="0"/>
          <w:szCs w:val="21"/>
          <w:highlight w:val="none"/>
        </w:rPr>
        <w:t>3.</w:t>
      </w:r>
      <w:r>
        <w:rPr>
          <w:rFonts w:hint="eastAsia" w:ascii="宋体" w:hAnsi="宋体" w:eastAsia="宋体" w:cs="宋体"/>
          <w:color w:val="auto"/>
          <w:kern w:val="0"/>
          <w:szCs w:val="21"/>
          <w:highlight w:val="none"/>
        </w:rPr>
        <w:t>中标人应了解采购人单位有关廉政建设的各项制度和规定，支持采购人执行有关规定和制度，通过正常途径开展业务工作，不得为获取某些不正当利益而向采购人工作人员赠送礼金、有价证券或贵重物品等。</w:t>
      </w:r>
    </w:p>
    <w:p>
      <w:pPr>
        <w:numPr>
          <w:ilvl w:val="0"/>
          <w:numId w:val="0"/>
        </w:numPr>
        <w:tabs>
          <w:tab w:val="left" w:pos="540"/>
        </w:tabs>
        <w:adjustRightInd w:val="0"/>
        <w:snapToGrid w:val="0"/>
        <w:spacing w:line="240" w:lineRule="auto"/>
        <w:ind w:leftChars="0"/>
        <w:rPr>
          <w:rFonts w:hint="eastAsia" w:ascii="宋体" w:hAnsi="宋体" w:cs="宋体"/>
          <w:b/>
          <w:bCs/>
          <w:color w:val="auto"/>
          <w:szCs w:val="21"/>
          <w:highlight w:val="none"/>
        </w:rPr>
      </w:pPr>
      <w:r>
        <w:rPr>
          <w:rFonts w:hint="default" w:ascii="宋体" w:hAnsi="宋体" w:cs="宋体"/>
          <w:b/>
          <w:bCs/>
          <w:color w:val="auto"/>
          <w:szCs w:val="21"/>
          <w:highlight w:val="none"/>
        </w:rPr>
        <w:t>十五、</w:t>
      </w:r>
      <w:r>
        <w:rPr>
          <w:rFonts w:hint="eastAsia" w:ascii="宋体" w:hAnsi="宋体" w:cs="宋体"/>
          <w:b/>
          <w:bCs/>
          <w:color w:val="auto"/>
          <w:szCs w:val="21"/>
          <w:highlight w:val="none"/>
        </w:rPr>
        <w:t>合同解除和终止</w:t>
      </w:r>
      <w:r>
        <w:rPr>
          <w:rFonts w:hint="eastAsia" w:ascii="宋体" w:hAnsi="宋体" w:cs="宋体"/>
          <w:b/>
          <w:bCs/>
          <w:color w:val="auto"/>
          <w:szCs w:val="21"/>
          <w:highlight w:val="none"/>
        </w:rPr>
        <w:tab/>
      </w:r>
    </w:p>
    <w:p>
      <w:pPr>
        <w:tabs>
          <w:tab w:val="left" w:pos="780"/>
        </w:tabs>
        <w:adjustRightInd w:val="0"/>
        <w:snapToGrid w:val="0"/>
        <w:spacing w:line="24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如果中标人未能在协议规定的限期或采购人同意延长的限期内提供部分或全部服务，采购人可向中标人发出书面的违约通知书，提出解除或终止部份或全部协议。采购人可在任何时候出于自身的便利向中标人发出书面通知终止部分合同，采购人在合同总价中扣除该终止部分服务的价款，并不再对中标人作出额外赔偿。</w:t>
      </w:r>
    </w:p>
    <w:p>
      <w:pPr>
        <w:tabs>
          <w:tab w:val="left" w:pos="780"/>
        </w:tabs>
        <w:adjustRightInd w:val="0"/>
        <w:snapToGrid w:val="0"/>
        <w:spacing w:line="240" w:lineRule="auto"/>
        <w:rPr>
          <w:rFonts w:hint="eastAsia" w:ascii="宋体" w:hAnsi="宋体" w:eastAsia="宋体" w:cs="宋体"/>
          <w:b/>
          <w:bCs/>
          <w:color w:val="auto"/>
          <w:szCs w:val="21"/>
          <w:highlight w:val="none"/>
        </w:rPr>
      </w:pPr>
      <w:r>
        <w:rPr>
          <w:rFonts w:hint="default" w:ascii="宋体" w:hAnsi="宋体" w:eastAsia="宋体" w:cs="宋体"/>
          <w:b/>
          <w:bCs/>
          <w:color w:val="auto"/>
          <w:szCs w:val="21"/>
          <w:highlight w:val="none"/>
        </w:rPr>
        <w:t>十六、</w:t>
      </w:r>
      <w:r>
        <w:rPr>
          <w:rFonts w:hint="eastAsia" w:ascii="宋体" w:hAnsi="宋体" w:eastAsia="宋体" w:cs="宋体"/>
          <w:b/>
          <w:bCs/>
          <w:color w:val="auto"/>
          <w:szCs w:val="21"/>
          <w:highlight w:val="none"/>
        </w:rPr>
        <w:t>税费</w:t>
      </w:r>
      <w:r>
        <w:rPr>
          <w:rFonts w:hint="eastAsia" w:ascii="宋体" w:hAnsi="宋体" w:eastAsia="宋体" w:cs="宋体"/>
          <w:b/>
          <w:bCs/>
          <w:color w:val="auto"/>
          <w:szCs w:val="21"/>
          <w:highlight w:val="none"/>
        </w:rPr>
        <w:tab/>
      </w:r>
    </w:p>
    <w:p>
      <w:pPr>
        <w:tabs>
          <w:tab w:val="left" w:pos="780"/>
        </w:tabs>
        <w:adjustRightInd w:val="0"/>
        <w:snapToGrid w:val="0"/>
        <w:spacing w:line="24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中国政府根据现行税法向中标人征收的与合同有关的一切税费均由中标人负责。</w:t>
      </w:r>
    </w:p>
    <w:p>
      <w:pPr>
        <w:numPr>
          <w:ilvl w:val="0"/>
          <w:numId w:val="0"/>
        </w:numPr>
        <w:tabs>
          <w:tab w:val="left" w:pos="540"/>
        </w:tabs>
        <w:adjustRightInd w:val="0"/>
        <w:snapToGrid w:val="0"/>
        <w:spacing w:line="240" w:lineRule="auto"/>
        <w:ind w:leftChars="0"/>
        <w:rPr>
          <w:rFonts w:hint="eastAsia" w:ascii="宋体" w:hAnsi="宋体" w:eastAsia="宋体" w:cs="宋体"/>
          <w:b/>
          <w:bCs/>
          <w:color w:val="auto"/>
          <w:szCs w:val="21"/>
          <w:highlight w:val="none"/>
          <w:lang w:eastAsia="zh-CN"/>
        </w:rPr>
      </w:pPr>
      <w:r>
        <w:rPr>
          <w:rFonts w:hint="default" w:ascii="宋体" w:hAnsi="宋体" w:eastAsia="宋体" w:cs="宋体"/>
          <w:b/>
          <w:bCs/>
          <w:color w:val="auto"/>
          <w:szCs w:val="21"/>
          <w:highlight w:val="none"/>
          <w:lang w:eastAsia="zh-CN"/>
        </w:rPr>
        <w:t>十七、</w:t>
      </w:r>
      <w:r>
        <w:rPr>
          <w:rFonts w:hint="eastAsia" w:ascii="宋体" w:hAnsi="宋体" w:eastAsia="宋体" w:cs="宋体"/>
          <w:b/>
          <w:bCs/>
          <w:color w:val="auto"/>
          <w:szCs w:val="21"/>
          <w:highlight w:val="none"/>
          <w:lang w:eastAsia="zh-CN"/>
        </w:rPr>
        <w:t>其他事项</w:t>
      </w:r>
      <w:r>
        <w:rPr>
          <w:rFonts w:hint="eastAsia" w:ascii="宋体" w:hAnsi="宋体" w:eastAsia="宋体" w:cs="宋体"/>
          <w:b/>
          <w:bCs/>
          <w:color w:val="auto"/>
          <w:szCs w:val="21"/>
          <w:highlight w:val="none"/>
        </w:rPr>
        <w:tab/>
      </w:r>
    </w:p>
    <w:p>
      <w:pPr>
        <w:tabs>
          <w:tab w:val="left" w:pos="780"/>
        </w:tabs>
        <w:adjustRightInd w:val="0"/>
        <w:snapToGrid w:val="0"/>
        <w:spacing w:line="24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1.</w:t>
      </w:r>
      <w:r>
        <w:rPr>
          <w:rFonts w:hint="eastAsia" w:ascii="宋体" w:hAnsi="宋体" w:eastAsia="宋体" w:cs="宋体"/>
          <w:color w:val="auto"/>
          <w:kern w:val="0"/>
          <w:szCs w:val="21"/>
          <w:highlight w:val="none"/>
        </w:rPr>
        <w:t>服务人员需具备服务技术要求资质与能力；</w:t>
      </w:r>
      <w:r>
        <w:rPr>
          <w:rFonts w:hint="eastAsia" w:ascii="宋体" w:hAnsi="宋体" w:eastAsia="宋体" w:cs="宋体"/>
          <w:color w:val="auto"/>
          <w:kern w:val="0"/>
          <w:szCs w:val="21"/>
          <w:highlight w:val="none"/>
          <w:lang w:eastAsia="zh-CN"/>
        </w:rPr>
        <w:t>中标人</w:t>
      </w:r>
      <w:r>
        <w:rPr>
          <w:rFonts w:hint="eastAsia" w:ascii="宋体" w:hAnsi="宋体" w:eastAsia="宋体" w:cs="宋体"/>
          <w:color w:val="auto"/>
          <w:kern w:val="0"/>
          <w:szCs w:val="21"/>
          <w:highlight w:val="none"/>
        </w:rPr>
        <w:t>应根据工作内容和进度，安排满足项目工作要求的人员、并配套相关设施（含交通工具等）等，以确保能够保质保量完成任务；</w:t>
      </w:r>
    </w:p>
    <w:p>
      <w:pPr>
        <w:tabs>
          <w:tab w:val="left" w:pos="780"/>
        </w:tabs>
        <w:adjustRightInd w:val="0"/>
        <w:snapToGrid w:val="0"/>
        <w:spacing w:line="24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2.</w:t>
      </w:r>
      <w:r>
        <w:rPr>
          <w:rFonts w:hint="eastAsia" w:ascii="宋体" w:hAnsi="宋体" w:eastAsia="宋体" w:cs="宋体"/>
          <w:color w:val="auto"/>
          <w:kern w:val="0"/>
          <w:szCs w:val="21"/>
          <w:highlight w:val="none"/>
          <w:lang w:eastAsia="zh-CN"/>
        </w:rPr>
        <w:t>中标人</w:t>
      </w:r>
      <w:r>
        <w:rPr>
          <w:rFonts w:hint="eastAsia" w:ascii="宋体" w:hAnsi="宋体" w:eastAsia="宋体" w:cs="宋体"/>
          <w:color w:val="auto"/>
          <w:kern w:val="0"/>
          <w:szCs w:val="21"/>
          <w:highlight w:val="none"/>
        </w:rPr>
        <w:t>应根据服务的内容和进度安排，定期向采购人提交相关书面材料（包括阶段性工作报告、调研分析报告、企业资料等）；</w:t>
      </w:r>
    </w:p>
    <w:p>
      <w:pPr>
        <w:spacing w:line="360" w:lineRule="auto"/>
        <w:rPr>
          <w:rFonts w:ascii="新宋体" w:hAnsi="新宋体" w:eastAsia="新宋体" w:cs="宋体"/>
          <w:color w:val="auto"/>
          <w:szCs w:val="21"/>
        </w:rPr>
      </w:pPr>
      <w:r>
        <w:rPr>
          <w:rFonts w:hint="eastAsia" w:ascii="宋体" w:hAnsi="宋体" w:eastAsia="宋体" w:cs="宋体"/>
          <w:color w:val="auto"/>
          <w:kern w:val="0"/>
          <w:szCs w:val="21"/>
          <w:highlight w:val="none"/>
          <w:lang w:val="en-US" w:eastAsia="zh-CN"/>
        </w:rPr>
        <w:t>3.中标人工作人员人身安全、财产安全及人事管理由中标人负责，合作期间工作人员发生的人身安全、财产安全等意外事故由中标人自行负责，与采购人无关。</w:t>
      </w:r>
    </w:p>
    <w:p>
      <w:pPr>
        <w:pStyle w:val="3"/>
        <w:rPr>
          <w:rFonts w:ascii="新宋体" w:hAnsi="新宋体" w:eastAsia="新宋体"/>
          <w:color w:val="auto"/>
          <w:kern w:val="44"/>
          <w:szCs w:val="28"/>
        </w:rPr>
      </w:pPr>
      <w:r>
        <w:rPr>
          <w:rFonts w:hint="eastAsia" w:ascii="新宋体" w:hAnsi="新宋体" w:eastAsia="新宋体"/>
          <w:color w:val="auto"/>
          <w:kern w:val="44"/>
          <w:szCs w:val="28"/>
        </w:rPr>
        <w:t>六、投标报价</w:t>
      </w:r>
    </w:p>
    <w:p>
      <w:pPr>
        <w:spacing w:line="360" w:lineRule="auto"/>
        <w:rPr>
          <w:rFonts w:ascii="新宋体" w:hAnsi="新宋体" w:eastAsia="新宋体" w:cs="宋体"/>
          <w:color w:val="auto"/>
          <w:szCs w:val="21"/>
        </w:rPr>
      </w:pPr>
      <w:r>
        <w:rPr>
          <w:rFonts w:hint="eastAsia" w:ascii="新宋体" w:hAnsi="新宋体" w:eastAsia="新宋体" w:cs="宋体"/>
          <w:color w:val="auto"/>
          <w:szCs w:val="21"/>
        </w:rPr>
        <w:t>1.本项目服务费采用包干制，应包括服务成本、法定税费和企业的利润。由企业根据招标文件所提供的资料自行测算投标报价；一经中标，投标报价总价作为中标单位与采购人签定的合同金额，合同期限内不做调整。</w:t>
      </w:r>
    </w:p>
    <w:p>
      <w:pPr>
        <w:spacing w:line="360" w:lineRule="auto"/>
        <w:rPr>
          <w:rFonts w:ascii="新宋体" w:hAnsi="新宋体" w:eastAsia="新宋体" w:cs="宋体"/>
          <w:color w:val="auto"/>
          <w:szCs w:val="21"/>
        </w:rPr>
      </w:pPr>
      <w:r>
        <w:rPr>
          <w:rFonts w:hint="eastAsia" w:ascii="新宋体" w:hAnsi="新宋体" w:eastAsia="新宋体" w:cs="宋体"/>
          <w:color w:val="auto"/>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spacing w:line="360" w:lineRule="auto"/>
        <w:rPr>
          <w:rFonts w:ascii="新宋体" w:hAnsi="新宋体" w:eastAsia="新宋体" w:cs="宋体"/>
          <w:color w:val="auto"/>
          <w:szCs w:val="21"/>
        </w:rPr>
      </w:pPr>
      <w:r>
        <w:rPr>
          <w:rFonts w:hint="eastAsia" w:ascii="新宋体" w:hAnsi="新宋体" w:eastAsia="新宋体" w:cs="宋体"/>
          <w:color w:val="auto"/>
          <w:szCs w:val="21"/>
        </w:rPr>
        <w:t>3.投标人的投标报价，应是本项目招标范围和招标文件及合同条款上所列的各项内容中所述的全部，不得以任何理由予以重复，并以投标人在投标文件中提出的综合单价或总价为依据。</w:t>
      </w:r>
    </w:p>
    <w:p>
      <w:pPr>
        <w:spacing w:line="360" w:lineRule="auto"/>
        <w:rPr>
          <w:rFonts w:ascii="新宋体" w:hAnsi="新宋体" w:eastAsia="新宋体" w:cs="宋体"/>
          <w:color w:val="auto"/>
          <w:szCs w:val="21"/>
        </w:rPr>
      </w:pPr>
      <w:r>
        <w:rPr>
          <w:rFonts w:hint="eastAsia" w:ascii="新宋体" w:hAnsi="新宋体" w:eastAsia="新宋体" w:cs="宋体"/>
          <w:color w:val="auto"/>
          <w:szCs w:val="21"/>
        </w:rPr>
        <w:t>4.除非政府集中采购机构通过修改招标文件予以更正，否则，投标人应毫无例外地按招标文件所列的清单中项目和数量填报综合单价或总价。投标人未填综合单价或总价的项目，在实施后，将不得以支付，并视作该项费用已包括在其它有价款的综合单价或总价内。</w:t>
      </w:r>
    </w:p>
    <w:p>
      <w:pPr>
        <w:spacing w:line="360" w:lineRule="auto"/>
        <w:rPr>
          <w:rFonts w:ascii="新宋体" w:hAnsi="新宋体" w:eastAsia="新宋体" w:cs="宋体"/>
          <w:color w:val="auto"/>
          <w:szCs w:val="21"/>
        </w:rPr>
      </w:pPr>
      <w:r>
        <w:rPr>
          <w:rFonts w:hint="eastAsia" w:ascii="新宋体" w:hAnsi="新宋体" w:eastAsia="新宋体" w:cs="宋体"/>
          <w:color w:val="auto"/>
          <w:szCs w:val="21"/>
        </w:rPr>
        <w:t>5.投标人应充分了解项目的位置、情况、道路及任何其它足以影响投标报价的情况，任何因忽视或误解项目情况而导致的索赔或服务期限延长申请将不获批准。</w:t>
      </w:r>
    </w:p>
    <w:p>
      <w:pPr>
        <w:spacing w:line="360" w:lineRule="auto"/>
        <w:rPr>
          <w:rFonts w:ascii="新宋体" w:hAnsi="新宋体" w:eastAsia="新宋体" w:cs="宋体"/>
          <w:color w:val="auto"/>
          <w:szCs w:val="21"/>
        </w:rPr>
      </w:pPr>
      <w:r>
        <w:rPr>
          <w:rFonts w:hint="eastAsia" w:ascii="新宋体" w:hAnsi="新宋体" w:eastAsia="新宋体" w:cs="宋体"/>
          <w:color w:val="auto"/>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swiss"/>
    <w:pitch w:val="default"/>
    <w:sig w:usb0="00000000" w:usb1="00000000" w:usb2="0000003F" w:usb3="00000000" w:csb0="003F01FF" w:csb1="00000000"/>
  </w:font>
  <w:font w:name="新宋体">
    <w:panose1 w:val="02010609030101010101"/>
    <w:charset w:val="86"/>
    <w:family w:val="modern"/>
    <w:pitch w:val="default"/>
    <w:sig w:usb0="00000203" w:usb1="288F0000" w:usb2="00000006" w:usb3="00000000" w:csb0="00040001" w:csb1="00000000"/>
  </w:font>
  <w:font w:name="CESI宋体-GB2312">
    <w:altName w:val="宋体"/>
    <w:panose1 w:val="02000500000000000000"/>
    <w:charset w:val="86"/>
    <w:family w:val="auto"/>
    <w:pitch w:val="default"/>
    <w:sig w:usb0="00000000" w:usb1="00000000" w:usb2="00000010"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F76DAD"/>
    <w:multiLevelType w:val="singleLevel"/>
    <w:tmpl w:val="B5F76DAD"/>
    <w:lvl w:ilvl="0" w:tentative="0">
      <w:start w:val="1"/>
      <w:numFmt w:val="decimal"/>
      <w:lvlText w:val="%1."/>
      <w:lvlJc w:val="left"/>
      <w:pPr>
        <w:tabs>
          <w:tab w:val="left" w:pos="312"/>
        </w:tabs>
      </w:pPr>
    </w:lvl>
  </w:abstractNum>
  <w:abstractNum w:abstractNumId="1">
    <w:nsid w:val="25AC778E"/>
    <w:multiLevelType w:val="multilevel"/>
    <w:tmpl w:val="25AC778E"/>
    <w:lvl w:ilvl="0" w:tentative="0">
      <w:start w:val="1"/>
      <w:numFmt w:val="japaneseCounting"/>
      <w:lvlText w:val="%1、"/>
      <w:lvlJc w:val="left"/>
      <w:pPr>
        <w:tabs>
          <w:tab w:val="left" w:pos="420"/>
        </w:tabs>
        <w:ind w:left="420" w:hanging="420"/>
      </w:pPr>
      <w:rPr>
        <w:rFonts w:ascii="宋体" w:hAnsi="宋体" w:eastAsia="宋体" w:cs="Courier New"/>
        <w:color w:val="auto"/>
      </w:rPr>
    </w:lvl>
    <w:lvl w:ilvl="1" w:tentative="0">
      <w:start w:val="1"/>
      <w:numFmt w:val="decimal"/>
      <w:lvlText w:val="%2、"/>
      <w:lvlJc w:val="left"/>
      <w:pPr>
        <w:ind w:left="210"/>
      </w:pPr>
      <w:rPr>
        <w:rFonts w:hint="default"/>
        <w:b w:val="0"/>
        <w:color w:val="auto"/>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4E363F5C"/>
    <w:multiLevelType w:val="multilevel"/>
    <w:tmpl w:val="4E363F5C"/>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U2ZWE1MzJlYzhlMzYwM2NlNjg2NGE5OWUzY2ZhZTgifQ=="/>
  </w:docVars>
  <w:rsids>
    <w:rsidRoot w:val="00000000"/>
    <w:rsid w:val="649A5D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3"/>
    <w:next w:val="4"/>
    <w:qFormat/>
    <w:uiPriority w:val="0"/>
    <w:pPr>
      <w:adjustRightInd w:val="0"/>
      <w:jc w:val="center"/>
      <w:textAlignment w:val="baseline"/>
      <w:outlineLvl w:val="1"/>
    </w:pPr>
    <w:rPr>
      <w:kern w:val="0"/>
      <w:sz w:val="24"/>
      <w:szCs w:val="20"/>
    </w:rPr>
  </w:style>
  <w:style w:type="paragraph" w:styleId="3">
    <w:name w:val="heading 3"/>
    <w:basedOn w:val="4"/>
    <w:next w:val="1"/>
    <w:qFormat/>
    <w:uiPriority w:val="0"/>
    <w:pPr>
      <w:spacing w:before="260" w:after="260" w:line="240" w:lineRule="auto"/>
      <w:outlineLvl w:val="2"/>
    </w:pPr>
    <w:rPr>
      <w:rFonts w:ascii="宋体" w:hAnsi="宋体" w:eastAsia="宋体"/>
      <w:szCs w:val="32"/>
    </w:rPr>
  </w:style>
  <w:style w:type="paragraph" w:styleId="4">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8">
    <w:name w:val="Default Paragraph Font"/>
    <w:semiHidden/>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5">
    <w:name w:val="Plain Text"/>
    <w:basedOn w:val="1"/>
    <w:qFormat/>
    <w:uiPriority w:val="0"/>
    <w:rPr>
      <w:rFonts w:ascii="宋体" w:hAnsi="Courier New"/>
      <w:szCs w:val="20"/>
    </w:rPr>
  </w:style>
  <w:style w:type="paragraph" w:styleId="6">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hAnsi="Arial Unicode MS" w:eastAsia="Arial Unicode MS"/>
      <w:color w:val="000000"/>
      <w:kern w:val="0"/>
      <w:sz w:val="20"/>
      <w:szCs w:val="20"/>
    </w:rPr>
  </w:style>
  <w:style w:type="paragraph" w:styleId="9">
    <w:name w:val="List Paragraph"/>
    <w:basedOn w:val="1"/>
    <w:autoRedefine/>
    <w:qFormat/>
    <w:uiPriority w:val="0"/>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2024-03-04T08:39:46Z</dcterms:created>
  <dc:creator>WF</dc:creator>
  <cp:lastModifiedBy>WF</cp:lastModifiedBy>
  <dcterms:modified xsi:type="dcterms:W3CDTF">2024-03-04T08:40:03Z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3916D8CFE426445DADA99783616B8EA5_12</vt:lpwstr>
  </property>
</Properties>
</file>