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DDB" w:rsidRPr="00E84DDB" w:rsidRDefault="00E84DDB" w:rsidP="00E84DDB">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E84DDB">
        <w:rPr>
          <w:rFonts w:ascii="新宋体" w:eastAsia="新宋体" w:hAnsi="新宋体" w:cs="Times New Roman" w:hint="eastAsia"/>
          <w:b/>
          <w:bCs/>
          <w:kern w:val="44"/>
          <w:sz w:val="30"/>
          <w:szCs w:val="30"/>
        </w:rPr>
        <w:t>招标项目需求</w:t>
      </w:r>
    </w:p>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r w:rsidRPr="00E84DDB">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b/>
                <w:bCs/>
                <w:szCs w:val="24"/>
              </w:rPr>
            </w:pPr>
            <w:r w:rsidRPr="00E84DDB">
              <w:rPr>
                <w:rFonts w:ascii="新宋体" w:eastAsia="新宋体" w:hAnsi="新宋体" w:cs="Times New Roman" w:hint="eastAsia"/>
                <w:b/>
                <w:bCs/>
                <w:szCs w:val="24"/>
              </w:rPr>
              <w:t>序号</w:t>
            </w:r>
          </w:p>
        </w:tc>
        <w:tc>
          <w:tcPr>
            <w:tcW w:w="2012" w:type="dxa"/>
            <w:vAlign w:val="center"/>
          </w:tcPr>
          <w:p w:rsidR="00E84DDB" w:rsidRPr="00E84DDB" w:rsidRDefault="00E84DDB" w:rsidP="00E84DDB">
            <w:pPr>
              <w:spacing w:line="276" w:lineRule="auto"/>
              <w:jc w:val="center"/>
              <w:rPr>
                <w:rFonts w:ascii="新宋体" w:eastAsia="新宋体" w:hAnsi="新宋体" w:cs="Times New Roman"/>
                <w:b/>
                <w:bCs/>
                <w:szCs w:val="24"/>
              </w:rPr>
            </w:pPr>
            <w:r w:rsidRPr="00E84DDB">
              <w:rPr>
                <w:rFonts w:ascii="新宋体" w:eastAsia="新宋体" w:hAnsi="新宋体" w:cs="Times New Roman" w:hint="eastAsia"/>
                <w:b/>
                <w:bCs/>
                <w:szCs w:val="24"/>
              </w:rPr>
              <w:t>内   容</w:t>
            </w:r>
          </w:p>
        </w:tc>
        <w:tc>
          <w:tcPr>
            <w:tcW w:w="6239" w:type="dxa"/>
            <w:vAlign w:val="center"/>
          </w:tcPr>
          <w:p w:rsidR="00E84DDB" w:rsidRPr="00E84DDB" w:rsidRDefault="00E84DDB" w:rsidP="00E84DDB">
            <w:pPr>
              <w:spacing w:line="276" w:lineRule="auto"/>
              <w:jc w:val="center"/>
              <w:rPr>
                <w:rFonts w:ascii="新宋体" w:eastAsia="新宋体" w:hAnsi="新宋体" w:cs="Times New Roman"/>
                <w:b/>
                <w:bCs/>
                <w:szCs w:val="24"/>
              </w:rPr>
            </w:pPr>
            <w:proofErr w:type="gramStart"/>
            <w:r w:rsidRPr="00E84DDB">
              <w:rPr>
                <w:rFonts w:ascii="新宋体" w:eastAsia="新宋体" w:hAnsi="新宋体" w:cs="Times New Roman" w:hint="eastAsia"/>
                <w:b/>
                <w:bCs/>
                <w:szCs w:val="24"/>
              </w:rPr>
              <w:t>规</w:t>
            </w:r>
            <w:proofErr w:type="gramEnd"/>
            <w:r w:rsidRPr="00E84DDB">
              <w:rPr>
                <w:rFonts w:ascii="新宋体" w:eastAsia="新宋体" w:hAnsi="新宋体" w:cs="Times New Roman" w:hint="eastAsia"/>
                <w:b/>
                <w:bCs/>
                <w:szCs w:val="24"/>
              </w:rPr>
              <w:t xml:space="preserve">      定</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1</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联合体投标</w:t>
            </w:r>
          </w:p>
        </w:tc>
        <w:tc>
          <w:tcPr>
            <w:tcW w:w="6239" w:type="dxa"/>
            <w:vAlign w:val="center"/>
          </w:tcPr>
          <w:p w:rsidR="00E84DDB" w:rsidRPr="00E84DDB" w:rsidRDefault="00E84DDB" w:rsidP="00E84DDB">
            <w:pPr>
              <w:spacing w:line="276" w:lineRule="auto"/>
              <w:rPr>
                <w:rFonts w:ascii="新宋体" w:eastAsia="新宋体" w:hAnsi="新宋体" w:cs="Times New Roman"/>
                <w:snapToGrid w:val="0"/>
                <w:kern w:val="0"/>
                <w:szCs w:val="32"/>
                <w:u w:val="single"/>
                <w:lang w:val="zh-CN"/>
              </w:rPr>
            </w:pPr>
            <w:r w:rsidRPr="00E84DDB">
              <w:rPr>
                <w:rFonts w:ascii="新宋体" w:eastAsia="新宋体" w:hAnsi="新宋体" w:cs="Times New Roman" w:hint="eastAsia"/>
                <w:snapToGrid w:val="0"/>
                <w:kern w:val="0"/>
                <w:szCs w:val="32"/>
                <w:u w:val="single"/>
                <w:lang w:val="zh-CN"/>
              </w:rPr>
              <w:t>见《招标公告》中“投标人资格要求”部分的相关内容</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2</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投标有效期</w:t>
            </w:r>
          </w:p>
        </w:tc>
        <w:tc>
          <w:tcPr>
            <w:tcW w:w="623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u w:val="single"/>
              </w:rPr>
              <w:t>120</w:t>
            </w:r>
            <w:r w:rsidRPr="00E84DDB">
              <w:rPr>
                <w:rFonts w:ascii="新宋体" w:eastAsia="新宋体" w:hAnsi="新宋体" w:cs="Times New Roman"/>
                <w:szCs w:val="24"/>
                <w:u w:val="single"/>
              </w:rPr>
              <w:t>日历天</w:t>
            </w:r>
            <w:r w:rsidRPr="00E84DDB">
              <w:rPr>
                <w:rFonts w:ascii="新宋体" w:eastAsia="新宋体" w:hAnsi="新宋体" w:cs="Times New Roman"/>
                <w:szCs w:val="24"/>
              </w:rPr>
              <w:t>（从投标截止之日算起）</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3</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投标人的替代方案</w:t>
            </w:r>
          </w:p>
        </w:tc>
        <w:tc>
          <w:tcPr>
            <w:tcW w:w="623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不允许</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4</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投标文件的投递</w:t>
            </w:r>
          </w:p>
        </w:tc>
        <w:tc>
          <w:tcPr>
            <w:tcW w:w="623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napToGrid w:val="0"/>
                <w:szCs w:val="21"/>
                <w:lang w:val="zh-CN"/>
              </w:rPr>
              <w:t>本项目实行</w:t>
            </w:r>
            <w:bookmarkStart w:id="0" w:name="投递标书方式"/>
            <w:r w:rsidRPr="00E84DDB">
              <w:rPr>
                <w:rFonts w:ascii="新宋体" w:eastAsia="新宋体" w:hAnsi="新宋体" w:cs="Times New Roman" w:hint="eastAsia"/>
                <w:snapToGrid w:val="0"/>
                <w:szCs w:val="21"/>
                <w:u w:val="single"/>
                <w:lang w:val="zh-CN"/>
              </w:rPr>
              <w:t>网下投标</w:t>
            </w:r>
            <w:bookmarkEnd w:id="0"/>
            <w:r w:rsidRPr="00E84DDB">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E84DDB">
              <w:rPr>
                <w:rFonts w:ascii="新宋体" w:eastAsia="新宋体" w:hAnsi="新宋体" w:cs="宋体" w:hint="eastAsia"/>
                <w:snapToGrid w:val="0"/>
                <w:szCs w:val="21"/>
                <w:lang w:val="zh-CN"/>
              </w:rPr>
              <w:t>应答文件</w:t>
            </w:r>
            <w:r w:rsidRPr="00E84DDB">
              <w:rPr>
                <w:rFonts w:ascii="新宋体" w:eastAsia="新宋体" w:hAnsi="新宋体" w:cs="Times New Roman"/>
                <w:snapToGrid w:val="0"/>
                <w:szCs w:val="21"/>
                <w:lang w:val="zh-CN"/>
              </w:rPr>
              <w:t>应于</w:t>
            </w:r>
            <w:r w:rsidRPr="00E84DDB">
              <w:rPr>
                <w:rFonts w:ascii="新宋体" w:eastAsia="新宋体" w:hAnsi="新宋体" w:cs="Times New Roman" w:hint="eastAsia"/>
                <w:snapToGrid w:val="0"/>
                <w:szCs w:val="21"/>
                <w:lang w:val="zh-CN"/>
              </w:rPr>
              <w:t>递交截止时间</w:t>
            </w:r>
            <w:r w:rsidRPr="00E84DDB">
              <w:rPr>
                <w:rFonts w:ascii="新宋体" w:eastAsia="新宋体" w:hAnsi="新宋体" w:cs="Times New Roman"/>
                <w:snapToGrid w:val="0"/>
                <w:szCs w:val="21"/>
                <w:lang w:val="zh-CN"/>
              </w:rPr>
              <w:t>之前</w:t>
            </w:r>
            <w:r w:rsidRPr="00E84DDB">
              <w:rPr>
                <w:rFonts w:ascii="新宋体" w:eastAsia="新宋体" w:hAnsi="新宋体" w:cs="Times New Roman" w:hint="eastAsia"/>
                <w:snapToGrid w:val="0"/>
                <w:szCs w:val="21"/>
                <w:lang w:val="zh-CN"/>
              </w:rPr>
              <w:t>送达招标文件规定的地址</w:t>
            </w:r>
            <w:r w:rsidRPr="00E84DDB">
              <w:rPr>
                <w:rFonts w:ascii="新宋体" w:eastAsia="新宋体" w:hAnsi="新宋体" w:cs="Times New Roman"/>
                <w:snapToGrid w:val="0"/>
                <w:szCs w:val="21"/>
                <w:lang w:val="zh-CN"/>
              </w:rPr>
              <w:t>。</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5</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履约保证金</w:t>
            </w:r>
          </w:p>
        </w:tc>
        <w:tc>
          <w:tcPr>
            <w:tcW w:w="623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_____万元或合同金额的_____%，缴纳方式：</w:t>
            </w:r>
          </w:p>
        </w:tc>
      </w:tr>
      <w:tr w:rsidR="00E84DDB" w:rsidRPr="00E84DDB" w:rsidTr="00E41FE6">
        <w:trPr>
          <w:cantSplit/>
          <w:trHeight w:val="20"/>
          <w:jc w:val="center"/>
        </w:trPr>
        <w:tc>
          <w:tcPr>
            <w:tcW w:w="827" w:type="dxa"/>
            <w:vAlign w:val="center"/>
          </w:tcPr>
          <w:p w:rsidR="00E84DDB" w:rsidRPr="00E84DDB" w:rsidRDefault="00E84DDB" w:rsidP="00E84DDB">
            <w:pPr>
              <w:spacing w:line="276" w:lineRule="auto"/>
              <w:jc w:val="center"/>
              <w:rPr>
                <w:rFonts w:ascii="新宋体" w:eastAsia="新宋体" w:hAnsi="新宋体" w:cs="Times New Roman"/>
                <w:szCs w:val="24"/>
              </w:rPr>
            </w:pPr>
            <w:r w:rsidRPr="00E84DDB">
              <w:rPr>
                <w:rFonts w:ascii="新宋体" w:eastAsia="新宋体" w:hAnsi="新宋体" w:cs="Times New Roman" w:hint="eastAsia"/>
                <w:szCs w:val="24"/>
              </w:rPr>
              <w:t>6</w:t>
            </w:r>
          </w:p>
        </w:tc>
        <w:tc>
          <w:tcPr>
            <w:tcW w:w="2012"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中标</w:t>
            </w:r>
            <w:r w:rsidRPr="00E84DDB">
              <w:rPr>
                <w:rFonts w:ascii="新宋体" w:eastAsia="新宋体" w:hAnsi="新宋体" w:cs="Times New Roman"/>
                <w:szCs w:val="24"/>
              </w:rPr>
              <w:t>服务费</w:t>
            </w:r>
          </w:p>
        </w:tc>
        <w:tc>
          <w:tcPr>
            <w:tcW w:w="623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E84DDB" w:rsidRPr="00E84DDB" w:rsidRDefault="00E84DDB" w:rsidP="00E84DDB">
      <w:pPr>
        <w:spacing w:line="360" w:lineRule="auto"/>
        <w:rPr>
          <w:rFonts w:ascii="新宋体" w:eastAsia="新宋体" w:hAnsi="新宋体" w:cs="Times New Roman"/>
          <w:b/>
          <w:szCs w:val="24"/>
        </w:rPr>
      </w:pPr>
      <w:r w:rsidRPr="00E84DDB">
        <w:rPr>
          <w:rFonts w:ascii="新宋体" w:eastAsia="新宋体" w:hAnsi="新宋体" w:cs="Times New Roman" w:hint="eastAsia"/>
          <w:szCs w:val="21"/>
        </w:rPr>
        <w:t>备注：本表为通用条款相关内容的补充和明确，如与通用条款相冲突的以本表为准。</w:t>
      </w:r>
    </w:p>
    <w:p w:rsidR="00E84DDB" w:rsidRPr="00E84DDB" w:rsidRDefault="00E84DDB" w:rsidP="00E84DDB">
      <w:pPr>
        <w:rPr>
          <w:rFonts w:ascii="新宋体" w:eastAsia="新宋体" w:hAnsi="新宋体" w:cs="Times New Roman"/>
          <w:b/>
          <w:szCs w:val="24"/>
        </w:rPr>
      </w:pPr>
    </w:p>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bookmarkStart w:id="1" w:name="_Toc128884461"/>
      <w:r w:rsidRPr="00E84DDB">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E84DDB" w:rsidRPr="00E84DDB" w:rsidTr="00E41FE6">
        <w:trPr>
          <w:jc w:val="center"/>
        </w:trPr>
        <w:tc>
          <w:tcPr>
            <w:tcW w:w="95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序号</w:t>
            </w:r>
          </w:p>
        </w:tc>
        <w:tc>
          <w:tcPr>
            <w:tcW w:w="7938"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具体内容</w:t>
            </w:r>
          </w:p>
        </w:tc>
      </w:tr>
      <w:tr w:rsidR="00E84DDB" w:rsidRPr="00E84DDB" w:rsidTr="00E41FE6">
        <w:trPr>
          <w:jc w:val="center"/>
        </w:trPr>
        <w:tc>
          <w:tcPr>
            <w:tcW w:w="95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1</w:t>
            </w:r>
          </w:p>
        </w:tc>
        <w:tc>
          <w:tcPr>
            <w:tcW w:w="7938"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完全满足本项目服务期限的要求。</w:t>
            </w:r>
          </w:p>
        </w:tc>
      </w:tr>
      <w:tr w:rsidR="00E84DDB" w:rsidRPr="00E84DDB" w:rsidTr="00E41FE6">
        <w:trPr>
          <w:jc w:val="center"/>
        </w:trPr>
        <w:tc>
          <w:tcPr>
            <w:tcW w:w="95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2</w:t>
            </w:r>
          </w:p>
        </w:tc>
        <w:tc>
          <w:tcPr>
            <w:tcW w:w="7938" w:type="dxa"/>
            <w:vAlign w:val="center"/>
          </w:tcPr>
          <w:p w:rsidR="00E84DDB" w:rsidRPr="00E84DDB" w:rsidRDefault="00E84DDB" w:rsidP="00E84DDB">
            <w:pPr>
              <w:spacing w:line="276" w:lineRule="auto"/>
              <w:rPr>
                <w:rFonts w:ascii="新宋体" w:eastAsia="新宋体" w:hAnsi="新宋体" w:cs="Times New Roman"/>
                <w:szCs w:val="24"/>
              </w:rPr>
            </w:pPr>
          </w:p>
        </w:tc>
      </w:tr>
      <w:tr w:rsidR="00E84DDB" w:rsidRPr="00E84DDB" w:rsidTr="00E41FE6">
        <w:trPr>
          <w:jc w:val="center"/>
        </w:trPr>
        <w:tc>
          <w:tcPr>
            <w:tcW w:w="959" w:type="dxa"/>
            <w:vAlign w:val="center"/>
          </w:tcPr>
          <w:p w:rsidR="00E84DDB" w:rsidRPr="00E84DDB" w:rsidRDefault="00E84DDB" w:rsidP="00E84DDB">
            <w:pPr>
              <w:spacing w:line="276" w:lineRule="auto"/>
              <w:rPr>
                <w:rFonts w:ascii="新宋体" w:eastAsia="新宋体" w:hAnsi="新宋体" w:cs="Times New Roman"/>
                <w:szCs w:val="24"/>
              </w:rPr>
            </w:pPr>
            <w:r w:rsidRPr="00E84DDB">
              <w:rPr>
                <w:rFonts w:ascii="新宋体" w:eastAsia="新宋体" w:hAnsi="新宋体" w:cs="Times New Roman" w:hint="eastAsia"/>
                <w:szCs w:val="24"/>
              </w:rPr>
              <w:t>……</w:t>
            </w:r>
          </w:p>
        </w:tc>
        <w:tc>
          <w:tcPr>
            <w:tcW w:w="7938" w:type="dxa"/>
            <w:vAlign w:val="center"/>
          </w:tcPr>
          <w:p w:rsidR="00E84DDB" w:rsidRPr="00E84DDB" w:rsidRDefault="00E84DDB" w:rsidP="00E84DDB">
            <w:pPr>
              <w:spacing w:line="276" w:lineRule="auto"/>
              <w:rPr>
                <w:rFonts w:ascii="新宋体" w:eastAsia="新宋体" w:hAnsi="新宋体" w:cs="Times New Roman"/>
                <w:szCs w:val="24"/>
              </w:rPr>
            </w:pPr>
          </w:p>
        </w:tc>
      </w:tr>
    </w:tbl>
    <w:p w:rsidR="00E84DDB" w:rsidRPr="00E84DDB" w:rsidRDefault="00E84DDB" w:rsidP="00E84DDB">
      <w:pPr>
        <w:widowControl/>
        <w:spacing w:after="100" w:afterAutospacing="1" w:line="276" w:lineRule="auto"/>
        <w:jc w:val="left"/>
        <w:rPr>
          <w:rFonts w:ascii="新宋体" w:eastAsia="新宋体" w:hAnsi="新宋体" w:cs="Times New Roman"/>
          <w:kern w:val="0"/>
          <w:szCs w:val="21"/>
        </w:rPr>
      </w:pPr>
      <w:r w:rsidRPr="00E84DDB">
        <w:rPr>
          <w:rFonts w:ascii="新宋体" w:eastAsia="新宋体" w:hAnsi="新宋体" w:cs="Times New Roman" w:hint="eastAsia"/>
          <w:kern w:val="0"/>
          <w:szCs w:val="21"/>
        </w:rPr>
        <w:t>注：上表所列内容为不可负偏离条款</w:t>
      </w:r>
    </w:p>
    <w:bookmarkEnd w:id="1"/>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r w:rsidRPr="00E84DDB">
        <w:rPr>
          <w:rFonts w:ascii="新宋体" w:eastAsia="新宋体" w:hAnsi="新宋体" w:cs="Times New Roman" w:hint="eastAsia"/>
          <w:b/>
          <w:bCs/>
          <w:kern w:val="44"/>
          <w:sz w:val="28"/>
          <w:szCs w:val="28"/>
        </w:rPr>
        <w:t>三、项目概况</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t>（一）</w:t>
      </w:r>
      <w:r w:rsidRPr="00E84DDB">
        <w:rPr>
          <w:rFonts w:ascii="新宋体" w:eastAsia="新宋体" w:hAnsi="新宋体" w:cs="宋体"/>
          <w:szCs w:val="21"/>
        </w:rPr>
        <w:t>预算</w:t>
      </w:r>
      <w:r w:rsidRPr="00E84DDB">
        <w:rPr>
          <w:rFonts w:ascii="新宋体" w:eastAsia="新宋体" w:hAnsi="新宋体" w:cs="宋体" w:hint="eastAsia"/>
          <w:szCs w:val="21"/>
        </w:rPr>
        <w:t>金额: 人民币</w:t>
      </w:r>
      <w:proofErr w:type="gramStart"/>
      <w:r w:rsidRPr="00E84DDB">
        <w:rPr>
          <w:rFonts w:ascii="新宋体" w:eastAsia="新宋体" w:hAnsi="新宋体" w:cs="宋体" w:hint="eastAsia"/>
          <w:szCs w:val="21"/>
        </w:rPr>
        <w:t>伍拾肆万</w:t>
      </w:r>
      <w:proofErr w:type="gramEnd"/>
      <w:r w:rsidRPr="00E84DDB">
        <w:rPr>
          <w:rFonts w:ascii="新宋体" w:eastAsia="新宋体" w:hAnsi="新宋体" w:cs="宋体" w:hint="eastAsia"/>
          <w:szCs w:val="21"/>
        </w:rPr>
        <w:t>元整(540,000.00)，</w:t>
      </w:r>
      <w:r w:rsidRPr="00E84DDB">
        <w:rPr>
          <w:rFonts w:ascii="新宋体" w:eastAsia="新宋体" w:hAnsi="新宋体" w:cs="宋体"/>
          <w:szCs w:val="21"/>
        </w:rPr>
        <w:t>最高投标限价</w:t>
      </w:r>
      <w:r w:rsidRPr="00E84DDB">
        <w:rPr>
          <w:rFonts w:ascii="新宋体" w:eastAsia="新宋体" w:hAnsi="新宋体" w:cs="宋体" w:hint="eastAsia"/>
          <w:szCs w:val="21"/>
        </w:rPr>
        <w:t>: 人民币</w:t>
      </w:r>
      <w:proofErr w:type="gramStart"/>
      <w:r w:rsidRPr="00E84DDB">
        <w:rPr>
          <w:rFonts w:ascii="新宋体" w:eastAsia="新宋体" w:hAnsi="新宋体" w:cs="宋体" w:hint="eastAsia"/>
          <w:szCs w:val="21"/>
        </w:rPr>
        <w:t>伍拾肆万</w:t>
      </w:r>
      <w:proofErr w:type="gramEnd"/>
      <w:r w:rsidRPr="00E84DDB">
        <w:rPr>
          <w:rFonts w:ascii="新宋体" w:eastAsia="新宋体" w:hAnsi="新宋体" w:cs="宋体" w:hint="eastAsia"/>
          <w:szCs w:val="21"/>
        </w:rPr>
        <w:t>元整(540,000.00)</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lastRenderedPageBreak/>
        <w:t xml:space="preserve">（二）项目概况: </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气候服务决策支持平台”作为气候监测值班的主要业务平台，为气候监测、统计和决策服务提供了基础支撑，也为相关值班领导和预报员查询基础气候监测数据提供了支持，其安全稳定运行，直接关系全局气候业务的效率和质量。此外，“灾害性天气气候监测平台”、“欧洲中心15天集合预报产品”、“32天集合预报产品”等业务平台对气候监测和预测业务持续发挥支撑作用，需要维持运行，并满足基本的信息安全要求。其中“灾害性天气气候监测平台”存在版本老旧、兼容性差的问题，现需要将平台功能进行迁移到“气候服务决策支持平台”上。</w:t>
      </w:r>
    </w:p>
    <w:p w:rsidR="00E84DDB" w:rsidRPr="00E84DDB" w:rsidRDefault="00E84DDB" w:rsidP="00E84DDB">
      <w:pPr>
        <w:rPr>
          <w:rFonts w:ascii="新宋体" w:eastAsia="新宋体" w:hAnsi="新宋体" w:cs="Times New Roman"/>
          <w:b/>
          <w:bCs/>
          <w:szCs w:val="21"/>
        </w:rPr>
      </w:pPr>
    </w:p>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r w:rsidRPr="00E84DDB">
        <w:rPr>
          <w:rFonts w:ascii="新宋体" w:eastAsia="新宋体" w:hAnsi="新宋体" w:cs="Times New Roman" w:hint="eastAsia"/>
          <w:b/>
          <w:bCs/>
          <w:kern w:val="44"/>
          <w:sz w:val="28"/>
          <w:szCs w:val="28"/>
        </w:rPr>
        <w:t>四、项目技术要求</w:t>
      </w:r>
    </w:p>
    <w:p w:rsidR="00E84DDB" w:rsidRPr="00E84DDB" w:rsidRDefault="00E84DDB" w:rsidP="00E84DDB">
      <w:pPr>
        <w:spacing w:line="360" w:lineRule="auto"/>
        <w:rPr>
          <w:rFonts w:ascii="Times New Roman" w:eastAsia="宋体" w:hAnsi="Times New Roman" w:cs="Times New Roman"/>
          <w:szCs w:val="24"/>
        </w:rPr>
      </w:pPr>
      <w:r w:rsidRPr="00E84DDB">
        <w:rPr>
          <w:rFonts w:ascii="宋体" w:eastAsia="宋体" w:hAnsi="宋体" w:cs="Times New Roman" w:hint="eastAsia"/>
          <w:b/>
          <w:bCs/>
          <w:szCs w:val="21"/>
        </w:rPr>
        <w:t>一、服务需求</w:t>
      </w:r>
    </w:p>
    <w:p w:rsidR="00E84DDB" w:rsidRPr="00E84DDB" w:rsidRDefault="00E84DDB" w:rsidP="00E84DDB">
      <w:pPr>
        <w:spacing w:line="360" w:lineRule="auto"/>
        <w:rPr>
          <w:rFonts w:ascii="Times New Roman" w:eastAsia="宋体" w:hAnsi="Times New Roman" w:cs="Times New Roman"/>
          <w:szCs w:val="24"/>
        </w:rPr>
      </w:pPr>
      <w:r w:rsidRPr="00E84DDB">
        <w:rPr>
          <w:rFonts w:ascii="Times New Roman" w:eastAsia="宋体" w:hAnsi="Times New Roman" w:cs="Times New Roman" w:hint="eastAsia"/>
          <w:szCs w:val="24"/>
        </w:rPr>
        <w:t>（一）系统维护保障</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针对“气候服务决策支持平台”、“灾害性天气气候监测平台”，以及“欧洲中心</w:t>
      </w:r>
      <w:r w:rsidRPr="00E84DDB">
        <w:rPr>
          <w:rFonts w:ascii="Times New Roman" w:eastAsia="宋体" w:hAnsi="Times New Roman" w:cs="Times New Roman" w:hint="eastAsia"/>
          <w:szCs w:val="24"/>
        </w:rPr>
        <w:t>15</w:t>
      </w:r>
      <w:r w:rsidRPr="00E84DDB">
        <w:rPr>
          <w:rFonts w:ascii="Times New Roman" w:eastAsia="宋体" w:hAnsi="Times New Roman" w:cs="Times New Roman" w:hint="eastAsia"/>
          <w:szCs w:val="24"/>
        </w:rPr>
        <w:t>天集合预报产品”、“</w:t>
      </w:r>
      <w:r w:rsidRPr="00E84DDB">
        <w:rPr>
          <w:rFonts w:ascii="Times New Roman" w:eastAsia="宋体" w:hAnsi="Times New Roman" w:cs="Times New Roman" w:hint="eastAsia"/>
          <w:szCs w:val="24"/>
        </w:rPr>
        <w:t>32</w:t>
      </w:r>
      <w:r w:rsidRPr="00E84DDB">
        <w:rPr>
          <w:rFonts w:ascii="Times New Roman" w:eastAsia="宋体" w:hAnsi="Times New Roman" w:cs="Times New Roman" w:hint="eastAsia"/>
          <w:szCs w:val="24"/>
        </w:rPr>
        <w:t>天集合预报产品”等业务平台和产品提供日常运行保障服务，使其</w:t>
      </w:r>
      <w:proofErr w:type="gramStart"/>
      <w:r w:rsidRPr="00E84DDB">
        <w:rPr>
          <w:rFonts w:ascii="Times New Roman" w:eastAsia="宋体" w:hAnsi="Times New Roman" w:cs="Times New Roman" w:hint="eastAsia"/>
          <w:szCs w:val="24"/>
        </w:rPr>
        <w:t>日常稳定</w:t>
      </w:r>
      <w:proofErr w:type="gramEnd"/>
      <w:r w:rsidRPr="00E84DDB">
        <w:rPr>
          <w:rFonts w:ascii="Times New Roman" w:eastAsia="宋体" w:hAnsi="Times New Roman" w:cs="Times New Roman" w:hint="eastAsia"/>
          <w:szCs w:val="24"/>
        </w:rPr>
        <w:t>运行，并提供每月至少两次全面巡检、故障时应急响应维护和信息安全维护等支持和服务。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日常保障服务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为保证业务人员日常使用系统，运</w:t>
      </w:r>
      <w:proofErr w:type="gramStart"/>
      <w:r w:rsidRPr="00E84DDB">
        <w:rPr>
          <w:rFonts w:ascii="Times New Roman" w:eastAsia="宋体" w:hAnsi="Times New Roman" w:cs="Times New Roman" w:hint="eastAsia"/>
          <w:szCs w:val="24"/>
        </w:rPr>
        <w:t>维人员</w:t>
      </w:r>
      <w:proofErr w:type="gramEnd"/>
      <w:r w:rsidRPr="00E84DDB">
        <w:rPr>
          <w:rFonts w:ascii="Times New Roman" w:eastAsia="宋体" w:hAnsi="Times New Roman" w:cs="Times New Roman" w:hint="eastAsia"/>
          <w:szCs w:val="24"/>
        </w:rPr>
        <w:t>应在业务人员反馈系统</w:t>
      </w:r>
      <w:r w:rsidRPr="00E84DDB">
        <w:rPr>
          <w:rFonts w:ascii="Times New Roman" w:eastAsia="宋体" w:hAnsi="Times New Roman" w:cs="Times New Roman" w:hint="eastAsia"/>
          <w:szCs w:val="24"/>
        </w:rPr>
        <w:t>BUG</w:t>
      </w:r>
      <w:r w:rsidRPr="00E84DDB">
        <w:rPr>
          <w:rFonts w:ascii="Times New Roman" w:eastAsia="宋体" w:hAnsi="Times New Roman" w:cs="Times New Roman" w:hint="eastAsia"/>
          <w:szCs w:val="24"/>
        </w:rPr>
        <w:t>、数据错误等情况后进行及时响应，预估系统修复时间并进行修复，将每次维护的类型、日期、故障内容、维护人员、故障原因、处理结果等要素整理为维护记录表。</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2.</w:t>
      </w:r>
      <w:r w:rsidRPr="00E84DDB">
        <w:rPr>
          <w:rFonts w:ascii="Times New Roman" w:eastAsia="宋体" w:hAnsi="Times New Roman" w:cs="Times New Roman" w:hint="eastAsia"/>
          <w:szCs w:val="24"/>
        </w:rPr>
        <w:t>定期巡检服务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为保证系统的</w:t>
      </w:r>
      <w:proofErr w:type="gramStart"/>
      <w:r w:rsidRPr="00E84DDB">
        <w:rPr>
          <w:rFonts w:ascii="Times New Roman" w:eastAsia="宋体" w:hAnsi="Times New Roman" w:cs="Times New Roman" w:hint="eastAsia"/>
          <w:szCs w:val="24"/>
        </w:rPr>
        <w:t>日常稳定</w:t>
      </w:r>
      <w:proofErr w:type="gramEnd"/>
      <w:r w:rsidRPr="00E84DDB">
        <w:rPr>
          <w:rFonts w:ascii="Times New Roman" w:eastAsia="宋体" w:hAnsi="Times New Roman" w:cs="Times New Roman" w:hint="eastAsia"/>
          <w:szCs w:val="24"/>
        </w:rPr>
        <w:t>运行，合同有效期内，提供每月至少两次全面巡检服务，内容包含系统软件，硬件等相关内容，将每次巡检的日期、巡检内容、巡检人员、选件结果等要素整理为巡检记录表。</w:t>
      </w:r>
      <w:r w:rsidRPr="00E84DDB">
        <w:rPr>
          <w:rFonts w:ascii="Times New Roman" w:eastAsia="宋体" w:hAnsi="Times New Roman" w:cs="Times New Roman" w:hint="eastAsia"/>
          <w:szCs w:val="24"/>
        </w:rPr>
        <w:t xml:space="preserve">                                  </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应急响应服务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在运行中出现系统瘫痪或服务中断，导致系统的基本功能不能使用时，技术服务商须在</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个小时内现场或</w:t>
      </w:r>
      <w:proofErr w:type="gramStart"/>
      <w:r w:rsidRPr="00E84DDB">
        <w:rPr>
          <w:rFonts w:ascii="Times New Roman" w:eastAsia="宋体" w:hAnsi="Times New Roman" w:cs="Times New Roman" w:hint="eastAsia"/>
          <w:szCs w:val="24"/>
        </w:rPr>
        <w:t>远程支持</w:t>
      </w:r>
      <w:proofErr w:type="gramEnd"/>
      <w:r w:rsidRPr="00E84DDB">
        <w:rPr>
          <w:rFonts w:ascii="Times New Roman" w:eastAsia="宋体" w:hAnsi="Times New Roman" w:cs="Times New Roman" w:hint="eastAsia"/>
          <w:szCs w:val="24"/>
        </w:rPr>
        <w:t>方式进行系统修复。对于由于硬件或网络等修复耗时</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天以上的故障，技术服务商须提供临时解决方案，并在设备故障修复后恢复系统。</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lastRenderedPageBreak/>
        <w:t>4.</w:t>
      </w:r>
      <w:r w:rsidRPr="00E84DDB">
        <w:rPr>
          <w:rFonts w:ascii="Times New Roman" w:eastAsia="宋体" w:hAnsi="Times New Roman" w:cs="Times New Roman" w:hint="eastAsia"/>
          <w:szCs w:val="24"/>
        </w:rPr>
        <w:t>信息安全服务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根据深圳市政府信息安全相关办法要求及深圳市气象局相关规定，加强各系统的信息安全检查，并配合进行网络信息安全检查及整改工作。</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5.</w:t>
      </w:r>
      <w:r w:rsidRPr="00E84DDB">
        <w:rPr>
          <w:rFonts w:ascii="Times New Roman" w:eastAsia="宋体" w:hAnsi="Times New Roman" w:cs="Times New Roman" w:hint="eastAsia"/>
          <w:szCs w:val="24"/>
        </w:rPr>
        <w:t>地图核查服务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在系统建设运维引用地图数据时，确保所有地图数据的使用符合相关法规和法律要求，包括审图号的规范性要求及数据及时更新的准确性要求。对不符合规范的产品进行整改。</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各类业务服务逐步过渡使用“气象基础地理信息服务平台”“深圳市可视化城市空间数字平台”提供的在线</w:t>
      </w:r>
      <w:r w:rsidRPr="00E84DDB">
        <w:rPr>
          <w:rFonts w:ascii="Times New Roman" w:eastAsia="宋体" w:hAnsi="Times New Roman" w:cs="Times New Roman" w:hint="eastAsia"/>
          <w:szCs w:val="24"/>
        </w:rPr>
        <w:t>API</w:t>
      </w:r>
      <w:r w:rsidRPr="00E84DDB">
        <w:rPr>
          <w:rFonts w:ascii="Times New Roman" w:eastAsia="宋体" w:hAnsi="Times New Roman" w:cs="Times New Roman" w:hint="eastAsia"/>
          <w:szCs w:val="24"/>
        </w:rPr>
        <w:t>接口地图服务，以确保地图数据来源的一致性和准确性。</w:t>
      </w:r>
    </w:p>
    <w:p w:rsidR="00E84DDB" w:rsidRPr="00E84DDB" w:rsidRDefault="00E84DDB" w:rsidP="00E84DDB">
      <w:pPr>
        <w:spacing w:line="360" w:lineRule="auto"/>
        <w:rPr>
          <w:rFonts w:ascii="Times New Roman" w:eastAsia="宋体" w:hAnsi="Times New Roman" w:cs="Times New Roman"/>
          <w:szCs w:val="24"/>
        </w:rPr>
      </w:pPr>
      <w:r w:rsidRPr="00E84DDB">
        <w:rPr>
          <w:rFonts w:ascii="Times New Roman" w:eastAsia="宋体" w:hAnsi="Times New Roman" w:cs="Times New Roman" w:hint="eastAsia"/>
          <w:szCs w:val="24"/>
        </w:rPr>
        <w:t>（二）功能优化升级</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排班功能升级</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根据新的排班规则进行排班自动化优化，并新增调休申请功能和申请审核功能。</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2.SQL</w:t>
      </w:r>
      <w:r w:rsidRPr="00E84DDB">
        <w:rPr>
          <w:rFonts w:ascii="Times New Roman" w:eastAsia="宋体" w:hAnsi="Times New Roman" w:cs="Times New Roman" w:hint="eastAsia"/>
          <w:szCs w:val="24"/>
        </w:rPr>
        <w:t>查询工具升级</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根据气象数据安全要求，对</w:t>
      </w:r>
      <w:r w:rsidRPr="00E84DDB">
        <w:rPr>
          <w:rFonts w:ascii="Times New Roman" w:eastAsia="宋体" w:hAnsi="Times New Roman" w:cs="Times New Roman" w:hint="eastAsia"/>
          <w:szCs w:val="24"/>
        </w:rPr>
        <w:t>SQL</w:t>
      </w:r>
      <w:r w:rsidRPr="00E84DDB">
        <w:rPr>
          <w:rFonts w:ascii="Times New Roman" w:eastAsia="宋体" w:hAnsi="Times New Roman" w:cs="Times New Roman" w:hint="eastAsia"/>
          <w:szCs w:val="24"/>
        </w:rPr>
        <w:t>查询工具升级改造，使其绑定特定</w:t>
      </w:r>
      <w:r w:rsidRPr="00E84DDB">
        <w:rPr>
          <w:rFonts w:ascii="Times New Roman" w:eastAsia="宋体" w:hAnsi="Times New Roman" w:cs="Times New Roman" w:hint="eastAsia"/>
          <w:szCs w:val="24"/>
        </w:rPr>
        <w:t>IP</w:t>
      </w:r>
      <w:r w:rsidRPr="00E84DDB">
        <w:rPr>
          <w:rFonts w:ascii="Times New Roman" w:eastAsia="宋体" w:hAnsi="Times New Roman" w:cs="Times New Roman" w:hint="eastAsia"/>
          <w:szCs w:val="24"/>
        </w:rPr>
        <w:t>用户后拥有可新增、编辑</w:t>
      </w:r>
      <w:r w:rsidRPr="00E84DDB">
        <w:rPr>
          <w:rFonts w:ascii="Times New Roman" w:eastAsia="宋体" w:hAnsi="Times New Roman" w:cs="Times New Roman" w:hint="eastAsia"/>
          <w:szCs w:val="24"/>
        </w:rPr>
        <w:t>SQL</w:t>
      </w:r>
      <w:r w:rsidRPr="00E84DDB">
        <w:rPr>
          <w:rFonts w:ascii="Times New Roman" w:eastAsia="宋体" w:hAnsi="Times New Roman" w:cs="Times New Roman" w:hint="eastAsia"/>
          <w:szCs w:val="24"/>
        </w:rPr>
        <w:t>语句的功能，满足日常临时数据查询需求。</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升级强对流过程判断方式和指数开发</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基于新的强对流过程判断标准，重新汇总历史及</w:t>
      </w:r>
      <w:proofErr w:type="gramStart"/>
      <w:r w:rsidRPr="00E84DDB">
        <w:rPr>
          <w:rFonts w:ascii="Times New Roman" w:eastAsia="宋体" w:hAnsi="Times New Roman" w:cs="Times New Roman" w:hint="eastAsia"/>
          <w:szCs w:val="24"/>
        </w:rPr>
        <w:t>最新强</w:t>
      </w:r>
      <w:proofErr w:type="gramEnd"/>
      <w:r w:rsidRPr="00E84DDB">
        <w:rPr>
          <w:rFonts w:ascii="Times New Roman" w:eastAsia="宋体" w:hAnsi="Times New Roman" w:cs="Times New Roman" w:hint="eastAsia"/>
          <w:szCs w:val="24"/>
        </w:rPr>
        <w:t>对流过程，开发强对流过程影响综合指数产品。</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4.</w:t>
      </w:r>
      <w:r w:rsidRPr="00E84DDB">
        <w:rPr>
          <w:rFonts w:ascii="Times New Roman" w:eastAsia="宋体" w:hAnsi="Times New Roman" w:cs="Times New Roman" w:hint="eastAsia"/>
          <w:szCs w:val="24"/>
        </w:rPr>
        <w:t>新增深圳网格化实时积水风险产品</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基于气象灾害风险提示中街道积水阈值和实时积水风险数据，开发深圳网格化实时积水风险产品，用于</w:t>
      </w:r>
      <w:proofErr w:type="gramStart"/>
      <w:r w:rsidRPr="00E84DDB">
        <w:rPr>
          <w:rFonts w:ascii="Times New Roman" w:eastAsia="宋体" w:hAnsi="Times New Roman" w:cs="Times New Roman" w:hint="eastAsia"/>
          <w:szCs w:val="24"/>
        </w:rPr>
        <w:t>和腾讯地图</w:t>
      </w:r>
      <w:proofErr w:type="gramEnd"/>
      <w:r w:rsidRPr="00E84DDB">
        <w:rPr>
          <w:rFonts w:ascii="Times New Roman" w:eastAsia="宋体" w:hAnsi="Times New Roman" w:cs="Times New Roman" w:hint="eastAsia"/>
          <w:szCs w:val="24"/>
        </w:rPr>
        <w:t>对接提供服务。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5.</w:t>
      </w:r>
      <w:r w:rsidRPr="00E84DDB">
        <w:rPr>
          <w:rFonts w:ascii="Times New Roman" w:eastAsia="宋体" w:hAnsi="Times New Roman" w:cs="Times New Roman" w:hint="eastAsia"/>
          <w:szCs w:val="24"/>
        </w:rPr>
        <w:t>新增深圳街道积水风险示意图展示功能</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基于各街道</w:t>
      </w:r>
      <w:r w:rsidRPr="00E84DDB">
        <w:rPr>
          <w:rFonts w:ascii="Times New Roman" w:eastAsia="宋体" w:hAnsi="Times New Roman" w:cs="Times New Roman" w:hint="eastAsia"/>
          <w:szCs w:val="24"/>
        </w:rPr>
        <w:t>30</w:t>
      </w:r>
      <w:r w:rsidRPr="00E84DDB">
        <w:rPr>
          <w:rFonts w:ascii="Times New Roman" w:eastAsia="宋体" w:hAnsi="Times New Roman" w:cs="Times New Roman" w:hint="eastAsia"/>
          <w:szCs w:val="24"/>
        </w:rPr>
        <w:t>分钟、</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w:t>
      </w: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小时雨量历史极值和积水风险阈值，计算深圳各街道积水风险指数，并进行展示。</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6.</w:t>
      </w:r>
      <w:r w:rsidRPr="00E84DDB">
        <w:rPr>
          <w:rFonts w:ascii="Times New Roman" w:eastAsia="宋体" w:hAnsi="Times New Roman" w:cs="Times New Roman" w:hint="eastAsia"/>
          <w:szCs w:val="24"/>
        </w:rPr>
        <w:t>新增深圳雨</w:t>
      </w:r>
      <w:proofErr w:type="gramStart"/>
      <w:r w:rsidRPr="00E84DDB">
        <w:rPr>
          <w:rFonts w:ascii="Times New Roman" w:eastAsia="宋体" w:hAnsi="Times New Roman" w:cs="Times New Roman" w:hint="eastAsia"/>
          <w:szCs w:val="24"/>
        </w:rPr>
        <w:t>窝综合</w:t>
      </w:r>
      <w:proofErr w:type="gramEnd"/>
      <w:r w:rsidRPr="00E84DDB">
        <w:rPr>
          <w:rFonts w:ascii="Times New Roman" w:eastAsia="宋体" w:hAnsi="Times New Roman" w:cs="Times New Roman" w:hint="eastAsia"/>
          <w:szCs w:val="24"/>
        </w:rPr>
        <w:t>指数分布图展示功能</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根据自动站建站以来</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w:t>
      </w: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小时、日雨量极值和降水频次，计算各站雨</w:t>
      </w:r>
      <w:proofErr w:type="gramStart"/>
      <w:r w:rsidRPr="00E84DDB">
        <w:rPr>
          <w:rFonts w:ascii="Times New Roman" w:eastAsia="宋体" w:hAnsi="Times New Roman" w:cs="Times New Roman" w:hint="eastAsia"/>
          <w:szCs w:val="24"/>
        </w:rPr>
        <w:t>窝综合</w:t>
      </w:r>
      <w:proofErr w:type="gramEnd"/>
      <w:r w:rsidRPr="00E84DDB">
        <w:rPr>
          <w:rFonts w:ascii="Times New Roman" w:eastAsia="宋体" w:hAnsi="Times New Roman" w:cs="Times New Roman" w:hint="eastAsia"/>
          <w:szCs w:val="24"/>
        </w:rPr>
        <w:t>指数，绘制深圳雨</w:t>
      </w:r>
      <w:proofErr w:type="gramStart"/>
      <w:r w:rsidRPr="00E84DDB">
        <w:rPr>
          <w:rFonts w:ascii="Times New Roman" w:eastAsia="宋体" w:hAnsi="Times New Roman" w:cs="Times New Roman" w:hint="eastAsia"/>
          <w:szCs w:val="24"/>
        </w:rPr>
        <w:t>窝综合</w:t>
      </w:r>
      <w:proofErr w:type="gramEnd"/>
      <w:r w:rsidRPr="00E84DDB">
        <w:rPr>
          <w:rFonts w:ascii="Times New Roman" w:eastAsia="宋体" w:hAnsi="Times New Roman" w:cs="Times New Roman" w:hint="eastAsia"/>
          <w:szCs w:val="24"/>
        </w:rPr>
        <w:t>指数分布图并展示。</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7.</w:t>
      </w:r>
      <w:r w:rsidRPr="00E84DDB">
        <w:rPr>
          <w:rFonts w:ascii="Times New Roman" w:eastAsia="宋体" w:hAnsi="Times New Roman" w:cs="Times New Roman" w:hint="eastAsia"/>
          <w:szCs w:val="24"/>
        </w:rPr>
        <w:t>新增降雨与历史极值对比功能</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新增基于深圳及各区域、</w:t>
      </w:r>
      <w:proofErr w:type="gramStart"/>
      <w:r w:rsidRPr="00E84DDB">
        <w:rPr>
          <w:rFonts w:ascii="Times New Roman" w:eastAsia="宋体" w:hAnsi="Times New Roman" w:cs="Times New Roman" w:hint="eastAsia"/>
          <w:szCs w:val="24"/>
        </w:rPr>
        <w:t>各自动站今年</w:t>
      </w:r>
      <w:proofErr w:type="gramEnd"/>
      <w:r w:rsidRPr="00E84DDB">
        <w:rPr>
          <w:rFonts w:ascii="Times New Roman" w:eastAsia="宋体" w:hAnsi="Times New Roman" w:cs="Times New Roman" w:hint="eastAsia"/>
          <w:szCs w:val="24"/>
        </w:rPr>
        <w:t>以来或自定义时段最大滑动雨量与历史或自定义时段极值对比分析功能。</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8.</w:t>
      </w:r>
      <w:r w:rsidRPr="00E84DDB">
        <w:rPr>
          <w:rFonts w:ascii="Times New Roman" w:eastAsia="宋体" w:hAnsi="Times New Roman" w:cs="Times New Roman" w:hint="eastAsia"/>
          <w:szCs w:val="24"/>
        </w:rPr>
        <w:t>其它临时数据统计需求</w:t>
      </w:r>
    </w:p>
    <w:p w:rsidR="00E84DDB" w:rsidRPr="00E84DDB" w:rsidRDefault="00E84DDB" w:rsidP="00E84DDB">
      <w:pPr>
        <w:spacing w:line="360" w:lineRule="auto"/>
        <w:ind w:firstLineChars="200" w:firstLine="420"/>
        <w:rPr>
          <w:rFonts w:ascii="Times New Roman" w:eastAsia="宋体" w:hAnsi="Times New Roman" w:cs="Times New Roman"/>
          <w:szCs w:val="24"/>
          <w:lang w:val="en"/>
        </w:rPr>
      </w:pPr>
      <w:r w:rsidRPr="00E84DDB">
        <w:rPr>
          <w:rFonts w:ascii="Times New Roman" w:eastAsia="宋体" w:hAnsi="Times New Roman" w:cs="Times New Roman" w:hint="eastAsia"/>
          <w:szCs w:val="24"/>
        </w:rPr>
        <w:lastRenderedPageBreak/>
        <w:t>根据业务临时统计需求，及时响应进行数据统计。</w:t>
      </w:r>
    </w:p>
    <w:p w:rsidR="00E84DDB" w:rsidRPr="00E84DDB" w:rsidRDefault="00E84DDB" w:rsidP="00E84DDB">
      <w:pPr>
        <w:spacing w:line="360" w:lineRule="auto"/>
        <w:rPr>
          <w:rFonts w:ascii="Times New Roman" w:eastAsia="宋体" w:hAnsi="Times New Roman" w:cs="Times New Roman"/>
          <w:szCs w:val="24"/>
        </w:rPr>
      </w:pPr>
      <w:r w:rsidRPr="00E84DDB">
        <w:rPr>
          <w:rFonts w:ascii="Times New Roman" w:eastAsia="宋体" w:hAnsi="Times New Roman" w:cs="Times New Roman" w:hint="eastAsia"/>
          <w:szCs w:val="24"/>
        </w:rPr>
        <w:t>（三）功能迁移</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迁移“灾害性天气气候监测平台”上面的部分功能到“气候服务决策支持平台”上。</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强降水风险年景指数</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具体</w:t>
      </w:r>
      <w:proofErr w:type="gramStart"/>
      <w:r w:rsidRPr="00E84DDB">
        <w:rPr>
          <w:rFonts w:ascii="Times New Roman" w:eastAsia="宋体" w:hAnsi="Times New Roman" w:cs="Times New Roman" w:hint="eastAsia"/>
          <w:szCs w:val="24"/>
        </w:rPr>
        <w:t>含综合强</w:t>
      </w:r>
      <w:proofErr w:type="gramEnd"/>
      <w:r w:rsidRPr="00E84DDB">
        <w:rPr>
          <w:rFonts w:ascii="Times New Roman" w:eastAsia="宋体" w:hAnsi="Times New Roman" w:cs="Times New Roman" w:hint="eastAsia"/>
          <w:szCs w:val="24"/>
        </w:rPr>
        <w:t>降水风险年景指数和分项指标序列图。</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2.</w:t>
      </w:r>
      <w:r w:rsidRPr="00E84DDB">
        <w:rPr>
          <w:rFonts w:ascii="Times New Roman" w:eastAsia="宋体" w:hAnsi="Times New Roman" w:cs="Times New Roman" w:hint="eastAsia"/>
          <w:szCs w:val="24"/>
        </w:rPr>
        <w:t>强降水频次监测</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具体含滑动雨量半小时超</w:t>
      </w:r>
      <w:r w:rsidRPr="00E84DDB">
        <w:rPr>
          <w:rFonts w:ascii="Times New Roman" w:eastAsia="宋体" w:hAnsi="Times New Roman" w:cs="Times New Roman" w:hint="eastAsia"/>
          <w:szCs w:val="24"/>
        </w:rPr>
        <w:t>30mm</w:t>
      </w:r>
      <w:r w:rsidRPr="00E84DDB">
        <w:rPr>
          <w:rFonts w:ascii="Times New Roman" w:eastAsia="宋体" w:hAnsi="Times New Roman" w:cs="Times New Roman" w:hint="eastAsia"/>
          <w:szCs w:val="24"/>
        </w:rPr>
        <w:t>、</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小时超</w:t>
      </w:r>
      <w:r w:rsidRPr="00E84DDB">
        <w:rPr>
          <w:rFonts w:ascii="Times New Roman" w:eastAsia="宋体" w:hAnsi="Times New Roman" w:cs="Times New Roman" w:hint="eastAsia"/>
          <w:szCs w:val="24"/>
        </w:rPr>
        <w:t>20mm</w:t>
      </w:r>
      <w:r w:rsidRPr="00E84DDB">
        <w:rPr>
          <w:rFonts w:ascii="Times New Roman" w:eastAsia="宋体" w:hAnsi="Times New Roman" w:cs="Times New Roman" w:hint="eastAsia"/>
          <w:szCs w:val="24"/>
        </w:rPr>
        <w:t>、</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小时超</w:t>
      </w:r>
      <w:r w:rsidRPr="00E84DDB">
        <w:rPr>
          <w:rFonts w:ascii="Times New Roman" w:eastAsia="宋体" w:hAnsi="Times New Roman" w:cs="Times New Roman" w:hint="eastAsia"/>
          <w:szCs w:val="24"/>
        </w:rPr>
        <w:t>50mm</w:t>
      </w:r>
      <w:r w:rsidRPr="00E84DDB">
        <w:rPr>
          <w:rFonts w:ascii="Times New Roman" w:eastAsia="宋体" w:hAnsi="Times New Roman" w:cs="Times New Roman" w:hint="eastAsia"/>
          <w:szCs w:val="24"/>
        </w:rPr>
        <w:t>、</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小时超</w:t>
      </w:r>
      <w:r w:rsidRPr="00E84DDB">
        <w:rPr>
          <w:rFonts w:ascii="Times New Roman" w:eastAsia="宋体" w:hAnsi="Times New Roman" w:cs="Times New Roman" w:hint="eastAsia"/>
          <w:szCs w:val="24"/>
        </w:rPr>
        <w:t>100mm</w:t>
      </w:r>
      <w:r w:rsidRPr="00E84DDB">
        <w:rPr>
          <w:rFonts w:ascii="Times New Roman" w:eastAsia="宋体" w:hAnsi="Times New Roman" w:cs="Times New Roman" w:hint="eastAsia"/>
          <w:szCs w:val="24"/>
        </w:rPr>
        <w:t>和</w:t>
      </w: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小时超</w:t>
      </w:r>
      <w:r w:rsidRPr="00E84DDB">
        <w:rPr>
          <w:rFonts w:ascii="Times New Roman" w:eastAsia="宋体" w:hAnsi="Times New Roman" w:cs="Times New Roman" w:hint="eastAsia"/>
          <w:szCs w:val="24"/>
        </w:rPr>
        <w:t>100mm</w:t>
      </w:r>
      <w:r w:rsidRPr="00E84DDB">
        <w:rPr>
          <w:rFonts w:ascii="Times New Roman" w:eastAsia="宋体" w:hAnsi="Times New Roman" w:cs="Times New Roman" w:hint="eastAsia"/>
          <w:szCs w:val="24"/>
        </w:rPr>
        <w:t>降雨频次监测。</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大风监测</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具体含大风时长、大风级别统计、最大风和极大风统计。</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4.</w:t>
      </w:r>
      <w:r w:rsidRPr="00E84DDB">
        <w:rPr>
          <w:rFonts w:ascii="Times New Roman" w:eastAsia="宋体" w:hAnsi="Times New Roman" w:cs="Times New Roman" w:hint="eastAsia"/>
          <w:szCs w:val="24"/>
        </w:rPr>
        <w:t>灾害性天气现象监测</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具体含基本站灾害性天气现象监测，包括冰雹、龙卷和</w:t>
      </w:r>
      <w:proofErr w:type="gramStart"/>
      <w:r w:rsidRPr="00E84DDB">
        <w:rPr>
          <w:rFonts w:ascii="Times New Roman" w:eastAsia="宋体" w:hAnsi="Times New Roman" w:cs="Times New Roman" w:hint="eastAsia"/>
          <w:szCs w:val="24"/>
        </w:rPr>
        <w:t>飑</w:t>
      </w:r>
      <w:proofErr w:type="gramEnd"/>
      <w:r w:rsidRPr="00E84DDB">
        <w:rPr>
          <w:rFonts w:ascii="Times New Roman" w:eastAsia="宋体" w:hAnsi="Times New Roman" w:cs="Times New Roman" w:hint="eastAsia"/>
          <w:szCs w:val="24"/>
        </w:rPr>
        <w:t>；非基本站灾害性天气现象记录，包括冰雹和龙卷，以及天气现象出现时间、地点和文字描述。</w:t>
      </w:r>
    </w:p>
    <w:p w:rsidR="00E84DDB" w:rsidRPr="00E84DDB" w:rsidRDefault="00E84DDB" w:rsidP="00E84DDB">
      <w:pPr>
        <w:spacing w:line="360" w:lineRule="auto"/>
        <w:rPr>
          <w:rFonts w:ascii="宋体" w:eastAsia="宋体" w:hAnsi="宋体" w:cs="Times New Roman"/>
          <w:b/>
          <w:bCs/>
          <w:szCs w:val="21"/>
        </w:rPr>
      </w:pPr>
      <w:r w:rsidRPr="00E84DDB">
        <w:rPr>
          <w:rFonts w:ascii="宋体" w:eastAsia="宋体" w:hAnsi="宋体" w:cs="Times New Roman" w:hint="eastAsia"/>
          <w:b/>
          <w:bCs/>
          <w:szCs w:val="21"/>
        </w:rPr>
        <w:t>二、项目考核指标</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针对“气候服务决策支持平台”、“灾害性天气气候监测平台”，以及“欧洲中心</w:t>
      </w:r>
      <w:r w:rsidRPr="00E84DDB">
        <w:rPr>
          <w:rFonts w:ascii="Times New Roman" w:eastAsia="宋体" w:hAnsi="Times New Roman" w:cs="Times New Roman" w:hint="eastAsia"/>
          <w:szCs w:val="24"/>
        </w:rPr>
        <w:t>15</w:t>
      </w:r>
      <w:r w:rsidRPr="00E84DDB">
        <w:rPr>
          <w:rFonts w:ascii="Times New Roman" w:eastAsia="宋体" w:hAnsi="Times New Roman" w:cs="Times New Roman" w:hint="eastAsia"/>
          <w:szCs w:val="24"/>
        </w:rPr>
        <w:t>天集合预报产品”、“</w:t>
      </w:r>
      <w:r w:rsidRPr="00E84DDB">
        <w:rPr>
          <w:rFonts w:ascii="Times New Roman" w:eastAsia="宋体" w:hAnsi="Times New Roman" w:cs="Times New Roman" w:hint="eastAsia"/>
          <w:szCs w:val="24"/>
        </w:rPr>
        <w:t>32</w:t>
      </w:r>
      <w:r w:rsidRPr="00E84DDB">
        <w:rPr>
          <w:rFonts w:ascii="Times New Roman" w:eastAsia="宋体" w:hAnsi="Times New Roman" w:cs="Times New Roman" w:hint="eastAsia"/>
          <w:szCs w:val="24"/>
        </w:rPr>
        <w:t>天集合预报产品”等</w:t>
      </w:r>
      <w:r w:rsidRPr="00E84DDB">
        <w:rPr>
          <w:rFonts w:ascii="Times New Roman" w:eastAsia="宋体" w:hAnsi="Times New Roman" w:cs="Times New Roman" w:hint="eastAsia"/>
          <w:szCs w:val="24"/>
        </w:rPr>
        <w:t>4</w:t>
      </w:r>
      <w:r w:rsidRPr="00E84DDB">
        <w:rPr>
          <w:rFonts w:ascii="Times New Roman" w:eastAsia="宋体" w:hAnsi="Times New Roman" w:cs="Times New Roman" w:hint="eastAsia"/>
          <w:szCs w:val="24"/>
        </w:rPr>
        <w:t>个业务平台开展日常维护服务，至少每月开展</w:t>
      </w:r>
      <w:r w:rsidRPr="00E84DDB">
        <w:rPr>
          <w:rFonts w:ascii="Times New Roman" w:eastAsia="宋体" w:hAnsi="Times New Roman" w:cs="Times New Roman" w:hint="eastAsia"/>
          <w:szCs w:val="24"/>
        </w:rPr>
        <w:t>2</w:t>
      </w:r>
      <w:r w:rsidRPr="00E84DDB">
        <w:rPr>
          <w:rFonts w:ascii="Times New Roman" w:eastAsia="宋体" w:hAnsi="Times New Roman" w:cs="Times New Roman" w:hint="eastAsia"/>
          <w:szCs w:val="24"/>
        </w:rPr>
        <w:t>次巡检。</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2.</w:t>
      </w:r>
      <w:r w:rsidRPr="00E84DDB">
        <w:rPr>
          <w:rFonts w:ascii="Times New Roman" w:eastAsia="宋体" w:hAnsi="Times New Roman" w:cs="Times New Roman" w:hint="eastAsia"/>
          <w:szCs w:val="24"/>
        </w:rPr>
        <w:t>系统基本功能故障</w:t>
      </w:r>
      <w:r w:rsidRPr="00E84DDB">
        <w:rPr>
          <w:rFonts w:ascii="Times New Roman" w:eastAsia="宋体" w:hAnsi="Times New Roman" w:cs="Times New Roman" w:hint="eastAsia"/>
          <w:szCs w:val="24"/>
        </w:rPr>
        <w:t>1</w:t>
      </w:r>
      <w:r w:rsidRPr="00E84DDB">
        <w:rPr>
          <w:rFonts w:ascii="Times New Roman" w:eastAsia="宋体" w:hAnsi="Times New Roman" w:cs="Times New Roman" w:hint="eastAsia"/>
          <w:szCs w:val="24"/>
        </w:rPr>
        <w:t>小时内恢复，对于硬件或网络等导致的系统故障，及时提供数据查询服务等临时解决方案，并在设备故障修复后及时恢复，不出现因系统故障导致的业务事故或错情。</w:t>
      </w:r>
    </w:p>
    <w:p w:rsidR="00E84DDB" w:rsidRPr="00E84DDB" w:rsidRDefault="00E84DDB" w:rsidP="00E84DDB">
      <w:pPr>
        <w:spacing w:line="360" w:lineRule="auto"/>
        <w:ind w:firstLineChars="200" w:firstLine="420"/>
        <w:rPr>
          <w:rFonts w:ascii="Times New Roman" w:eastAsia="宋体" w:hAnsi="Times New Roman" w:cs="Times New Roman"/>
          <w:szCs w:val="24"/>
        </w:rPr>
      </w:pP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完成“气候服务决策支持平台”至少</w:t>
      </w:r>
      <w:r w:rsidRPr="00E84DDB">
        <w:rPr>
          <w:rFonts w:ascii="Times New Roman" w:eastAsia="宋体" w:hAnsi="Times New Roman" w:cs="Times New Roman" w:hint="eastAsia"/>
          <w:szCs w:val="24"/>
        </w:rPr>
        <w:t>3</w:t>
      </w:r>
      <w:r w:rsidRPr="00E84DDB">
        <w:rPr>
          <w:rFonts w:ascii="Times New Roman" w:eastAsia="宋体" w:hAnsi="Times New Roman" w:cs="Times New Roman" w:hint="eastAsia"/>
          <w:szCs w:val="24"/>
        </w:rPr>
        <w:t>个功能升级和</w:t>
      </w:r>
      <w:r w:rsidRPr="00E84DDB">
        <w:rPr>
          <w:rFonts w:ascii="Times New Roman" w:eastAsia="宋体" w:hAnsi="Times New Roman" w:cs="Times New Roman" w:hint="eastAsia"/>
          <w:szCs w:val="24"/>
        </w:rPr>
        <w:t xml:space="preserve"> 4</w:t>
      </w:r>
      <w:r w:rsidRPr="00E84DDB">
        <w:rPr>
          <w:rFonts w:ascii="Times New Roman" w:eastAsia="宋体" w:hAnsi="Times New Roman" w:cs="Times New Roman" w:hint="eastAsia"/>
          <w:szCs w:val="24"/>
        </w:rPr>
        <w:t>个新增需求功能开发。</w:t>
      </w:r>
    </w:p>
    <w:p w:rsidR="00E84DDB" w:rsidRPr="00E84DDB" w:rsidRDefault="00E84DDB" w:rsidP="00E84DDB">
      <w:pPr>
        <w:spacing w:line="360" w:lineRule="auto"/>
        <w:ind w:firstLineChars="200" w:firstLine="420"/>
        <w:rPr>
          <w:rFonts w:ascii="新宋体" w:eastAsia="新宋体" w:hAnsi="新宋体" w:cs="Times New Roman"/>
          <w:b/>
          <w:szCs w:val="24"/>
        </w:rPr>
      </w:pPr>
      <w:r w:rsidRPr="00E84DDB">
        <w:rPr>
          <w:rFonts w:ascii="Times New Roman" w:eastAsia="宋体" w:hAnsi="Times New Roman" w:cs="Times New Roman" w:hint="eastAsia"/>
          <w:szCs w:val="24"/>
        </w:rPr>
        <w:t>4.</w:t>
      </w:r>
      <w:r w:rsidRPr="00E84DDB">
        <w:rPr>
          <w:rFonts w:ascii="Times New Roman" w:eastAsia="宋体" w:hAnsi="Times New Roman" w:cs="Times New Roman" w:hint="eastAsia"/>
          <w:szCs w:val="24"/>
        </w:rPr>
        <w:t>完成“灾害性天气气候监测平台”至少</w:t>
      </w:r>
      <w:r w:rsidRPr="00E84DDB">
        <w:rPr>
          <w:rFonts w:ascii="Times New Roman" w:eastAsia="宋体" w:hAnsi="Times New Roman" w:cs="Times New Roman" w:hint="eastAsia"/>
          <w:szCs w:val="24"/>
        </w:rPr>
        <w:t>4</w:t>
      </w:r>
      <w:r w:rsidRPr="00E84DDB">
        <w:rPr>
          <w:rFonts w:ascii="Times New Roman" w:eastAsia="宋体" w:hAnsi="Times New Roman" w:cs="Times New Roman" w:hint="eastAsia"/>
          <w:szCs w:val="24"/>
        </w:rPr>
        <w:t>个功能迁移，满足业务使用需求。</w:t>
      </w:r>
    </w:p>
    <w:p w:rsidR="00E84DDB" w:rsidRPr="00E84DDB" w:rsidRDefault="00E84DDB" w:rsidP="00E84DDB">
      <w:pPr>
        <w:rPr>
          <w:rFonts w:ascii="新宋体" w:eastAsia="新宋体" w:hAnsi="新宋体" w:cs="Times New Roman"/>
          <w:b/>
          <w:szCs w:val="24"/>
        </w:rPr>
      </w:pPr>
    </w:p>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r w:rsidRPr="00E84DDB">
        <w:rPr>
          <w:rFonts w:ascii="新宋体" w:eastAsia="新宋体" w:hAnsi="新宋体" w:cs="Times New Roman" w:hint="eastAsia"/>
          <w:b/>
          <w:bCs/>
          <w:kern w:val="44"/>
          <w:sz w:val="28"/>
          <w:szCs w:val="28"/>
        </w:rPr>
        <w:t>五、项目商务要求</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（一）报价要求</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w:t>
      </w:r>
      <w:r w:rsidRPr="00E84DDB">
        <w:rPr>
          <w:rFonts w:ascii="新宋体" w:eastAsia="新宋体" w:hAnsi="新宋体" w:cs="宋体" w:hint="eastAsia"/>
          <w:szCs w:val="21"/>
        </w:rPr>
        <w:lastRenderedPageBreak/>
        <w:t>要时提交相关证明材料；投标人不能证明其报价合理性的，评标委员会应当将其作为无效投标处理。</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E84DDB">
        <w:rPr>
          <w:rFonts w:ascii="新宋体" w:eastAsia="新宋体" w:hAnsi="新宋体" w:cs="宋体" w:hint="eastAsia"/>
          <w:szCs w:val="21"/>
        </w:rPr>
        <w:t>中项目</w:t>
      </w:r>
      <w:proofErr w:type="gramEnd"/>
      <w:r w:rsidRPr="00E84DDB">
        <w:rPr>
          <w:rFonts w:ascii="新宋体" w:eastAsia="新宋体" w:hAnsi="新宋体" w:cs="宋体" w:hint="eastAsia"/>
          <w:szCs w:val="21"/>
        </w:rPr>
        <w:t>和数量填报综合单价或总价。投标人未</w:t>
      </w:r>
      <w:proofErr w:type="gramStart"/>
      <w:r w:rsidRPr="00E84DDB">
        <w:rPr>
          <w:rFonts w:ascii="新宋体" w:eastAsia="新宋体" w:hAnsi="新宋体" w:cs="宋体" w:hint="eastAsia"/>
          <w:szCs w:val="21"/>
        </w:rPr>
        <w:t>填综合</w:t>
      </w:r>
      <w:proofErr w:type="gramEnd"/>
      <w:r w:rsidRPr="00E84DDB">
        <w:rPr>
          <w:rFonts w:ascii="新宋体" w:eastAsia="新宋体" w:hAnsi="新宋体" w:cs="宋体" w:hint="eastAsia"/>
          <w:szCs w:val="21"/>
        </w:rPr>
        <w:t>单价或总价的项目，在实施后，将不得以支付，并视作该项费用已包括在其它有价款的综合单价或总价内。</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（二）支付要求</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分三期支付项目经费，合同签订后2周内支付首期款（中标金额50%）；按要求做好各系统的日常保障和定期巡检，并完成2个功能升级和 1个新增需求功能开发，支付二期款（中标金额30%）；项目验收后，支付尾款（中标金额20%）。</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按深圳市财政部门有关规定支付，因政府资金计划未到位而导致支付进度延迟的，采购人不承担相关违约责任。如果合同规定的违约金和/或损害赔偿金应由中标人支付，采购人有权从应支付给中标人的款项中扣除。对于满足合同约定支付条件的，采购人应当自收到发票后15日内完成资金支付，不得将采购文件和合同中未规定的义务作为向供应商付款的条件。</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（三）合同服务期限</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1、项目服务期限：本项目服务期自合同签订之日起至2024年11月30日。</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（四）保密要求</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w:t>
      </w:r>
      <w:r w:rsidRPr="00E84DDB">
        <w:rPr>
          <w:rFonts w:ascii="新宋体" w:eastAsia="新宋体" w:hAnsi="新宋体" w:cs="宋体" w:hint="eastAsia"/>
          <w:szCs w:val="21"/>
        </w:rPr>
        <w:lastRenderedPageBreak/>
        <w:t>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（五）违约责任</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（六）现场踏勘</w:t>
      </w:r>
    </w:p>
    <w:p w:rsidR="00E84DDB" w:rsidRPr="00E84DDB" w:rsidRDefault="00E84DDB" w:rsidP="00E84DDB">
      <w:pPr>
        <w:spacing w:line="360" w:lineRule="auto"/>
        <w:ind w:firstLineChars="200" w:firstLine="420"/>
        <w:rPr>
          <w:rFonts w:ascii="新宋体" w:eastAsia="新宋体" w:hAnsi="新宋体" w:cs="宋体"/>
          <w:szCs w:val="21"/>
        </w:rPr>
      </w:pPr>
      <w:r w:rsidRPr="00E84DDB">
        <w:rPr>
          <w:rFonts w:ascii="新宋体" w:eastAsia="新宋体" w:hAnsi="新宋体" w:cs="宋体" w:hint="eastAsia"/>
          <w:szCs w:val="21"/>
        </w:rPr>
        <w:t>本项目不统一组织踏勘，投标人可自行前往。</w:t>
      </w:r>
    </w:p>
    <w:p w:rsidR="00E84DDB" w:rsidRPr="00E84DDB" w:rsidRDefault="00E84DDB" w:rsidP="00E84DDB">
      <w:pPr>
        <w:keepNext/>
        <w:keepLines/>
        <w:spacing w:before="260" w:after="260"/>
        <w:outlineLvl w:val="2"/>
        <w:rPr>
          <w:rFonts w:ascii="新宋体" w:eastAsia="新宋体" w:hAnsi="新宋体" w:cs="Times New Roman"/>
          <w:b/>
          <w:bCs/>
          <w:kern w:val="44"/>
          <w:sz w:val="28"/>
          <w:szCs w:val="28"/>
        </w:rPr>
      </w:pPr>
      <w:r w:rsidRPr="00E84DDB">
        <w:rPr>
          <w:rFonts w:ascii="新宋体" w:eastAsia="新宋体" w:hAnsi="新宋体" w:cs="Times New Roman" w:hint="eastAsia"/>
          <w:b/>
          <w:bCs/>
          <w:kern w:val="44"/>
          <w:sz w:val="28"/>
          <w:szCs w:val="28"/>
        </w:rPr>
        <w:t>六、投标报价</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E84DDB">
        <w:rPr>
          <w:rFonts w:ascii="新宋体" w:eastAsia="新宋体" w:hAnsi="新宋体" w:cs="宋体" w:hint="eastAsia"/>
          <w:szCs w:val="21"/>
        </w:rPr>
        <w:t>签定</w:t>
      </w:r>
      <w:proofErr w:type="gramEnd"/>
      <w:r w:rsidRPr="00E84DDB">
        <w:rPr>
          <w:rFonts w:ascii="新宋体" w:eastAsia="新宋体" w:hAnsi="新宋体" w:cs="宋体" w:hint="eastAsia"/>
          <w:szCs w:val="21"/>
        </w:rPr>
        <w:t>的合同金额，合同期限内不做调整。</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t>3.投标人的投标报价，应是本项目招标范围和招标文件及合同条款上所列的</w:t>
      </w:r>
      <w:bookmarkStart w:id="2" w:name="_GoBack"/>
      <w:bookmarkEnd w:id="2"/>
      <w:r w:rsidRPr="00E84DDB">
        <w:rPr>
          <w:rFonts w:ascii="新宋体" w:eastAsia="新宋体" w:hAnsi="新宋体" w:cs="宋体" w:hint="eastAsia"/>
          <w:szCs w:val="21"/>
        </w:rPr>
        <w:t>各项内容中所述的全部，不得以任何理由予以重复，并以投标人在投标文件中提出的综合单价或总价为依据。</w:t>
      </w:r>
    </w:p>
    <w:p w:rsidR="00E84DDB" w:rsidRPr="00E84DDB" w:rsidRDefault="00E84DDB" w:rsidP="00E84DDB">
      <w:pPr>
        <w:spacing w:line="360" w:lineRule="auto"/>
        <w:rPr>
          <w:rFonts w:ascii="新宋体" w:eastAsia="新宋体" w:hAnsi="新宋体" w:cs="宋体"/>
          <w:szCs w:val="21"/>
        </w:rPr>
      </w:pPr>
      <w:r w:rsidRPr="00E84DDB">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E84DDB">
        <w:rPr>
          <w:rFonts w:ascii="新宋体" w:eastAsia="新宋体" w:hAnsi="新宋体" w:cs="宋体" w:hint="eastAsia"/>
          <w:szCs w:val="21"/>
        </w:rPr>
        <w:t>中项目</w:t>
      </w:r>
      <w:proofErr w:type="gramEnd"/>
      <w:r w:rsidRPr="00E84DDB">
        <w:rPr>
          <w:rFonts w:ascii="新宋体" w:eastAsia="新宋体" w:hAnsi="新宋体" w:cs="宋体" w:hint="eastAsia"/>
          <w:szCs w:val="21"/>
        </w:rPr>
        <w:t>和数量填报综合单价或总价。投标人未</w:t>
      </w:r>
      <w:proofErr w:type="gramStart"/>
      <w:r w:rsidRPr="00E84DDB">
        <w:rPr>
          <w:rFonts w:ascii="新宋体" w:eastAsia="新宋体" w:hAnsi="新宋体" w:cs="宋体" w:hint="eastAsia"/>
          <w:szCs w:val="21"/>
        </w:rPr>
        <w:t>填综合</w:t>
      </w:r>
      <w:proofErr w:type="gramEnd"/>
      <w:r w:rsidRPr="00E84DDB">
        <w:rPr>
          <w:rFonts w:ascii="新宋体" w:eastAsia="新宋体" w:hAnsi="新宋体" w:cs="宋体" w:hint="eastAsia"/>
          <w:szCs w:val="21"/>
        </w:rPr>
        <w:t>单价或总价的项目，在实施后，将不得以支付，并视作该项费用已包括在其它有价款的综合单价或总价内。</w:t>
      </w:r>
    </w:p>
    <w:p w:rsidR="00E84DDB" w:rsidRPr="00E84DDB" w:rsidRDefault="00E84DDB" w:rsidP="00E55E97">
      <w:pPr>
        <w:spacing w:line="360" w:lineRule="auto"/>
        <w:rPr>
          <w:rFonts w:ascii="新宋体" w:eastAsia="新宋体" w:hAnsi="新宋体" w:cs="宋体"/>
          <w:szCs w:val="21"/>
        </w:rPr>
      </w:pPr>
      <w:r w:rsidRPr="00E84DDB">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2624E" w:rsidRDefault="00E84DDB" w:rsidP="00E55E97">
      <w:pPr>
        <w:spacing w:line="360" w:lineRule="auto"/>
      </w:pPr>
      <w:r w:rsidRPr="00E84DDB">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4262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DDB" w:rsidRDefault="00E84DDB" w:rsidP="00E84DDB">
      <w:r>
        <w:separator/>
      </w:r>
    </w:p>
  </w:endnote>
  <w:endnote w:type="continuationSeparator" w:id="0">
    <w:p w:rsidR="00E84DDB" w:rsidRDefault="00E84DDB" w:rsidP="00E8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DDB" w:rsidRDefault="00E84DDB" w:rsidP="00E84DDB">
      <w:r>
        <w:separator/>
      </w:r>
    </w:p>
  </w:footnote>
  <w:footnote w:type="continuationSeparator" w:id="0">
    <w:p w:rsidR="00E84DDB" w:rsidRDefault="00E84DDB" w:rsidP="00E84D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29F"/>
    <w:rsid w:val="0042624E"/>
    <w:rsid w:val="00A6229F"/>
    <w:rsid w:val="00E55E97"/>
    <w:rsid w:val="00E84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4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4DDB"/>
    <w:rPr>
      <w:sz w:val="18"/>
      <w:szCs w:val="18"/>
    </w:rPr>
  </w:style>
  <w:style w:type="paragraph" w:styleId="a4">
    <w:name w:val="footer"/>
    <w:basedOn w:val="a"/>
    <w:link w:val="Char0"/>
    <w:uiPriority w:val="99"/>
    <w:unhideWhenUsed/>
    <w:rsid w:val="00E84DDB"/>
    <w:pPr>
      <w:tabs>
        <w:tab w:val="center" w:pos="4153"/>
        <w:tab w:val="right" w:pos="8306"/>
      </w:tabs>
      <w:snapToGrid w:val="0"/>
      <w:jc w:val="left"/>
    </w:pPr>
    <w:rPr>
      <w:sz w:val="18"/>
      <w:szCs w:val="18"/>
    </w:rPr>
  </w:style>
  <w:style w:type="character" w:customStyle="1" w:styleId="Char0">
    <w:name w:val="页脚 Char"/>
    <w:basedOn w:val="a0"/>
    <w:link w:val="a4"/>
    <w:uiPriority w:val="99"/>
    <w:rsid w:val="00E84D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4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4DDB"/>
    <w:rPr>
      <w:sz w:val="18"/>
      <w:szCs w:val="18"/>
    </w:rPr>
  </w:style>
  <w:style w:type="paragraph" w:styleId="a4">
    <w:name w:val="footer"/>
    <w:basedOn w:val="a"/>
    <w:link w:val="Char0"/>
    <w:uiPriority w:val="99"/>
    <w:unhideWhenUsed/>
    <w:rsid w:val="00E84DDB"/>
    <w:pPr>
      <w:tabs>
        <w:tab w:val="center" w:pos="4153"/>
        <w:tab w:val="right" w:pos="8306"/>
      </w:tabs>
      <w:snapToGrid w:val="0"/>
      <w:jc w:val="left"/>
    </w:pPr>
    <w:rPr>
      <w:sz w:val="18"/>
      <w:szCs w:val="18"/>
    </w:rPr>
  </w:style>
  <w:style w:type="character" w:customStyle="1" w:styleId="Char0">
    <w:name w:val="页脚 Char"/>
    <w:basedOn w:val="a0"/>
    <w:link w:val="a4"/>
    <w:uiPriority w:val="99"/>
    <w:rsid w:val="00E84D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2024-01-04T02:02:00Z</dcterms:created>
  <dcterms:modified xsi:type="dcterms:W3CDTF">2024-01-04T02:03:00Z</dcterms:modified>
</cp:coreProperties>
</file>