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新宋体" w:hAnsi="新宋体" w:eastAsia="新宋体"/>
          <w:kern w:val="44"/>
          <w:sz w:val="30"/>
          <w:szCs w:val="30"/>
        </w:rPr>
      </w:pPr>
      <w:r>
        <w:rPr>
          <w:rFonts w:hint="eastAsia" w:ascii="新宋体" w:hAnsi="新宋体" w:eastAsia="新宋体"/>
          <w:kern w:val="44"/>
          <w:sz w:val="30"/>
          <w:szCs w:val="30"/>
        </w:rPr>
        <w:t>第二章  招标项目需求</w:t>
      </w:r>
    </w:p>
    <w:p>
      <w:pPr>
        <w:pStyle w:val="4"/>
        <w:rPr>
          <w:rFonts w:ascii="新宋体" w:hAnsi="新宋体" w:eastAsia="新宋体"/>
          <w:kern w:val="44"/>
          <w:szCs w:val="28"/>
        </w:rPr>
      </w:pPr>
      <w:r>
        <w:rPr>
          <w:rFonts w:hint="eastAsia" w:ascii="新宋体" w:hAnsi="新宋体" w:eastAsia="新宋体"/>
          <w:kern w:val="44"/>
          <w:szCs w:val="28"/>
        </w:rPr>
        <w:t>一、对通用条款的补充内容</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1889"/>
        <w:gridCol w:w="5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b/>
                <w:bCs/>
              </w:rPr>
            </w:pPr>
            <w:r>
              <w:rPr>
                <w:rFonts w:hint="eastAsia" w:ascii="新宋体" w:hAnsi="新宋体" w:eastAsia="新宋体"/>
                <w:b/>
                <w:bCs/>
              </w:rPr>
              <w:t>序号</w:t>
            </w:r>
          </w:p>
        </w:tc>
        <w:tc>
          <w:tcPr>
            <w:tcW w:w="2012" w:type="dxa"/>
            <w:vAlign w:val="center"/>
          </w:tcPr>
          <w:p>
            <w:pPr>
              <w:spacing w:line="276" w:lineRule="auto"/>
              <w:jc w:val="center"/>
              <w:rPr>
                <w:rFonts w:ascii="新宋体" w:hAnsi="新宋体" w:eastAsia="新宋体"/>
                <w:b/>
                <w:bCs/>
              </w:rPr>
            </w:pPr>
            <w:r>
              <w:rPr>
                <w:rFonts w:hint="eastAsia" w:ascii="新宋体" w:hAnsi="新宋体" w:eastAsia="新宋体"/>
                <w:b/>
                <w:bCs/>
              </w:rPr>
              <w:t>内   容</w:t>
            </w:r>
          </w:p>
        </w:tc>
        <w:tc>
          <w:tcPr>
            <w:tcW w:w="6239" w:type="dxa"/>
            <w:vAlign w:val="center"/>
          </w:tcPr>
          <w:p>
            <w:pPr>
              <w:spacing w:line="276" w:lineRule="auto"/>
              <w:jc w:val="center"/>
              <w:rPr>
                <w:rFonts w:ascii="新宋体" w:hAnsi="新宋体" w:eastAsia="新宋体"/>
                <w:b/>
                <w:bCs/>
              </w:rPr>
            </w:pPr>
            <w:r>
              <w:rPr>
                <w:rFonts w:hint="eastAsia" w:ascii="新宋体" w:hAnsi="新宋体" w:eastAsia="新宋体"/>
                <w:b/>
                <w:bCs/>
              </w:rPr>
              <w:t>规      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1</w:t>
            </w:r>
          </w:p>
        </w:tc>
        <w:tc>
          <w:tcPr>
            <w:tcW w:w="2012" w:type="dxa"/>
            <w:vAlign w:val="center"/>
          </w:tcPr>
          <w:p>
            <w:pPr>
              <w:spacing w:line="276" w:lineRule="auto"/>
              <w:rPr>
                <w:rFonts w:ascii="新宋体" w:hAnsi="新宋体" w:eastAsia="新宋体"/>
              </w:rPr>
            </w:pPr>
            <w:r>
              <w:rPr>
                <w:rFonts w:hint="eastAsia" w:ascii="新宋体" w:hAnsi="新宋体" w:eastAsia="新宋体"/>
              </w:rPr>
              <w:t>联合体投标</w:t>
            </w:r>
          </w:p>
        </w:tc>
        <w:tc>
          <w:tcPr>
            <w:tcW w:w="6239" w:type="dxa"/>
            <w:vAlign w:val="center"/>
          </w:tcPr>
          <w:p>
            <w:pPr>
              <w:spacing w:line="276" w:lineRule="auto"/>
              <w:rPr>
                <w:rFonts w:ascii="新宋体" w:hAnsi="新宋体" w:eastAsia="新宋体"/>
                <w:snapToGrid w:val="0"/>
                <w:kern w:val="0"/>
                <w:szCs w:val="32"/>
                <w:u w:val="single"/>
                <w:lang w:val="zh-CN"/>
              </w:rPr>
            </w:pPr>
            <w:r>
              <w:rPr>
                <w:rFonts w:hint="eastAsia" w:ascii="新宋体" w:hAnsi="新宋体" w:eastAsia="新宋体"/>
                <w:snapToGrid w:val="0"/>
                <w:kern w:val="0"/>
                <w:szCs w:val="32"/>
                <w:u w:val="single"/>
                <w:lang w:val="zh-CN"/>
              </w:rPr>
              <w:t>见《招标公告》中“投标人资格要求”部分的相关内容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2</w:t>
            </w:r>
          </w:p>
        </w:tc>
        <w:tc>
          <w:tcPr>
            <w:tcW w:w="2012" w:type="dxa"/>
            <w:vAlign w:val="center"/>
          </w:tcPr>
          <w:p>
            <w:pPr>
              <w:spacing w:line="276" w:lineRule="auto"/>
              <w:rPr>
                <w:rFonts w:ascii="新宋体" w:hAnsi="新宋体" w:eastAsia="新宋体"/>
              </w:rPr>
            </w:pPr>
            <w:r>
              <w:rPr>
                <w:rFonts w:hint="eastAsia" w:ascii="新宋体" w:hAnsi="新宋体" w:eastAsia="新宋体"/>
              </w:rPr>
              <w:t>投标有效期</w:t>
            </w:r>
          </w:p>
        </w:tc>
        <w:tc>
          <w:tcPr>
            <w:tcW w:w="6239" w:type="dxa"/>
            <w:vAlign w:val="center"/>
          </w:tcPr>
          <w:p>
            <w:pPr>
              <w:spacing w:line="276" w:lineRule="auto"/>
              <w:rPr>
                <w:rFonts w:ascii="新宋体" w:hAnsi="新宋体" w:eastAsia="新宋体"/>
              </w:rPr>
            </w:pPr>
            <w:r>
              <w:rPr>
                <w:rFonts w:hint="eastAsia" w:ascii="新宋体" w:hAnsi="新宋体" w:eastAsia="新宋体"/>
                <w:u w:val="single"/>
              </w:rPr>
              <w:t>120</w:t>
            </w:r>
            <w:r>
              <w:rPr>
                <w:rFonts w:ascii="新宋体" w:hAnsi="新宋体" w:eastAsia="新宋体"/>
                <w:u w:val="single"/>
              </w:rPr>
              <w:t>日历天</w:t>
            </w:r>
            <w:r>
              <w:rPr>
                <w:rFonts w:ascii="新宋体" w:hAnsi="新宋体" w:eastAsia="新宋体"/>
              </w:rPr>
              <w:t>（从投标截止之日算起）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3</w:t>
            </w:r>
          </w:p>
        </w:tc>
        <w:tc>
          <w:tcPr>
            <w:tcW w:w="2012" w:type="dxa"/>
            <w:vAlign w:val="center"/>
          </w:tcPr>
          <w:p>
            <w:pPr>
              <w:spacing w:line="276" w:lineRule="auto"/>
              <w:rPr>
                <w:rFonts w:ascii="新宋体" w:hAnsi="新宋体" w:eastAsia="新宋体"/>
              </w:rPr>
            </w:pPr>
            <w:r>
              <w:rPr>
                <w:rFonts w:hint="eastAsia" w:ascii="新宋体" w:hAnsi="新宋体" w:eastAsia="新宋体"/>
              </w:rPr>
              <w:t>投标人的替代方案</w:t>
            </w:r>
          </w:p>
        </w:tc>
        <w:tc>
          <w:tcPr>
            <w:tcW w:w="6239" w:type="dxa"/>
            <w:vAlign w:val="center"/>
          </w:tcPr>
          <w:p>
            <w:pPr>
              <w:spacing w:line="276" w:lineRule="auto"/>
              <w:rPr>
                <w:rFonts w:ascii="新宋体" w:hAnsi="新宋体" w:eastAsia="新宋体"/>
              </w:rPr>
            </w:pPr>
            <w:r>
              <w:rPr>
                <w:rFonts w:hint="eastAsia" w:ascii="新宋体" w:hAnsi="新宋体" w:eastAsia="新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4</w:t>
            </w:r>
          </w:p>
        </w:tc>
        <w:tc>
          <w:tcPr>
            <w:tcW w:w="2012" w:type="dxa"/>
            <w:vAlign w:val="center"/>
          </w:tcPr>
          <w:p>
            <w:pPr>
              <w:spacing w:line="276" w:lineRule="auto"/>
              <w:rPr>
                <w:rFonts w:ascii="新宋体" w:hAnsi="新宋体" w:eastAsia="新宋体"/>
                <w:color w:val="auto"/>
              </w:rPr>
            </w:pPr>
            <w:r>
              <w:rPr>
                <w:rFonts w:hint="eastAsia" w:ascii="新宋体" w:hAnsi="新宋体" w:eastAsia="新宋体"/>
                <w:color w:val="auto"/>
              </w:rPr>
              <w:t>投标文件的投递</w:t>
            </w:r>
          </w:p>
        </w:tc>
        <w:tc>
          <w:tcPr>
            <w:tcW w:w="6239" w:type="dxa"/>
            <w:vAlign w:val="center"/>
          </w:tcPr>
          <w:p>
            <w:pPr>
              <w:spacing w:line="276" w:lineRule="auto"/>
              <w:rPr>
                <w:rFonts w:ascii="新宋体" w:hAnsi="新宋体" w:eastAsia="新宋体"/>
                <w:color w:val="auto"/>
              </w:rPr>
            </w:pPr>
            <w:r>
              <w:rPr>
                <w:rFonts w:hint="eastAsia" w:ascii="新宋体" w:hAnsi="新宋体" w:eastAsia="新宋体"/>
                <w:snapToGrid w:val="0"/>
                <w:color w:val="auto"/>
                <w:szCs w:val="21"/>
                <w:lang w:val="zh-CN"/>
              </w:rPr>
              <w:t>本项目实行</w:t>
            </w:r>
            <w:bookmarkStart w:id="0" w:name="投递标书方式"/>
            <w:r>
              <w:rPr>
                <w:rFonts w:hint="eastAsia" w:ascii="新宋体" w:hAnsi="新宋体" w:eastAsia="新宋体"/>
                <w:snapToGrid w:val="0"/>
                <w:color w:val="auto"/>
                <w:szCs w:val="21"/>
                <w:u w:val="single"/>
                <w:lang w:val="zh-CN"/>
              </w:rPr>
              <w:t>网下投标</w:t>
            </w:r>
            <w:bookmarkEnd w:id="0"/>
            <w:r>
              <w:rPr>
                <w:rFonts w:hint="eastAsia" w:ascii="新宋体" w:hAnsi="新宋体" w:eastAsia="新宋体"/>
                <w:snapToGrid w:val="0"/>
                <w:color w:val="auto"/>
                <w:szCs w:val="21"/>
                <w:lang w:val="zh-CN"/>
              </w:rPr>
              <w:t>，按照招标文件的要求提交纸质文件正本1份，副本4份，电子文件1份（WORD和PDF格式电子文档各1份）电子文档要求U盘，PDF格式有签字盖章，不留密码，无病毒，不压缩，密封提交，所有</w:t>
            </w:r>
            <w:r>
              <w:rPr>
                <w:rFonts w:hint="eastAsia" w:ascii="新宋体" w:hAnsi="新宋体" w:eastAsia="新宋体" w:cs="宋体"/>
                <w:snapToGrid w:val="0"/>
                <w:color w:val="auto"/>
                <w:szCs w:val="21"/>
                <w:lang w:val="zh-CN"/>
              </w:rPr>
              <w:t>应答文件</w:t>
            </w:r>
            <w:r>
              <w:rPr>
                <w:rFonts w:ascii="新宋体" w:hAnsi="新宋体" w:eastAsia="新宋体"/>
                <w:snapToGrid w:val="0"/>
                <w:color w:val="auto"/>
                <w:szCs w:val="21"/>
                <w:lang w:val="zh-CN"/>
              </w:rPr>
              <w:t>应于</w:t>
            </w:r>
            <w:r>
              <w:rPr>
                <w:rFonts w:hint="eastAsia" w:ascii="新宋体" w:hAnsi="新宋体" w:eastAsia="新宋体"/>
                <w:snapToGrid w:val="0"/>
                <w:color w:val="auto"/>
                <w:szCs w:val="21"/>
                <w:lang w:val="zh-CN"/>
              </w:rPr>
              <w:t>递交截止时间</w:t>
            </w:r>
            <w:r>
              <w:rPr>
                <w:rFonts w:ascii="新宋体" w:hAnsi="新宋体" w:eastAsia="新宋体"/>
                <w:snapToGrid w:val="0"/>
                <w:color w:val="auto"/>
                <w:szCs w:val="21"/>
                <w:lang w:val="zh-CN"/>
              </w:rPr>
              <w:t>之前</w:t>
            </w:r>
            <w:r>
              <w:rPr>
                <w:rFonts w:hint="eastAsia" w:ascii="新宋体" w:hAnsi="新宋体" w:eastAsia="新宋体"/>
                <w:snapToGrid w:val="0"/>
                <w:color w:val="auto"/>
                <w:szCs w:val="21"/>
                <w:lang w:val="zh-CN"/>
              </w:rPr>
              <w:t>送达招标文件规定的地址</w:t>
            </w:r>
            <w:r>
              <w:rPr>
                <w:rFonts w:ascii="新宋体" w:hAnsi="新宋体" w:eastAsia="新宋体"/>
                <w:snapToGrid w:val="0"/>
                <w:color w:val="auto"/>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5</w:t>
            </w:r>
          </w:p>
        </w:tc>
        <w:tc>
          <w:tcPr>
            <w:tcW w:w="2012" w:type="dxa"/>
            <w:vAlign w:val="center"/>
          </w:tcPr>
          <w:p>
            <w:pPr>
              <w:spacing w:line="276" w:lineRule="auto"/>
              <w:rPr>
                <w:rFonts w:ascii="新宋体" w:hAnsi="新宋体" w:eastAsia="新宋体"/>
              </w:rPr>
            </w:pPr>
            <w:r>
              <w:rPr>
                <w:rFonts w:hint="eastAsia" w:ascii="新宋体" w:hAnsi="新宋体" w:eastAsia="新宋体"/>
              </w:rPr>
              <w:t>履约保证金</w:t>
            </w:r>
          </w:p>
        </w:tc>
        <w:tc>
          <w:tcPr>
            <w:tcW w:w="6239" w:type="dxa"/>
            <w:vAlign w:val="center"/>
          </w:tcPr>
          <w:p>
            <w:pPr>
              <w:spacing w:line="276" w:lineRule="auto"/>
              <w:rPr>
                <w:rFonts w:ascii="新宋体" w:hAnsi="新宋体" w:eastAsia="新宋体"/>
              </w:rPr>
            </w:pPr>
            <w:r>
              <w:rPr>
                <w:rFonts w:hint="eastAsia" w:ascii="新宋体" w:hAnsi="新宋体" w:eastAsia="新宋体"/>
              </w:rPr>
              <w:t>_____万元或合同金额的_____%，缴纳方式：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827" w:type="dxa"/>
            <w:vAlign w:val="center"/>
          </w:tcPr>
          <w:p>
            <w:pPr>
              <w:spacing w:line="276" w:lineRule="auto"/>
              <w:jc w:val="center"/>
              <w:rPr>
                <w:rFonts w:ascii="新宋体" w:hAnsi="新宋体" w:eastAsia="新宋体"/>
              </w:rPr>
            </w:pPr>
            <w:r>
              <w:rPr>
                <w:rFonts w:hint="eastAsia" w:ascii="新宋体" w:hAnsi="新宋体" w:eastAsia="新宋体"/>
              </w:rPr>
              <w:t>6</w:t>
            </w:r>
          </w:p>
        </w:tc>
        <w:tc>
          <w:tcPr>
            <w:tcW w:w="2012" w:type="dxa"/>
            <w:vAlign w:val="center"/>
          </w:tcPr>
          <w:p>
            <w:pPr>
              <w:spacing w:line="276" w:lineRule="auto"/>
              <w:rPr>
                <w:rFonts w:ascii="新宋体" w:hAnsi="新宋体" w:eastAsia="新宋体"/>
              </w:rPr>
            </w:pPr>
            <w:r>
              <w:rPr>
                <w:rFonts w:hint="eastAsia" w:ascii="新宋体" w:hAnsi="新宋体" w:eastAsia="新宋体"/>
              </w:rPr>
              <w:t>中标</w:t>
            </w:r>
            <w:r>
              <w:rPr>
                <w:rFonts w:ascii="新宋体" w:hAnsi="新宋体" w:eastAsia="新宋体"/>
              </w:rPr>
              <w:t>服务费</w:t>
            </w:r>
          </w:p>
        </w:tc>
        <w:tc>
          <w:tcPr>
            <w:tcW w:w="6239" w:type="dxa"/>
            <w:vAlign w:val="center"/>
          </w:tcPr>
          <w:p>
            <w:pPr>
              <w:spacing w:line="276" w:lineRule="auto"/>
              <w:rPr>
                <w:rFonts w:ascii="新宋体" w:hAnsi="新宋体" w:eastAsia="新宋体"/>
              </w:rPr>
            </w:pPr>
            <w:r>
              <w:rPr>
                <w:rFonts w:hint="eastAsia" w:ascii="新宋体" w:hAnsi="新宋体" w:eastAsia="新宋体"/>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pPr>
        <w:spacing w:line="360" w:lineRule="auto"/>
        <w:rPr>
          <w:rFonts w:ascii="新宋体" w:hAnsi="新宋体" w:eastAsia="新宋体"/>
          <w:b/>
        </w:rPr>
      </w:pPr>
      <w:r>
        <w:rPr>
          <w:rFonts w:hint="eastAsia" w:ascii="新宋体" w:hAnsi="新宋体" w:eastAsia="新宋体"/>
          <w:szCs w:val="21"/>
        </w:rPr>
        <w:t>备注：本表为通用条款相关内容的补充和明确，如与通用条款相冲突的以本表为准。</w:t>
      </w:r>
    </w:p>
    <w:p>
      <w:pPr>
        <w:rPr>
          <w:rFonts w:ascii="新宋体" w:hAnsi="新宋体" w:eastAsia="新宋体"/>
          <w:b/>
        </w:rPr>
      </w:pPr>
    </w:p>
    <w:p>
      <w:pPr>
        <w:pStyle w:val="4"/>
        <w:rPr>
          <w:rFonts w:ascii="新宋体" w:hAnsi="新宋体" w:eastAsia="新宋体"/>
          <w:kern w:val="44"/>
          <w:szCs w:val="28"/>
        </w:rPr>
      </w:pPr>
      <w:bookmarkStart w:id="1" w:name="_Toc128884461"/>
      <w:r>
        <w:rPr>
          <w:rFonts w:hint="eastAsia" w:ascii="新宋体" w:hAnsi="新宋体" w:eastAsia="新宋体"/>
          <w:kern w:val="44"/>
          <w:szCs w:val="28"/>
        </w:rPr>
        <w:t>二、实质性条款</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7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序号</w:t>
            </w:r>
          </w:p>
        </w:tc>
        <w:tc>
          <w:tcPr>
            <w:tcW w:w="7938" w:type="dxa"/>
            <w:vAlign w:val="center"/>
          </w:tcPr>
          <w:p>
            <w:pPr>
              <w:spacing w:line="276" w:lineRule="auto"/>
              <w:rPr>
                <w:rFonts w:ascii="新宋体" w:hAnsi="新宋体" w:eastAsia="新宋体"/>
              </w:rPr>
            </w:pPr>
            <w:r>
              <w:rPr>
                <w:rFonts w:hint="eastAsia" w:ascii="新宋体" w:hAnsi="新宋体" w:eastAsia="新宋体"/>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1</w:t>
            </w:r>
          </w:p>
        </w:tc>
        <w:tc>
          <w:tcPr>
            <w:tcW w:w="7938" w:type="dxa"/>
            <w:vAlign w:val="center"/>
          </w:tcPr>
          <w:p>
            <w:pPr>
              <w:spacing w:line="276" w:lineRule="auto"/>
              <w:rPr>
                <w:rFonts w:ascii="新宋体" w:hAnsi="新宋体" w:eastAsia="新宋体"/>
              </w:rPr>
            </w:pPr>
            <w:r>
              <w:rPr>
                <w:rFonts w:hint="eastAsia" w:ascii="新宋体" w:hAnsi="新宋体" w:eastAsia="新宋体"/>
              </w:rPr>
              <w:t>完全满足本项目服务期限的要求。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2</w:t>
            </w:r>
          </w:p>
        </w:tc>
        <w:tc>
          <w:tcPr>
            <w:tcW w:w="7938" w:type="dxa"/>
            <w:vAlign w:val="center"/>
          </w:tcPr>
          <w:p>
            <w:pPr>
              <w:spacing w:line="276" w:lineRule="auto"/>
              <w:rPr>
                <w:rFonts w:ascii="新宋体" w:hAnsi="新宋体" w:eastAsia="新宋体"/>
              </w:rPr>
            </w:pPr>
            <w:r>
              <w:rPr>
                <w:rFonts w:hint="eastAsia" w:ascii="新宋体" w:hAnsi="新宋体" w:eastAsia="新宋体"/>
              </w:rPr>
              <w:t>完全满足本项目</w:t>
            </w:r>
            <w:r>
              <w:rPr>
                <w:rFonts w:hint="eastAsia" w:ascii="宋体" w:hAnsi="宋体" w:cs="宋体"/>
                <w:b/>
                <w:bCs/>
                <w:szCs w:val="21"/>
              </w:rPr>
              <w:t>★</w:t>
            </w:r>
            <w:r>
              <w:rPr>
                <w:rFonts w:hint="eastAsia" w:ascii="宋体" w:hAnsi="宋体" w:cs="宋体"/>
                <w:bCs/>
                <w:szCs w:val="21"/>
              </w:rPr>
              <w:t>号的要求。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276" w:lineRule="auto"/>
              <w:rPr>
                <w:rFonts w:ascii="新宋体" w:hAnsi="新宋体" w:eastAsia="新宋体"/>
              </w:rPr>
            </w:pPr>
            <w:r>
              <w:rPr>
                <w:rFonts w:hint="eastAsia" w:ascii="新宋体" w:hAnsi="新宋体" w:eastAsia="新宋体"/>
              </w:rPr>
              <w:t>……</w:t>
            </w:r>
          </w:p>
        </w:tc>
        <w:tc>
          <w:tcPr>
            <w:tcW w:w="7938" w:type="dxa"/>
            <w:vAlign w:val="center"/>
          </w:tcPr>
          <w:p>
            <w:pPr>
              <w:spacing w:line="276" w:lineRule="auto"/>
              <w:rPr>
                <w:rFonts w:ascii="新宋体" w:hAnsi="新宋体" w:eastAsia="新宋体"/>
              </w:rPr>
            </w:pPr>
          </w:p>
        </w:tc>
      </w:tr>
    </w:tbl>
    <w:p>
      <w:pPr>
        <w:widowControl/>
        <w:spacing w:after="100" w:afterAutospacing="1" w:line="276" w:lineRule="auto"/>
        <w:jc w:val="left"/>
        <w:rPr>
          <w:rFonts w:ascii="新宋体" w:hAnsi="新宋体" w:eastAsia="新宋体"/>
          <w:kern w:val="0"/>
          <w:szCs w:val="21"/>
        </w:rPr>
      </w:pPr>
      <w:r>
        <w:rPr>
          <w:rFonts w:hint="eastAsia" w:ascii="新宋体" w:hAnsi="新宋体" w:eastAsia="新宋体"/>
          <w:kern w:val="0"/>
          <w:szCs w:val="21"/>
        </w:rPr>
        <w:t>注：上表所列内容为不可负偏离条款</w:t>
      </w:r>
    </w:p>
    <w:bookmarkEnd w:id="1"/>
    <w:p>
      <w:pPr>
        <w:pStyle w:val="4"/>
        <w:rPr>
          <w:rFonts w:ascii="新宋体" w:hAnsi="新宋体" w:eastAsia="新宋体"/>
          <w:kern w:val="44"/>
          <w:szCs w:val="28"/>
        </w:rPr>
      </w:pPr>
      <w:r>
        <w:rPr>
          <w:rFonts w:hint="eastAsia" w:ascii="新宋体" w:hAnsi="新宋体" w:eastAsia="新宋体"/>
          <w:kern w:val="44"/>
          <w:szCs w:val="28"/>
        </w:rPr>
        <w:t>三、项目概况</w:t>
      </w:r>
    </w:p>
    <w:p>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金额:人民币柒拾万元整（700,000.00），</w:t>
      </w:r>
      <w:r>
        <w:rPr>
          <w:rFonts w:ascii="新宋体" w:hAnsi="新宋体" w:eastAsia="新宋体" w:cs="宋体"/>
          <w:szCs w:val="21"/>
        </w:rPr>
        <w:t>最高投标限价</w:t>
      </w:r>
      <w:r>
        <w:rPr>
          <w:rFonts w:hint="eastAsia" w:ascii="新宋体" w:hAnsi="新宋体" w:eastAsia="新宋体" w:cs="宋体"/>
          <w:szCs w:val="21"/>
        </w:rPr>
        <w:t>: 人民币柒拾万元整（700,000.00）</w:t>
      </w:r>
    </w:p>
    <w:p>
      <w:pPr>
        <w:spacing w:line="360" w:lineRule="auto"/>
        <w:rPr>
          <w:rFonts w:hint="eastAsia" w:ascii="新宋体" w:hAnsi="新宋体" w:eastAsia="新宋体" w:cs="宋体"/>
          <w:szCs w:val="21"/>
        </w:rPr>
      </w:pPr>
      <w:r>
        <w:rPr>
          <w:rFonts w:hint="eastAsia" w:ascii="新宋体" w:hAnsi="新宋体" w:eastAsia="新宋体" w:cs="宋体"/>
          <w:szCs w:val="21"/>
        </w:rPr>
        <w:t>（二）项目概况: 为完成生态环境部“十四五”规划期间提出的“深入打好污染防治攻坚战”的总体要求，要更加突出精准、科学、依法治污，要建立地上地下、陆海统筹的生态环境治理制度，这对全区生态环境保护工作提出更高要求，需在生态环境监管方面不断探索与创新实践。2024年采购人将继续开展，坚决开展</w:t>
      </w:r>
      <w:r>
        <w:rPr>
          <w:rFonts w:hint="eastAsia" w:ascii="新宋体" w:hAnsi="新宋体" w:eastAsia="新宋体" w:cs="宋体"/>
          <w:szCs w:val="21"/>
          <w:lang w:val="en-US" w:eastAsia="zh-CN"/>
        </w:rPr>
        <w:t>生态环境领域相关</w:t>
      </w:r>
      <w:r>
        <w:rPr>
          <w:rFonts w:hint="eastAsia" w:ascii="新宋体" w:hAnsi="新宋体" w:eastAsia="新宋体" w:cs="宋体"/>
          <w:szCs w:val="21"/>
        </w:rPr>
        <w:t>专项行动，严抓福田区内重点污染源监管。</w:t>
      </w:r>
    </w:p>
    <w:p>
      <w:pPr>
        <w:spacing w:line="360" w:lineRule="auto"/>
        <w:rPr>
          <w:rFonts w:ascii="新宋体" w:hAnsi="新宋体" w:eastAsia="新宋体" w:cs="宋体"/>
          <w:szCs w:val="21"/>
        </w:rPr>
      </w:pPr>
      <w:r>
        <w:rPr>
          <w:rFonts w:hint="eastAsia" w:ascii="新宋体" w:hAnsi="新宋体" w:eastAsia="新宋体" w:cs="宋体"/>
          <w:szCs w:val="21"/>
        </w:rPr>
        <w:t>鉴于污染源管理工作专业性较强，拟通过委托专业第三方机构，组织专业技术团队系统梳理污染源底数清单，对辖区污染源进行环保核查评估，系统掌握辖区污染源存在的主要环境问题。持续</w:t>
      </w:r>
      <w:r>
        <w:rPr>
          <w:rFonts w:hint="eastAsia" w:ascii="新宋体" w:hAnsi="新宋体" w:eastAsia="新宋体" w:cs="宋体"/>
          <w:szCs w:val="21"/>
          <w:lang w:eastAsia="zh-CN"/>
        </w:rPr>
        <w:t>开展</w:t>
      </w:r>
      <w:r>
        <w:rPr>
          <w:rFonts w:hint="eastAsia" w:ascii="新宋体" w:hAnsi="新宋体" w:eastAsia="新宋体" w:cs="宋体"/>
          <w:szCs w:val="21"/>
        </w:rPr>
        <w:t>涉重点污染源类相关企业排查，形成污染源问题清单，提出针对性的整改建议，提供辖区污染源数据系统化管理服务，编制辖区工业污染源管理数据地图，打造污染源精细化管理模式。开展排污许可证后管理，协助加强排污许可证质量专项检查工作、加强排污许可证实施管理力度；加强对污染源自动监测设备的管理，协助加大对污染源自动监测设备不规范运行行为的整治和弄虚作假行为的打击力。有效提升采购人监管能力及监管水平，最终达到提升福田区综合环境质量的目的。</w:t>
      </w:r>
    </w:p>
    <w:p>
      <w:pPr>
        <w:rPr>
          <w:rFonts w:ascii="新宋体" w:hAnsi="新宋体" w:eastAsia="新宋体"/>
          <w:b/>
          <w:bCs/>
          <w:szCs w:val="21"/>
        </w:rPr>
      </w:pPr>
    </w:p>
    <w:p>
      <w:pPr>
        <w:pStyle w:val="4"/>
        <w:rPr>
          <w:rFonts w:ascii="新宋体" w:hAnsi="新宋体" w:eastAsia="新宋体"/>
          <w:kern w:val="44"/>
          <w:szCs w:val="28"/>
        </w:rPr>
      </w:pPr>
      <w:r>
        <w:rPr>
          <w:rFonts w:hint="eastAsia" w:ascii="新宋体" w:hAnsi="新宋体" w:eastAsia="新宋体"/>
          <w:kern w:val="44"/>
          <w:szCs w:val="28"/>
        </w:rPr>
        <w:t>四、项目技术要求</w:t>
      </w:r>
    </w:p>
    <w:p>
      <w:pPr>
        <w:pStyle w:val="10"/>
        <w:keepNext w:val="0"/>
        <w:keepLines w:val="0"/>
        <w:pageBreakBefore w:val="0"/>
        <w:numPr>
          <w:ilvl w:val="0"/>
          <w:numId w:val="1"/>
        </w:numPr>
        <w:shd w:val="clear" w:color="auto" w:fill="auto"/>
        <w:kinsoku/>
        <w:wordWrap/>
        <w:overflowPunct/>
        <w:topLinePunct w:val="0"/>
        <w:autoSpaceDE/>
        <w:autoSpaceDN/>
        <w:bidi w:val="0"/>
        <w:spacing w:line="240" w:lineRule="auto"/>
        <w:ind w:firstLineChars="0"/>
        <w:textAlignment w:val="auto"/>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b/>
          <w:bCs/>
          <w:color w:val="auto"/>
          <w:szCs w:val="21"/>
          <w:highlight w:val="none"/>
        </w:rPr>
        <w:t>服务内容</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default"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（一）</w:t>
      </w:r>
      <w:r>
        <w:rPr>
          <w:rFonts w:hint="eastAsia" w:ascii="宋体" w:hAnsi="宋体" w:eastAsia="宋体" w:cs="宋体"/>
          <w:color w:val="auto"/>
          <w:szCs w:val="21"/>
          <w:highlight w:val="none"/>
          <w:u w:val="none"/>
          <w:lang w:eastAsia="zh-CN"/>
        </w:rPr>
        <w:t>协助</w:t>
      </w:r>
      <w:r>
        <w:rPr>
          <w:rFonts w:hint="eastAsia" w:ascii="宋体" w:hAnsi="宋体" w:eastAsia="宋体" w:cs="宋体"/>
          <w:color w:val="auto"/>
          <w:szCs w:val="21"/>
          <w:highlight w:val="none"/>
          <w:u w:val="none"/>
          <w:lang w:val="en-US" w:eastAsia="zh-CN"/>
        </w:rPr>
        <w:t>涉重点污染源类</w:t>
      </w:r>
      <w:r>
        <w:rPr>
          <w:rFonts w:hint="eastAsia" w:ascii="宋体" w:hAnsi="宋体" w:eastAsia="宋体" w:cs="宋体"/>
          <w:color w:val="auto"/>
          <w:szCs w:val="21"/>
          <w:highlight w:val="none"/>
          <w:u w:val="none"/>
          <w:lang w:eastAsia="zh-CN"/>
        </w:rPr>
        <w:t>相关</w:t>
      </w:r>
      <w:r>
        <w:rPr>
          <w:rFonts w:hint="eastAsia" w:ascii="宋体" w:hAnsi="宋体" w:eastAsia="宋体" w:cs="宋体"/>
          <w:color w:val="auto"/>
          <w:szCs w:val="21"/>
          <w:highlight w:val="none"/>
          <w:u w:val="none"/>
        </w:rPr>
        <w:t>行动</w:t>
      </w:r>
      <w:r>
        <w:rPr>
          <w:rFonts w:hint="eastAsia" w:ascii="宋体" w:hAnsi="宋体" w:eastAsia="宋体" w:cs="宋体"/>
          <w:color w:val="auto"/>
          <w:szCs w:val="21"/>
          <w:highlight w:val="none"/>
          <w:u w:val="none"/>
          <w:lang w:val="en-US" w:eastAsia="zh-CN"/>
        </w:rPr>
        <w:t>提供技术辅助支持。</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（二）</w:t>
      </w:r>
      <w:r>
        <w:rPr>
          <w:rFonts w:hint="eastAsia" w:ascii="宋体" w:hAnsi="宋体" w:eastAsia="宋体" w:cs="宋体"/>
          <w:color w:val="auto"/>
          <w:szCs w:val="21"/>
          <w:highlight w:val="none"/>
          <w:u w:val="none"/>
          <w:lang w:eastAsia="zh-CN"/>
        </w:rPr>
        <w:t>协助</w:t>
      </w:r>
      <w:r>
        <w:rPr>
          <w:rFonts w:hint="eastAsia" w:ascii="宋体" w:hAnsi="宋体" w:eastAsia="宋体" w:cs="宋体"/>
          <w:color w:val="auto"/>
          <w:szCs w:val="21"/>
          <w:highlight w:val="none"/>
          <w:u w:val="none"/>
        </w:rPr>
        <w:t>开展排污许可证后管理（包含登记类），</w:t>
      </w:r>
      <w:r>
        <w:rPr>
          <w:rFonts w:hint="eastAsia" w:ascii="宋体" w:hAnsi="宋体" w:eastAsia="宋体" w:cs="宋体"/>
          <w:color w:val="auto"/>
          <w:szCs w:val="21"/>
          <w:highlight w:val="none"/>
          <w:u w:val="none"/>
          <w:lang w:eastAsia="zh-CN"/>
        </w:rPr>
        <w:t>为</w:t>
      </w:r>
      <w:r>
        <w:rPr>
          <w:rFonts w:hint="eastAsia" w:ascii="宋体" w:hAnsi="宋体" w:eastAsia="宋体" w:cs="宋体"/>
          <w:color w:val="auto"/>
          <w:szCs w:val="21"/>
          <w:highlight w:val="none"/>
          <w:u w:val="none"/>
          <w:lang w:val="en-US" w:eastAsia="zh-CN"/>
        </w:rPr>
        <w:t>开展</w:t>
      </w:r>
      <w:r>
        <w:rPr>
          <w:rFonts w:hint="eastAsia" w:ascii="宋体" w:hAnsi="宋体" w:eastAsia="宋体" w:cs="宋体"/>
          <w:color w:val="auto"/>
          <w:szCs w:val="21"/>
          <w:highlight w:val="none"/>
          <w:u w:val="none"/>
        </w:rPr>
        <w:t>排污许可证质量专项工作</w:t>
      </w:r>
      <w:r>
        <w:rPr>
          <w:rFonts w:hint="eastAsia" w:ascii="宋体" w:hAnsi="宋体" w:eastAsia="宋体" w:cs="宋体"/>
          <w:color w:val="auto"/>
          <w:szCs w:val="21"/>
          <w:highlight w:val="none"/>
          <w:u w:val="none"/>
          <w:lang w:eastAsia="zh-CN"/>
        </w:rPr>
        <w:t>提供技术辅助支持</w:t>
      </w:r>
      <w:r>
        <w:rPr>
          <w:rFonts w:hint="eastAsia" w:ascii="宋体" w:hAnsi="宋体" w:eastAsia="宋体" w:cs="宋体"/>
          <w:color w:val="auto"/>
          <w:szCs w:val="21"/>
          <w:highlight w:val="none"/>
          <w:u w:val="none"/>
        </w:rPr>
        <w:t>、加强</w:t>
      </w:r>
      <w:r>
        <w:rPr>
          <w:rFonts w:hint="eastAsia" w:ascii="宋体" w:hAnsi="宋体" w:eastAsia="宋体" w:cs="宋体"/>
          <w:color w:val="auto"/>
          <w:szCs w:val="21"/>
          <w:highlight w:val="none"/>
          <w:u w:val="none"/>
          <w:lang w:val="en-US" w:eastAsia="zh-CN"/>
        </w:rPr>
        <w:t>辖区</w:t>
      </w:r>
      <w:r>
        <w:rPr>
          <w:rFonts w:hint="eastAsia" w:ascii="宋体" w:hAnsi="宋体" w:eastAsia="宋体" w:cs="宋体"/>
          <w:color w:val="auto"/>
          <w:szCs w:val="21"/>
          <w:highlight w:val="none"/>
          <w:u w:val="none"/>
        </w:rPr>
        <w:t>排污许可证实施管理力度</w:t>
      </w:r>
      <w:r>
        <w:rPr>
          <w:rFonts w:hint="eastAsia" w:ascii="宋体" w:hAnsi="宋体" w:eastAsia="宋体" w:cs="宋体"/>
          <w:color w:val="auto"/>
          <w:szCs w:val="21"/>
          <w:highlight w:val="none"/>
          <w:u w:val="none"/>
          <w:lang w:eastAsia="zh-CN"/>
        </w:rPr>
        <w:t>。</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1、协助</w:t>
      </w:r>
      <w:r>
        <w:rPr>
          <w:rFonts w:hint="eastAsia" w:ascii="宋体" w:hAnsi="宋体" w:eastAsia="宋体" w:cs="宋体"/>
          <w:color w:val="auto"/>
          <w:szCs w:val="21"/>
          <w:highlight w:val="none"/>
          <w:u w:val="none"/>
        </w:rPr>
        <w:t>开展排污许可证核发质量</w:t>
      </w:r>
      <w:r>
        <w:rPr>
          <w:rFonts w:hint="eastAsia" w:ascii="宋体" w:hAnsi="宋体" w:eastAsia="宋体" w:cs="宋体"/>
          <w:color w:val="auto"/>
          <w:szCs w:val="21"/>
          <w:highlight w:val="none"/>
          <w:u w:val="none"/>
          <w:lang w:eastAsia="zh-CN"/>
        </w:rPr>
        <w:t>行动</w:t>
      </w:r>
      <w:r>
        <w:rPr>
          <w:rFonts w:hint="eastAsia" w:ascii="宋体" w:hAnsi="宋体" w:eastAsia="宋体" w:cs="宋体"/>
          <w:color w:val="auto"/>
          <w:szCs w:val="21"/>
          <w:highlight w:val="none"/>
          <w:u w:val="none"/>
        </w:rPr>
        <w:t>。</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2、协助</w:t>
      </w:r>
      <w:r>
        <w:rPr>
          <w:rFonts w:hint="eastAsia" w:ascii="宋体" w:hAnsi="宋体" w:eastAsia="宋体" w:cs="宋体"/>
          <w:color w:val="auto"/>
          <w:szCs w:val="21"/>
          <w:highlight w:val="none"/>
          <w:u w:val="none"/>
        </w:rPr>
        <w:t>开展排污许可证企业现场</w:t>
      </w:r>
      <w:r>
        <w:rPr>
          <w:rFonts w:hint="eastAsia" w:ascii="宋体" w:hAnsi="宋体" w:eastAsia="宋体" w:cs="宋体"/>
          <w:color w:val="auto"/>
          <w:szCs w:val="21"/>
          <w:highlight w:val="none"/>
          <w:u w:val="none"/>
          <w:lang w:eastAsia="zh-CN"/>
        </w:rPr>
        <w:t>行动</w:t>
      </w:r>
      <w:r>
        <w:rPr>
          <w:rFonts w:hint="eastAsia" w:ascii="宋体" w:hAnsi="宋体" w:eastAsia="宋体" w:cs="宋体"/>
          <w:color w:val="auto"/>
          <w:szCs w:val="21"/>
          <w:highlight w:val="none"/>
          <w:u w:val="none"/>
        </w:rPr>
        <w:t>。</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3、协助</w:t>
      </w:r>
      <w:r>
        <w:rPr>
          <w:rFonts w:hint="eastAsia" w:ascii="宋体" w:hAnsi="宋体" w:eastAsia="宋体" w:cs="宋体"/>
          <w:color w:val="auto"/>
          <w:szCs w:val="21"/>
          <w:highlight w:val="none"/>
          <w:u w:val="none"/>
        </w:rPr>
        <w:t>开展排污许可证执行情况</w:t>
      </w:r>
      <w:r>
        <w:rPr>
          <w:rFonts w:hint="eastAsia" w:ascii="宋体" w:hAnsi="宋体" w:eastAsia="宋体" w:cs="宋体"/>
          <w:color w:val="auto"/>
          <w:szCs w:val="21"/>
          <w:highlight w:val="none"/>
          <w:u w:val="none"/>
          <w:lang w:eastAsia="zh-CN"/>
        </w:rPr>
        <w:t>行动</w:t>
      </w:r>
      <w:r>
        <w:rPr>
          <w:rFonts w:hint="eastAsia" w:ascii="宋体" w:hAnsi="宋体" w:eastAsia="宋体" w:cs="宋体"/>
          <w:color w:val="auto"/>
          <w:szCs w:val="21"/>
          <w:highlight w:val="none"/>
          <w:u w:val="none"/>
        </w:rPr>
        <w:t>。</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4、</w:t>
      </w:r>
      <w:r>
        <w:rPr>
          <w:rFonts w:hint="eastAsia" w:ascii="宋体" w:hAnsi="宋体" w:eastAsia="宋体" w:cs="宋体"/>
          <w:color w:val="auto"/>
          <w:szCs w:val="21"/>
          <w:highlight w:val="none"/>
          <w:u w:val="none"/>
        </w:rPr>
        <w:t>出具</w:t>
      </w:r>
      <w:r>
        <w:rPr>
          <w:rFonts w:hint="eastAsia" w:ascii="宋体" w:hAnsi="宋体" w:eastAsia="宋体" w:cs="宋体"/>
          <w:color w:val="auto"/>
          <w:szCs w:val="21"/>
          <w:highlight w:val="none"/>
          <w:u w:val="none"/>
          <w:lang w:eastAsia="zh-CN"/>
        </w:rPr>
        <w:t>分析</w:t>
      </w:r>
      <w:r>
        <w:rPr>
          <w:rFonts w:hint="eastAsia" w:ascii="宋体" w:hAnsi="宋体" w:eastAsia="宋体" w:cs="宋体"/>
          <w:color w:val="auto"/>
          <w:szCs w:val="21"/>
          <w:highlight w:val="none"/>
          <w:u w:val="none"/>
        </w:rPr>
        <w:t>报告。</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default" w:ascii="宋体" w:hAnsi="宋体" w:eastAsia="宋体" w:cs="宋体"/>
          <w:color w:val="auto"/>
          <w:szCs w:val="21"/>
          <w:highlight w:val="none"/>
          <w:u w:val="none"/>
          <w:lang w:val="en-US" w:eastAsia="zh-CN"/>
        </w:rPr>
      </w:pPr>
      <w:r>
        <w:rPr>
          <w:rFonts w:hint="eastAsia" w:ascii="宋体" w:hAnsi="宋体" w:eastAsia="宋体" w:cs="宋体"/>
          <w:color w:val="auto"/>
          <w:szCs w:val="21"/>
          <w:highlight w:val="none"/>
          <w:u w:val="none"/>
        </w:rPr>
        <w:t>（三）加强对污染源自动监测设备的管理，</w:t>
      </w:r>
      <w:r>
        <w:rPr>
          <w:rFonts w:hint="eastAsia" w:ascii="宋体" w:hAnsi="宋体" w:eastAsia="宋体" w:cs="宋体"/>
          <w:color w:val="auto"/>
          <w:szCs w:val="21"/>
          <w:highlight w:val="none"/>
          <w:u w:val="none"/>
          <w:lang w:val="en-US" w:eastAsia="zh-CN"/>
        </w:rPr>
        <w:t>对</w:t>
      </w:r>
      <w:r>
        <w:rPr>
          <w:rFonts w:hint="eastAsia" w:ascii="宋体" w:hAnsi="宋体" w:eastAsia="宋体" w:cs="宋体"/>
          <w:color w:val="auto"/>
          <w:szCs w:val="21"/>
          <w:highlight w:val="none"/>
          <w:u w:val="none"/>
        </w:rPr>
        <w:t>污染源自动监测设备不规范运行行为的整治和弄虚作假行为的打击力度</w:t>
      </w:r>
      <w:r>
        <w:rPr>
          <w:rFonts w:hint="eastAsia" w:ascii="宋体" w:hAnsi="宋体" w:eastAsia="宋体" w:cs="宋体"/>
          <w:color w:val="auto"/>
          <w:szCs w:val="21"/>
          <w:highlight w:val="none"/>
          <w:u w:val="none"/>
          <w:lang w:val="en-US" w:eastAsia="zh-CN"/>
        </w:rPr>
        <w:t>提供技术辅助支持。</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1、</w:t>
      </w:r>
      <w:r>
        <w:rPr>
          <w:rFonts w:hint="eastAsia" w:ascii="宋体" w:hAnsi="宋体" w:eastAsia="宋体" w:cs="宋体"/>
          <w:color w:val="auto"/>
          <w:szCs w:val="21"/>
          <w:highlight w:val="none"/>
          <w:u w:val="none"/>
        </w:rPr>
        <w:t>企业端在线监测系统准确性校验。</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2、</w:t>
      </w:r>
      <w:r>
        <w:rPr>
          <w:rFonts w:hint="eastAsia" w:ascii="宋体" w:hAnsi="宋体" w:eastAsia="宋体" w:cs="宋体"/>
          <w:color w:val="auto"/>
          <w:szCs w:val="21"/>
          <w:highlight w:val="none"/>
          <w:u w:val="none"/>
        </w:rPr>
        <w:t>企业端在线监测仪器的一致性检验。</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3、</w:t>
      </w:r>
      <w:r>
        <w:rPr>
          <w:rFonts w:hint="eastAsia" w:ascii="宋体" w:hAnsi="宋体" w:eastAsia="宋体" w:cs="宋体"/>
          <w:color w:val="auto"/>
          <w:szCs w:val="21"/>
          <w:highlight w:val="none"/>
          <w:u w:val="none"/>
        </w:rPr>
        <w:t>污染源在线监测预警服务，</w:t>
      </w:r>
      <w:r>
        <w:rPr>
          <w:rFonts w:hint="eastAsia" w:ascii="宋体" w:hAnsi="宋体" w:eastAsia="宋体" w:cs="宋体"/>
          <w:color w:val="auto"/>
          <w:szCs w:val="21"/>
          <w:highlight w:val="none"/>
          <w:u w:val="none"/>
          <w:lang w:eastAsia="zh-CN"/>
        </w:rPr>
        <w:t>协助</w:t>
      </w:r>
      <w:r>
        <w:rPr>
          <w:rFonts w:hint="eastAsia" w:ascii="宋体" w:hAnsi="宋体" w:eastAsia="宋体" w:cs="宋体"/>
          <w:color w:val="auto"/>
          <w:szCs w:val="21"/>
          <w:highlight w:val="none"/>
          <w:u w:val="none"/>
        </w:rPr>
        <w:t>督导辖区企业办理企业环保通等在线监测系统任务。</w:t>
      </w:r>
    </w:p>
    <w:p>
      <w:pPr>
        <w:keepNext w:val="0"/>
        <w:keepLines w:val="0"/>
        <w:pageBreakBefore w:val="0"/>
        <w:shd w:val="clear" w:color="auto" w:fill="auto"/>
        <w:kinsoku/>
        <w:wordWrap/>
        <w:overflowPunct/>
        <w:topLinePunct w:val="0"/>
        <w:autoSpaceDE/>
        <w:autoSpaceDN/>
        <w:bidi w:val="0"/>
        <w:spacing w:line="240" w:lineRule="auto"/>
        <w:ind w:firstLine="630" w:firstLineChars="300"/>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u w:val="none"/>
          <w:lang w:val="en-US" w:eastAsia="zh-CN"/>
        </w:rPr>
        <w:t>4、</w:t>
      </w:r>
      <w:r>
        <w:rPr>
          <w:rFonts w:hint="eastAsia" w:ascii="宋体" w:hAnsi="宋体" w:eastAsia="宋体" w:cs="宋体"/>
          <w:color w:val="auto"/>
          <w:szCs w:val="21"/>
          <w:highlight w:val="none"/>
          <w:u w:val="none"/>
        </w:rPr>
        <w:t>污染源在线监测监管</w:t>
      </w:r>
      <w:r>
        <w:rPr>
          <w:rFonts w:hint="eastAsia" w:ascii="宋体" w:hAnsi="宋体" w:eastAsia="宋体" w:cs="宋体"/>
          <w:color w:val="auto"/>
          <w:szCs w:val="21"/>
          <w:highlight w:val="none"/>
          <w:u w:val="none"/>
          <w:lang w:eastAsia="zh-CN"/>
        </w:rPr>
        <w:t>提供技术辅助支持</w:t>
      </w:r>
      <w:r>
        <w:rPr>
          <w:rFonts w:hint="eastAsia" w:ascii="宋体" w:hAnsi="宋体" w:eastAsia="宋体" w:cs="宋体"/>
          <w:color w:val="auto"/>
          <w:szCs w:val="21"/>
          <w:highlight w:val="none"/>
          <w:u w:val="none"/>
        </w:rPr>
        <w:t>。</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rPr>
        <w:t>（四）</w:t>
      </w:r>
      <w:r>
        <w:rPr>
          <w:rFonts w:hint="eastAsia" w:ascii="宋体" w:hAnsi="宋体" w:eastAsia="宋体" w:cs="宋体"/>
          <w:color w:val="auto"/>
          <w:szCs w:val="21"/>
          <w:highlight w:val="none"/>
          <w:u w:val="none"/>
          <w:lang w:eastAsia="zh-CN"/>
        </w:rPr>
        <w:t>协助</w:t>
      </w:r>
      <w:r>
        <w:rPr>
          <w:rFonts w:hint="eastAsia" w:ascii="宋体" w:hAnsi="宋体" w:eastAsia="宋体" w:cs="宋体"/>
          <w:color w:val="auto"/>
          <w:szCs w:val="21"/>
          <w:highlight w:val="none"/>
          <w:u w:val="none"/>
        </w:rPr>
        <w:t>完成福田管理局要求的其他事项</w:t>
      </w:r>
      <w:r>
        <w:rPr>
          <w:rFonts w:hint="eastAsia" w:ascii="宋体" w:hAnsi="宋体" w:eastAsia="宋体" w:cs="宋体"/>
          <w:color w:val="auto"/>
          <w:szCs w:val="21"/>
          <w:highlight w:val="none"/>
          <w:u w:val="none"/>
          <w:lang w:eastAsia="zh-CN"/>
        </w:rPr>
        <w:t>。</w:t>
      </w:r>
    </w:p>
    <w:p>
      <w:pPr>
        <w:pStyle w:val="10"/>
        <w:keepNext w:val="0"/>
        <w:keepLines w:val="0"/>
        <w:pageBreakBefore w:val="0"/>
        <w:numPr>
          <w:ilvl w:val="0"/>
          <w:numId w:val="1"/>
        </w:numPr>
        <w:shd w:val="clear" w:color="auto" w:fill="auto"/>
        <w:kinsoku/>
        <w:wordWrap/>
        <w:overflowPunct/>
        <w:topLinePunct w:val="0"/>
        <w:autoSpaceDE/>
        <w:autoSpaceDN/>
        <w:bidi w:val="0"/>
        <w:spacing w:line="240" w:lineRule="auto"/>
        <w:ind w:firstLineChars="0"/>
        <w:textAlignment w:val="auto"/>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b/>
          <w:bCs/>
          <w:color w:val="auto"/>
          <w:szCs w:val="21"/>
          <w:highlight w:val="none"/>
        </w:rPr>
        <w:t>服务方式</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中标人</w:t>
      </w:r>
      <w:r>
        <w:rPr>
          <w:rFonts w:hint="eastAsia" w:ascii="宋体" w:hAnsi="宋体" w:eastAsia="宋体" w:cs="宋体"/>
          <w:b w:val="0"/>
          <w:bCs w:val="0"/>
          <w:color w:val="auto"/>
          <w:szCs w:val="21"/>
          <w:highlight w:val="none"/>
          <w:lang w:eastAsia="zh-CN"/>
        </w:rPr>
        <w:t>应协助</w:t>
      </w:r>
      <w:r>
        <w:rPr>
          <w:rFonts w:hint="eastAsia" w:ascii="宋体" w:hAnsi="宋体" w:eastAsia="宋体" w:cs="宋体"/>
          <w:color w:val="auto"/>
          <w:szCs w:val="21"/>
          <w:highlight w:val="none"/>
          <w:u w:val="none"/>
          <w:lang w:val="en-US" w:eastAsia="zh-CN"/>
        </w:rPr>
        <w:t>涉重点污染源类</w:t>
      </w:r>
      <w:r>
        <w:rPr>
          <w:rFonts w:hint="eastAsia" w:ascii="宋体" w:hAnsi="宋体" w:eastAsia="宋体" w:cs="宋体"/>
          <w:color w:val="auto"/>
          <w:szCs w:val="21"/>
          <w:highlight w:val="none"/>
          <w:u w:val="none"/>
          <w:lang w:eastAsia="zh-CN"/>
        </w:rPr>
        <w:t>相关</w:t>
      </w:r>
      <w:r>
        <w:rPr>
          <w:rFonts w:hint="eastAsia" w:ascii="宋体" w:hAnsi="宋体" w:eastAsia="宋体" w:cs="宋体"/>
          <w:color w:val="auto"/>
          <w:szCs w:val="21"/>
          <w:highlight w:val="none"/>
          <w:u w:val="none"/>
        </w:rPr>
        <w:t>行动</w:t>
      </w:r>
      <w:r>
        <w:rPr>
          <w:rFonts w:hint="eastAsia" w:ascii="宋体" w:hAnsi="宋体" w:eastAsia="宋体" w:cs="宋体"/>
          <w:color w:val="auto"/>
          <w:szCs w:val="21"/>
          <w:highlight w:val="none"/>
          <w:u w:val="none"/>
          <w:lang w:val="en-US" w:eastAsia="zh-CN"/>
        </w:rPr>
        <w:t>提供技术辅助支持，协助</w:t>
      </w:r>
      <w:r>
        <w:rPr>
          <w:rFonts w:hint="eastAsia" w:ascii="宋体" w:hAnsi="宋体" w:eastAsia="宋体" w:cs="宋体"/>
          <w:b w:val="0"/>
          <w:bCs w:val="0"/>
          <w:color w:val="auto"/>
          <w:szCs w:val="21"/>
          <w:highlight w:val="none"/>
        </w:rPr>
        <w:t>开展辖区排污许可证证后管理</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加强污染源自动监测设备管理，为福田区重点污染源企业规范化管理提供技术</w:t>
      </w:r>
      <w:r>
        <w:rPr>
          <w:rFonts w:hint="eastAsia" w:ascii="宋体" w:hAnsi="宋体" w:eastAsia="宋体" w:cs="宋体"/>
          <w:b w:val="0"/>
          <w:bCs w:val="0"/>
          <w:color w:val="auto"/>
          <w:szCs w:val="21"/>
          <w:highlight w:val="none"/>
          <w:lang w:eastAsia="zh-CN"/>
        </w:rPr>
        <w:t>辅助支持。</w:t>
      </w:r>
    </w:p>
    <w:p>
      <w:pPr>
        <w:pStyle w:val="10"/>
        <w:keepNext w:val="0"/>
        <w:keepLines w:val="0"/>
        <w:pageBreakBefore w:val="0"/>
        <w:numPr>
          <w:ilvl w:val="0"/>
          <w:numId w:val="1"/>
        </w:numPr>
        <w:shd w:val="clear" w:color="auto" w:fill="auto"/>
        <w:kinsoku/>
        <w:wordWrap/>
        <w:overflowPunct/>
        <w:topLinePunct w:val="0"/>
        <w:autoSpaceDE/>
        <w:autoSpaceDN/>
        <w:bidi w:val="0"/>
        <w:spacing w:line="240" w:lineRule="auto"/>
        <w:ind w:firstLineChars="0"/>
        <w:textAlignment w:val="auto"/>
        <w:rPr>
          <w:rFonts w:hint="eastAsia" w:ascii="宋体" w:hAnsi="宋体" w:eastAsia="宋体" w:cs="宋体"/>
          <w:b/>
          <w:bCs/>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b/>
          <w:bCs/>
          <w:color w:val="auto"/>
          <w:szCs w:val="21"/>
          <w:highlight w:val="none"/>
        </w:rPr>
        <w:t>提交成果</w:t>
      </w:r>
    </w:p>
    <w:p>
      <w:pPr>
        <w:pStyle w:val="10"/>
        <w:keepNext w:val="0"/>
        <w:keepLines w:val="0"/>
        <w:pageBreakBefore w:val="0"/>
        <w:numPr>
          <w:ilvl w:val="0"/>
          <w:numId w:val="0"/>
        </w:numPr>
        <w:shd w:val="clear" w:color="auto" w:fill="auto"/>
        <w:kinsoku/>
        <w:wordWrap/>
        <w:overflowPunct/>
        <w:topLinePunct w:val="0"/>
        <w:autoSpaceDE/>
        <w:autoSpaceDN/>
        <w:bidi w:val="0"/>
        <w:spacing w:line="240" w:lineRule="auto"/>
        <w:ind w:left="0" w:firstLine="420" w:firstLineChars="200"/>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highlight w:val="none"/>
          <w:lang w:eastAsia="zh-CN"/>
        </w:rPr>
        <w:t>《</w:t>
      </w:r>
      <w:r>
        <w:rPr>
          <w:rFonts w:hint="eastAsia" w:ascii="宋体" w:hAnsi="宋体" w:eastAsia="宋体" w:cs="宋体"/>
          <w:color w:val="auto"/>
          <w:highlight w:val="none"/>
        </w:rPr>
        <w:t>2024年福田区重点污染源企业规范化管理技术服务项目</w:t>
      </w:r>
      <w:r>
        <w:rPr>
          <w:rFonts w:hint="eastAsia" w:ascii="宋体" w:hAnsi="宋体" w:eastAsia="宋体" w:cs="宋体"/>
          <w:color w:val="auto"/>
          <w:highlight w:val="none"/>
          <w:lang w:val="en-US" w:eastAsia="zh-CN"/>
        </w:rPr>
        <w:t>结项报告</w:t>
      </w:r>
      <w:r>
        <w:rPr>
          <w:rFonts w:hint="eastAsia" w:ascii="宋体" w:hAnsi="宋体" w:eastAsia="宋体" w:cs="宋体"/>
          <w:color w:val="auto"/>
          <w:highlight w:val="none"/>
          <w:lang w:eastAsia="zh-CN"/>
        </w:rPr>
        <w:t>》</w:t>
      </w:r>
      <w:r>
        <w:rPr>
          <w:rFonts w:hint="eastAsia" w:ascii="宋体" w:hAnsi="宋体" w:eastAsia="宋体" w:cs="宋体"/>
          <w:color w:val="auto"/>
          <w:highlight w:val="none"/>
        </w:rPr>
        <w:t>1份</w:t>
      </w:r>
      <w:r>
        <w:rPr>
          <w:rFonts w:hint="eastAsia" w:ascii="宋体" w:hAnsi="宋体" w:eastAsia="宋体" w:cs="宋体"/>
          <w:color w:val="auto"/>
          <w:highlight w:val="none"/>
          <w:lang w:eastAsia="zh-CN"/>
        </w:rPr>
        <w:t>。</w:t>
      </w:r>
    </w:p>
    <w:p>
      <w:pPr>
        <w:pStyle w:val="10"/>
        <w:keepNext w:val="0"/>
        <w:keepLines w:val="0"/>
        <w:pageBreakBefore w:val="0"/>
        <w:numPr>
          <w:ilvl w:val="0"/>
          <w:numId w:val="1"/>
        </w:numPr>
        <w:shd w:val="clear" w:color="auto" w:fill="auto"/>
        <w:kinsoku/>
        <w:wordWrap/>
        <w:overflowPunct/>
        <w:topLinePunct w:val="0"/>
        <w:autoSpaceDE/>
        <w:autoSpaceDN/>
        <w:bidi w:val="0"/>
        <w:spacing w:line="240" w:lineRule="auto"/>
        <w:ind w:firstLineChars="0"/>
        <w:textAlignment w:val="auto"/>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人员要求</w:t>
      </w:r>
    </w:p>
    <w:p>
      <w:pPr>
        <w:keepNext w:val="0"/>
        <w:keepLines w:val="0"/>
        <w:pageBreakBefore w:val="0"/>
        <w:shd w:val="clear" w:color="auto" w:fill="auto"/>
        <w:kinsoku/>
        <w:wordWrap/>
        <w:overflowPunct/>
        <w:topLinePunct w:val="0"/>
        <w:autoSpaceDE/>
        <w:autoSpaceDN/>
        <w:bidi w:val="0"/>
        <w:spacing w:line="240" w:lineRule="auto"/>
        <w:ind w:firstLine="420" w:firstLineChars="200"/>
        <w:textAlignment w:val="auto"/>
        <w:rPr>
          <w:rFonts w:hint="eastAsia" w:ascii="宋体" w:hAnsi="宋体" w:eastAsia="宋体" w:cs="宋体"/>
          <w:b w:val="0"/>
          <w:bCs w:val="0"/>
          <w:color w:val="auto"/>
          <w:szCs w:val="21"/>
          <w:highlight w:val="none"/>
          <w:lang w:eastAsia="zh-CN"/>
        </w:rPr>
      </w:pPr>
      <w:r>
        <w:rPr>
          <w:rFonts w:hint="eastAsia" w:ascii="宋体" w:hAnsi="宋体" w:eastAsia="宋体" w:cs="宋体"/>
          <w:color w:val="auto"/>
          <w:szCs w:val="21"/>
          <w:highlight w:val="none"/>
        </w:rPr>
        <w:t>人员要求：保证项目的顺利进行，投标人需组织一支经验丰富的技术团队。项目负责人须具备有生态环境类专业硕士或以上学位，且具备中级或以上工程师职称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承担过“</w:t>
      </w:r>
      <w:r>
        <w:rPr>
          <w:rFonts w:hint="eastAsia" w:ascii="宋体" w:hAnsi="宋体" w:eastAsia="宋体" w:cs="宋体"/>
          <w:color w:val="auto"/>
          <w:szCs w:val="21"/>
          <w:highlight w:val="none"/>
          <w:lang w:val="en-US" w:eastAsia="zh-CN"/>
        </w:rPr>
        <w:t>工业</w:t>
      </w:r>
      <w:r>
        <w:rPr>
          <w:rFonts w:hint="eastAsia" w:ascii="宋体" w:hAnsi="宋体" w:eastAsia="宋体" w:cs="宋体"/>
          <w:color w:val="auto"/>
          <w:szCs w:val="21"/>
          <w:highlight w:val="none"/>
        </w:rPr>
        <w:t>企业</w:t>
      </w:r>
      <w:r>
        <w:rPr>
          <w:rFonts w:hint="eastAsia" w:ascii="宋体" w:hAnsi="宋体" w:eastAsia="宋体" w:cs="宋体"/>
          <w:color w:val="auto"/>
          <w:szCs w:val="21"/>
          <w:highlight w:val="none"/>
          <w:lang w:val="en-US" w:eastAsia="zh-CN"/>
        </w:rPr>
        <w:t>环境管理</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val="en-US" w:eastAsia="zh-CN"/>
        </w:rPr>
        <w:t>污染源</w:t>
      </w:r>
      <w:r>
        <w:rPr>
          <w:rFonts w:hint="eastAsia" w:ascii="宋体" w:hAnsi="宋体" w:eastAsia="宋体" w:cs="宋体"/>
          <w:color w:val="auto"/>
          <w:szCs w:val="21"/>
          <w:highlight w:val="none"/>
        </w:rPr>
        <w:t>在线监测”类</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项目</w:t>
      </w:r>
      <w:r>
        <w:rPr>
          <w:rFonts w:hint="eastAsia" w:ascii="宋体" w:hAnsi="宋体" w:eastAsia="宋体" w:cs="宋体"/>
          <w:color w:val="auto"/>
          <w:szCs w:val="21"/>
          <w:highlight w:val="none"/>
          <w:lang w:eastAsia="zh-CN"/>
        </w:rPr>
        <w:t>。</w:t>
      </w:r>
    </w:p>
    <w:p>
      <w:pPr>
        <w:pStyle w:val="10"/>
        <w:keepNext w:val="0"/>
        <w:keepLines w:val="0"/>
        <w:pageBreakBefore w:val="0"/>
        <w:numPr>
          <w:ilvl w:val="0"/>
          <w:numId w:val="1"/>
        </w:numPr>
        <w:kinsoku/>
        <w:wordWrap/>
        <w:overflowPunct/>
        <w:topLinePunct w:val="0"/>
        <w:autoSpaceDE/>
        <w:autoSpaceDN/>
        <w:bidi w:val="0"/>
        <w:spacing w:line="240" w:lineRule="auto"/>
        <w:ind w:firstLineChars="0"/>
        <w:textAlignment w:val="auto"/>
        <w:rPr>
          <w:rFonts w:hint="eastAsia" w:ascii="宋体" w:hAnsi="宋体" w:eastAsia="宋体" w:cs="宋体"/>
          <w:b/>
          <w:bCs/>
          <w:color w:val="auto"/>
        </w:rPr>
      </w:pPr>
      <w:r>
        <w:rPr>
          <w:rFonts w:hint="eastAsia" w:ascii="宋体" w:hAnsi="宋体" w:eastAsia="宋体" w:cs="宋体"/>
          <w:b/>
          <w:bCs/>
          <w:color w:val="auto"/>
          <w:szCs w:val="21"/>
        </w:rPr>
        <w:t>★验收要求</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合同期满或约定的工作量完成后（先达到的条件作为结算标准）进行项目成果验收工作。</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考核验收办法：</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一</w:t>
      </w:r>
      <w:r>
        <w:rPr>
          <w:rFonts w:hint="eastAsia" w:ascii="宋体" w:hAnsi="宋体" w:eastAsia="宋体" w:cs="宋体"/>
          <w:color w:val="auto"/>
        </w:rPr>
        <w:t>）服务经过双方检验认可后，签署验收报告。</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color w:val="auto"/>
          <w:lang w:val="en-US" w:eastAsia="zh-CN"/>
        </w:rPr>
        <w:t>二</w:t>
      </w:r>
      <w:r>
        <w:rPr>
          <w:rFonts w:hint="eastAsia" w:ascii="宋体" w:hAnsi="宋体" w:eastAsia="宋体" w:cs="宋体"/>
          <w:color w:val="auto"/>
        </w:rPr>
        <w:t>）当满足以下条件时，采购人才向中标人签发验收报告：</w:t>
      </w:r>
    </w:p>
    <w:p>
      <w:pPr>
        <w:keepNext w:val="0"/>
        <w:keepLines w:val="0"/>
        <w:pageBreakBefore w:val="0"/>
        <w:kinsoku/>
        <w:wordWrap/>
        <w:overflowPunct/>
        <w:topLinePunct w:val="0"/>
        <w:autoSpaceDE/>
        <w:autoSpaceDN/>
        <w:bidi w:val="0"/>
        <w:adjustRightInd w:val="0"/>
        <w:snapToGrid w:val="0"/>
        <w:spacing w:line="240" w:lineRule="auto"/>
        <w:ind w:firstLine="630" w:firstLineChars="300"/>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lang w:val="en-US" w:eastAsia="zh-CN"/>
        </w:rPr>
        <w:t>1</w:t>
      </w:r>
      <w:r>
        <w:rPr>
          <w:rFonts w:hint="eastAsia" w:ascii="宋体" w:hAnsi="宋体" w:eastAsia="宋体" w:cs="宋体"/>
          <w:color w:val="auto"/>
          <w:lang w:eastAsia="zh-CN"/>
        </w:rPr>
        <w:t>）</w:t>
      </w:r>
      <w:r>
        <w:rPr>
          <w:rFonts w:hint="eastAsia" w:ascii="宋体" w:hAnsi="宋体" w:eastAsia="宋体" w:cs="宋体"/>
          <w:color w:val="auto"/>
        </w:rPr>
        <w:t>中标人已按照合同规定提供了全部技术资料。</w:t>
      </w:r>
    </w:p>
    <w:p>
      <w:pPr>
        <w:keepNext w:val="0"/>
        <w:keepLines w:val="0"/>
        <w:pageBreakBefore w:val="0"/>
        <w:kinsoku/>
        <w:wordWrap/>
        <w:overflowPunct/>
        <w:topLinePunct w:val="0"/>
        <w:autoSpaceDE/>
        <w:autoSpaceDN/>
        <w:bidi w:val="0"/>
        <w:adjustRightInd w:val="0"/>
        <w:snapToGrid w:val="0"/>
        <w:spacing w:line="240" w:lineRule="auto"/>
        <w:ind w:firstLine="630" w:firstLineChars="300"/>
        <w:textAlignment w:val="auto"/>
        <w:rPr>
          <w:rFonts w:hint="eastAsia" w:ascii="宋体" w:hAnsi="宋体" w:eastAsia="宋体" w:cs="宋体"/>
          <w:color w:val="auto"/>
        </w:rPr>
      </w:pPr>
      <w:r>
        <w:rPr>
          <w:rFonts w:hint="eastAsia" w:ascii="宋体" w:hAnsi="宋体" w:eastAsia="宋体" w:cs="宋体"/>
          <w:color w:val="auto"/>
          <w:lang w:eastAsia="zh-CN"/>
        </w:rPr>
        <w:t>（</w:t>
      </w:r>
      <w:r>
        <w:rPr>
          <w:rFonts w:hint="eastAsia" w:ascii="宋体" w:hAnsi="宋体" w:eastAsia="宋体" w:cs="宋体"/>
          <w:color w:val="auto"/>
          <w:lang w:val="en-US" w:eastAsia="zh-CN"/>
        </w:rPr>
        <w:t>2</w:t>
      </w:r>
      <w:r>
        <w:rPr>
          <w:rFonts w:hint="eastAsia" w:ascii="宋体" w:hAnsi="宋体" w:eastAsia="宋体" w:cs="宋体"/>
          <w:color w:val="auto"/>
          <w:lang w:eastAsia="zh-CN"/>
        </w:rPr>
        <w:t>）</w:t>
      </w:r>
      <w:r>
        <w:rPr>
          <w:rFonts w:hint="eastAsia" w:ascii="宋体" w:hAnsi="宋体" w:eastAsia="宋体" w:cs="宋体"/>
          <w:color w:val="auto"/>
        </w:rPr>
        <w:t>服务项目符合招标文件的服务要求。</w:t>
      </w:r>
    </w:p>
    <w:p>
      <w:pPr>
        <w:rPr>
          <w:rFonts w:ascii="新宋体" w:hAnsi="新宋体" w:eastAsia="新宋体"/>
          <w:b/>
        </w:rPr>
      </w:pPr>
    </w:p>
    <w:p>
      <w:pPr>
        <w:pStyle w:val="4"/>
        <w:rPr>
          <w:rFonts w:ascii="新宋体" w:hAnsi="新宋体" w:eastAsia="新宋体"/>
          <w:kern w:val="44"/>
          <w:szCs w:val="28"/>
        </w:rPr>
      </w:pPr>
      <w:r>
        <w:rPr>
          <w:rFonts w:hint="eastAsia" w:ascii="新宋体" w:hAnsi="新宋体" w:eastAsia="新宋体"/>
          <w:kern w:val="44"/>
          <w:szCs w:val="28"/>
        </w:rPr>
        <w:t>五、项目商务要求</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kern w:val="0"/>
          <w:szCs w:val="21"/>
        </w:rPr>
      </w:pPr>
      <w:r>
        <w:rPr>
          <w:rFonts w:hint="eastAsia" w:ascii="宋体" w:hAnsi="宋体" w:cs="宋体"/>
          <w:b/>
          <w:bCs/>
          <w:color w:val="000000"/>
          <w:kern w:val="0"/>
          <w:szCs w:val="21"/>
        </w:rPr>
        <w:t>报价要求</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0"/>
        <w:rPr>
          <w:rFonts w:hint="eastAsia" w:ascii="宋体" w:hAnsi="宋体" w:cs="宋体"/>
          <w:color w:val="000000"/>
          <w:szCs w:val="21"/>
        </w:rPr>
      </w:pPr>
      <w:r>
        <w:rPr>
          <w:rFonts w:hint="eastAsia" w:ascii="宋体" w:hAnsi="宋体" w:cs="宋体"/>
          <w:color w:val="000000"/>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0"/>
        <w:rPr>
          <w:rFonts w:hint="eastAsia" w:ascii="宋体" w:hAnsi="宋体" w:cs="宋体"/>
          <w:color w:val="000000"/>
          <w:szCs w:val="21"/>
        </w:rPr>
      </w:pPr>
      <w:r>
        <w:rPr>
          <w:rFonts w:hint="eastAsia" w:ascii="宋体" w:hAnsi="宋体" w:cs="宋体"/>
          <w:color w:val="000000"/>
          <w:szCs w:val="21"/>
        </w:rPr>
        <w:t>2、投标人的投标报价，应是本项目招标范围和招标文件及合同条款上所列的各项内容中所述的全部，不得以任何理由予以重复，并以投标人在投标文件中提出的综合单价或总价为依据。</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0"/>
        <w:rPr>
          <w:rFonts w:hint="eastAsia" w:ascii="宋体" w:hAnsi="宋体" w:cs="宋体"/>
          <w:color w:val="000000"/>
          <w:szCs w:val="21"/>
        </w:rPr>
      </w:pPr>
      <w:r>
        <w:rPr>
          <w:rFonts w:hint="eastAsia" w:ascii="宋体" w:hAnsi="宋体" w:cs="宋体"/>
          <w:color w:val="000000"/>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0"/>
        <w:rPr>
          <w:rFonts w:hint="eastAsia" w:ascii="宋体" w:hAnsi="宋体" w:cs="宋体"/>
          <w:color w:val="000000"/>
          <w:szCs w:val="21"/>
        </w:rPr>
      </w:pPr>
      <w:r>
        <w:rPr>
          <w:rFonts w:hint="eastAsia" w:ascii="宋体" w:hAnsi="宋体" w:cs="宋体"/>
          <w:color w:val="000000"/>
          <w:szCs w:val="21"/>
        </w:rPr>
        <w:t>4、投标人应充分了解项目的位置、情况、道路及任何其它足以影响投标报价的情况，任何因忽视或误解项目情况而导致的索赔或服务期限延长申请将不获批准。</w:t>
      </w:r>
    </w:p>
    <w:p>
      <w:pPr>
        <w:keepNext w:val="0"/>
        <w:keepLines w:val="0"/>
        <w:pageBreakBefore w:val="0"/>
        <w:widowControl/>
        <w:kinsoku/>
        <w:wordWrap/>
        <w:overflowPunct/>
        <w:topLinePunct w:val="0"/>
        <w:autoSpaceDE/>
        <w:autoSpaceDN/>
        <w:bidi w:val="0"/>
        <w:adjustRightInd w:val="0"/>
        <w:snapToGrid w:val="0"/>
        <w:spacing w:line="240" w:lineRule="auto"/>
        <w:ind w:firstLine="420" w:firstLineChars="200"/>
        <w:textAlignment w:val="auto"/>
        <w:outlineLvl w:val="0"/>
        <w:rPr>
          <w:rFonts w:hint="eastAsia" w:ascii="宋体" w:hAnsi="宋体" w:cs="宋体"/>
          <w:color w:val="000000"/>
          <w:szCs w:val="21"/>
        </w:rPr>
      </w:pPr>
      <w:r>
        <w:rPr>
          <w:rFonts w:hint="eastAsia" w:ascii="宋体" w:hAnsi="宋体" w:cs="宋体"/>
          <w:color w:val="000000"/>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color w:val="000000"/>
          <w:szCs w:val="21"/>
        </w:rPr>
      </w:pPr>
      <w:r>
        <w:rPr>
          <w:rFonts w:hint="eastAsia" w:ascii="宋体" w:hAnsi="宋体" w:cs="宋体"/>
          <w:color w:val="000000"/>
          <w:szCs w:val="21"/>
        </w:rPr>
        <w:t xml:space="preserve">6、投标人须考虑本项目在实施期间的一切可能产生的费用。在项目实施过程中，如项目工作范围发生变更，由中标人和采购人双方协商解决；其余情况下，投标总价均不予调整。  </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支付要求</w:t>
      </w:r>
    </w:p>
    <w:p>
      <w:pPr>
        <w:pStyle w:val="6"/>
        <w:keepNext w:val="0"/>
        <w:keepLines w:val="0"/>
        <w:pageBreakBefore w:val="0"/>
        <w:widowControl w:val="0"/>
        <w:tabs>
          <w:tab w:val="left" w:pos="780"/>
        </w:tabs>
        <w:kinsoku/>
        <w:wordWrap/>
        <w:overflowPunct/>
        <w:topLinePunct w:val="0"/>
        <w:autoSpaceDE/>
        <w:autoSpaceDN/>
        <w:bidi w:val="0"/>
        <w:adjustRightInd w:val="0"/>
        <w:snapToGrid w:val="0"/>
        <w:spacing w:line="240" w:lineRule="auto"/>
        <w:ind w:left="420"/>
        <w:textAlignment w:val="auto"/>
        <w:rPr>
          <w:rFonts w:hint="eastAsia" w:hAnsi="宋体" w:cs="宋体"/>
          <w:szCs w:val="21"/>
        </w:rPr>
      </w:pPr>
      <w:r>
        <w:rPr>
          <w:rFonts w:hint="eastAsia" w:hAnsi="宋体" w:cs="宋体"/>
          <w:szCs w:val="21"/>
        </w:rPr>
        <w:t>1、签订合同后，采购人在收到中标人</w:t>
      </w:r>
      <w:r>
        <w:rPr>
          <w:rFonts w:hint="eastAsia" w:hAnsi="宋体" w:cs="宋体"/>
          <w:szCs w:val="21"/>
          <w:lang w:val="en-US" w:eastAsia="zh-CN"/>
        </w:rPr>
        <w:t>提供的</w:t>
      </w:r>
      <w:r>
        <w:rPr>
          <w:rFonts w:hint="eastAsia" w:hAnsi="宋体" w:cs="宋体"/>
          <w:szCs w:val="21"/>
        </w:rPr>
        <w:t>合法等额有效发票后15日内向中标人支付合同总价的</w:t>
      </w:r>
      <w:r>
        <w:rPr>
          <w:rFonts w:hint="eastAsia" w:hAnsi="宋体" w:cs="宋体"/>
          <w:szCs w:val="21"/>
          <w:lang w:val="en-US" w:eastAsia="zh-CN"/>
        </w:rPr>
        <w:t>35</w:t>
      </w:r>
      <w:r>
        <w:rPr>
          <w:rFonts w:hint="eastAsia" w:hAnsi="宋体" w:cs="宋体"/>
          <w:szCs w:val="21"/>
        </w:rPr>
        <w:t>%。</w:t>
      </w:r>
    </w:p>
    <w:p>
      <w:pPr>
        <w:pStyle w:val="6"/>
        <w:keepNext w:val="0"/>
        <w:keepLines w:val="0"/>
        <w:pageBreakBefore w:val="0"/>
        <w:widowControl w:val="0"/>
        <w:tabs>
          <w:tab w:val="left" w:pos="780"/>
        </w:tabs>
        <w:kinsoku/>
        <w:wordWrap/>
        <w:overflowPunct/>
        <w:topLinePunct w:val="0"/>
        <w:autoSpaceDE/>
        <w:autoSpaceDN/>
        <w:bidi w:val="0"/>
        <w:adjustRightInd w:val="0"/>
        <w:snapToGrid w:val="0"/>
        <w:spacing w:line="240" w:lineRule="auto"/>
        <w:ind w:left="420"/>
        <w:textAlignment w:val="auto"/>
        <w:rPr>
          <w:rFonts w:hint="eastAsia" w:hAnsi="宋体" w:cs="宋体"/>
          <w:szCs w:val="21"/>
        </w:rPr>
      </w:pPr>
      <w:r>
        <w:rPr>
          <w:rFonts w:hint="eastAsia" w:hAnsi="宋体" w:cs="宋体"/>
          <w:szCs w:val="21"/>
        </w:rPr>
        <w:t>2、</w:t>
      </w:r>
      <w:r>
        <w:rPr>
          <w:rFonts w:hint="eastAsia" w:hAnsi="宋体" w:cs="宋体"/>
          <w:szCs w:val="21"/>
          <w:lang w:val="en-US" w:eastAsia="zh-CN"/>
        </w:rPr>
        <w:t>项目进行至中后期，提交项目工作进度报告，采购</w:t>
      </w:r>
      <w:r>
        <w:rPr>
          <w:rFonts w:hint="default" w:hAnsi="宋体" w:cs="宋体"/>
          <w:szCs w:val="21"/>
          <w:lang w:eastAsia="zh-CN"/>
        </w:rPr>
        <w:t>人</w:t>
      </w:r>
      <w:r>
        <w:rPr>
          <w:rFonts w:hint="eastAsia" w:hAnsi="宋体" w:cs="宋体"/>
          <w:szCs w:val="21"/>
          <w:lang w:val="en-US" w:eastAsia="zh-CN"/>
        </w:rPr>
        <w:t>在</w:t>
      </w:r>
      <w:r>
        <w:rPr>
          <w:rFonts w:hint="eastAsia" w:hAnsi="宋体" w:cs="宋体"/>
          <w:szCs w:val="21"/>
        </w:rPr>
        <w:t>收到中标人</w:t>
      </w:r>
      <w:r>
        <w:rPr>
          <w:rFonts w:hint="eastAsia" w:hAnsi="宋体" w:cs="宋体"/>
          <w:szCs w:val="21"/>
          <w:lang w:val="en-US" w:eastAsia="zh-CN"/>
        </w:rPr>
        <w:t>提供的</w:t>
      </w:r>
      <w:r>
        <w:rPr>
          <w:rFonts w:hint="eastAsia" w:hAnsi="宋体" w:cs="宋体"/>
          <w:szCs w:val="21"/>
        </w:rPr>
        <w:t>合法等额有效发票后15日内</w:t>
      </w:r>
      <w:r>
        <w:rPr>
          <w:rFonts w:hint="default" w:hAnsi="宋体" w:cs="宋体"/>
          <w:szCs w:val="21"/>
        </w:rPr>
        <w:t>向中标人</w:t>
      </w:r>
      <w:r>
        <w:rPr>
          <w:rFonts w:hint="eastAsia" w:hAnsi="宋体" w:cs="宋体"/>
          <w:szCs w:val="21"/>
        </w:rPr>
        <w:t>支付合同总价款的</w:t>
      </w:r>
      <w:r>
        <w:rPr>
          <w:rFonts w:hint="eastAsia" w:hAnsi="宋体" w:cs="宋体"/>
          <w:szCs w:val="21"/>
          <w:lang w:val="en-US" w:eastAsia="zh-CN"/>
        </w:rPr>
        <w:t>50</w:t>
      </w:r>
      <w:r>
        <w:rPr>
          <w:rFonts w:hint="eastAsia" w:hAnsi="宋体" w:cs="宋体"/>
          <w:szCs w:val="21"/>
        </w:rPr>
        <w:t>%</w:t>
      </w:r>
    </w:p>
    <w:p>
      <w:pPr>
        <w:pStyle w:val="6"/>
        <w:keepNext w:val="0"/>
        <w:keepLines w:val="0"/>
        <w:pageBreakBefore w:val="0"/>
        <w:widowControl w:val="0"/>
        <w:tabs>
          <w:tab w:val="left" w:pos="780"/>
        </w:tabs>
        <w:kinsoku/>
        <w:wordWrap/>
        <w:overflowPunct/>
        <w:topLinePunct w:val="0"/>
        <w:autoSpaceDE/>
        <w:autoSpaceDN/>
        <w:bidi w:val="0"/>
        <w:adjustRightInd w:val="0"/>
        <w:snapToGrid w:val="0"/>
        <w:spacing w:line="240" w:lineRule="auto"/>
        <w:ind w:left="420"/>
        <w:textAlignment w:val="auto"/>
        <w:rPr>
          <w:rFonts w:hint="eastAsia" w:hAnsi="宋体" w:cs="宋体"/>
          <w:szCs w:val="21"/>
        </w:rPr>
      </w:pPr>
      <w:r>
        <w:rPr>
          <w:rFonts w:hint="eastAsia" w:hAnsi="宋体" w:cs="宋体"/>
          <w:szCs w:val="21"/>
        </w:rPr>
        <w:t>3、项目验收合格后，采购人在收到中标人</w:t>
      </w:r>
      <w:r>
        <w:rPr>
          <w:rFonts w:hint="eastAsia" w:hAnsi="宋体" w:cs="宋体"/>
          <w:szCs w:val="21"/>
          <w:lang w:val="en-US" w:eastAsia="zh-CN"/>
        </w:rPr>
        <w:t>提供的</w:t>
      </w:r>
      <w:r>
        <w:rPr>
          <w:rFonts w:hint="eastAsia" w:hAnsi="宋体" w:cs="宋体"/>
          <w:szCs w:val="21"/>
        </w:rPr>
        <w:t>合法等额有效发票后15日内向中标人支付合同总价的</w:t>
      </w:r>
      <w:r>
        <w:rPr>
          <w:rFonts w:hint="default" w:hAnsi="宋体" w:cs="宋体"/>
          <w:szCs w:val="21"/>
          <w:lang w:val="en-US" w:eastAsia="zh-CN"/>
        </w:rPr>
        <w:t>1</w:t>
      </w:r>
      <w:r>
        <w:rPr>
          <w:rFonts w:hint="eastAsia" w:hAnsi="宋体" w:cs="宋体"/>
          <w:szCs w:val="21"/>
          <w:lang w:val="en-US" w:eastAsia="zh-CN"/>
        </w:rPr>
        <w:t>5</w:t>
      </w:r>
      <w:r>
        <w:rPr>
          <w:rFonts w:hint="eastAsia" w:hAnsi="宋体" w:cs="宋体"/>
          <w:szCs w:val="21"/>
        </w:rPr>
        <w:t>%。</w:t>
      </w:r>
    </w:p>
    <w:p>
      <w:pPr>
        <w:pStyle w:val="6"/>
        <w:keepNext w:val="0"/>
        <w:keepLines w:val="0"/>
        <w:pageBreakBefore w:val="0"/>
        <w:widowControl w:val="0"/>
        <w:tabs>
          <w:tab w:val="left" w:pos="780"/>
        </w:tabs>
        <w:kinsoku/>
        <w:wordWrap/>
        <w:overflowPunct/>
        <w:topLinePunct w:val="0"/>
        <w:autoSpaceDE/>
        <w:autoSpaceDN/>
        <w:bidi w:val="0"/>
        <w:adjustRightInd w:val="0"/>
        <w:snapToGrid w:val="0"/>
        <w:spacing w:line="240" w:lineRule="auto"/>
        <w:ind w:left="420"/>
        <w:textAlignment w:val="auto"/>
        <w:rPr>
          <w:rFonts w:hint="eastAsia" w:hAnsi="宋体" w:cs="宋体"/>
          <w:color w:val="auto"/>
          <w:szCs w:val="21"/>
        </w:rPr>
      </w:pPr>
      <w:r>
        <w:rPr>
          <w:rFonts w:hint="eastAsia" w:hAnsi="宋体" w:cs="宋体"/>
          <w:szCs w:val="21"/>
        </w:rPr>
        <w:t>4、每次按合同</w:t>
      </w:r>
      <w:r>
        <w:rPr>
          <w:rFonts w:hint="eastAsia" w:hAnsi="宋体" w:cs="宋体"/>
          <w:color w:val="auto"/>
          <w:szCs w:val="21"/>
        </w:rPr>
        <w:t>支付款项前，中标人需向采购人提供与支付金额相符的有效发票，且收款方、出具发票方、合同</w:t>
      </w:r>
      <w:r>
        <w:rPr>
          <w:rFonts w:hint="eastAsia" w:hAnsi="宋体" w:cs="宋体"/>
          <w:color w:val="auto"/>
          <w:szCs w:val="21"/>
          <w:lang w:eastAsia="zh-CN"/>
        </w:rPr>
        <w:t>中标人</w:t>
      </w:r>
      <w:r>
        <w:rPr>
          <w:rFonts w:hint="eastAsia" w:hAnsi="宋体" w:cs="宋体"/>
          <w:color w:val="auto"/>
          <w:szCs w:val="21"/>
        </w:rPr>
        <w:t>均需与中标人名称一致；</w:t>
      </w:r>
    </w:p>
    <w:p>
      <w:pPr>
        <w:pStyle w:val="6"/>
        <w:keepNext w:val="0"/>
        <w:keepLines w:val="0"/>
        <w:pageBreakBefore w:val="0"/>
        <w:widowControl w:val="0"/>
        <w:tabs>
          <w:tab w:val="left" w:pos="780"/>
        </w:tabs>
        <w:kinsoku/>
        <w:wordWrap/>
        <w:overflowPunct/>
        <w:topLinePunct w:val="0"/>
        <w:autoSpaceDE/>
        <w:autoSpaceDN/>
        <w:bidi w:val="0"/>
        <w:adjustRightInd w:val="0"/>
        <w:snapToGrid w:val="0"/>
        <w:spacing w:line="240" w:lineRule="auto"/>
        <w:ind w:left="420"/>
        <w:textAlignment w:val="auto"/>
        <w:rPr>
          <w:rFonts w:hint="eastAsia" w:hAnsi="宋体" w:cs="宋体"/>
          <w:color w:val="auto"/>
          <w:szCs w:val="21"/>
          <w:shd w:val="clear" w:color="FFFFFF" w:fill="D9D9D9"/>
        </w:rPr>
      </w:pPr>
      <w:r>
        <w:rPr>
          <w:rFonts w:hAnsi="宋体" w:cs="宋体"/>
          <w:color w:val="auto"/>
          <w:szCs w:val="21"/>
        </w:rPr>
        <w:t>5、</w:t>
      </w:r>
      <w:r>
        <w:rPr>
          <w:rFonts w:hint="eastAsia" w:hAnsi="宋体" w:cs="宋体"/>
          <w:color w:val="auto"/>
          <w:szCs w:val="21"/>
        </w:rPr>
        <w:t>中标人如为中小企业，在资金支付期限、预付款比例等方面享受优惠措施。</w:t>
      </w:r>
    </w:p>
    <w:p>
      <w:pPr>
        <w:keepNext w:val="0"/>
        <w:keepLines w:val="0"/>
        <w:pageBreakBefore w:val="0"/>
        <w:widowControl w:val="0"/>
        <w:kinsoku/>
        <w:wordWrap/>
        <w:overflowPunct/>
        <w:topLinePunct w:val="0"/>
        <w:autoSpaceDE/>
        <w:autoSpaceDN/>
        <w:bidi w:val="0"/>
        <w:spacing w:line="240" w:lineRule="auto"/>
        <w:ind w:firstLine="420" w:firstLineChars="200"/>
        <w:textAlignment w:val="auto"/>
        <w:rPr>
          <w:rFonts w:hint="eastAsia" w:hAnsi="宋体" w:cs="宋体"/>
          <w:color w:val="FF0000"/>
          <w:szCs w:val="21"/>
          <w:shd w:val="clear" w:color="FFFFFF" w:fill="D9D9D9"/>
        </w:rPr>
      </w:pPr>
      <w:r>
        <w:rPr>
          <w:rFonts w:hint="eastAsia" w:ascii="宋体" w:hAnsi="宋体"/>
        </w:rPr>
        <w:t>注意：项目付款均需按照财政集中支付程序办理付款手续，且在拨款到位后支付，若后续年度经人大审议通过的部门预算中，该采购项目预算金额较提前采购计划金额发生变化的，双方可根据相关规定签订补充协议或终止协议执行。</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合同服务期限</w:t>
      </w:r>
    </w:p>
    <w:p>
      <w:pPr>
        <w:keepNext w:val="0"/>
        <w:keepLines w:val="0"/>
        <w:pageBreakBefore w:val="0"/>
        <w:shd w:val="clear" w:color="auto" w:fill="auto"/>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合同服务期自合同约定之日起一年内。本项目为长期服务项目，合同一年一签，合同期满后或约定的工作量完成之日（先达到的条件作为结算标准）后采购人根据项目实施情况及履约评价结果，可与中标人协商续期，合同履行期限最长不超过三十六个月。</w:t>
      </w:r>
    </w:p>
    <w:p>
      <w:pPr>
        <w:keepNext w:val="0"/>
        <w:keepLines w:val="0"/>
        <w:pageBreakBefore w:val="0"/>
        <w:shd w:val="clear" w:color="auto" w:fill="auto"/>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2、售后服务期限：项目完成由采购人验收通过后进入售后服务期1年，中标人要在售后服务期限内提供相关咨询、协调和项目审查等技术支持。</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color w:val="000000"/>
          <w:szCs w:val="21"/>
        </w:rPr>
      </w:pPr>
      <w:r>
        <w:rPr>
          <w:rFonts w:hint="eastAsia" w:ascii="宋体" w:hAnsi="宋体" w:cs="宋体"/>
          <w:b/>
          <w:color w:val="000000"/>
          <w:szCs w:val="21"/>
        </w:rPr>
        <w:t>保密要求</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color w:val="000000"/>
          <w:szCs w:val="21"/>
        </w:rPr>
      </w:pPr>
      <w:r>
        <w:rPr>
          <w:rFonts w:hint="eastAsia" w:ascii="宋体" w:hAnsi="宋体" w:cs="宋体"/>
          <w:color w:val="000000"/>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kern w:val="0"/>
          <w:szCs w:val="21"/>
        </w:rPr>
      </w:pPr>
      <w:r>
        <w:rPr>
          <w:rFonts w:hint="eastAsia" w:ascii="宋体" w:hAnsi="宋体" w:cs="宋体"/>
          <w:b/>
          <w:bCs/>
          <w:color w:val="000000"/>
          <w:szCs w:val="21"/>
        </w:rPr>
        <w:t>★违约责任</w:t>
      </w:r>
      <w:r>
        <w:rPr>
          <w:rFonts w:hint="eastAsia" w:ascii="宋体" w:hAnsi="宋体" w:cs="宋体"/>
          <w:b/>
          <w:bCs/>
          <w:color w:val="000000"/>
          <w:szCs w:val="21"/>
        </w:rPr>
        <w:tab/>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1、</w:t>
      </w:r>
      <w:r>
        <w:rPr>
          <w:rFonts w:hint="eastAsia" w:ascii="宋体" w:hAnsi="宋体" w:eastAsia="宋体" w:cs="宋体"/>
          <w:color w:val="auto"/>
        </w:rPr>
        <w:t>中标人未按照合同约定履行义务的，采购人有权单方解除合同，不支付合同款项，已经支付的有权要求中标人全额返还。同时，中标人应向采购人支付合同总价款10%的违约金。若因此给采购人造成损失的，中标人还需赔偿损失。</w:t>
      </w:r>
    </w:p>
    <w:p>
      <w:pPr>
        <w:pStyle w:val="7"/>
        <w:keepNext w:val="0"/>
        <w:keepLines w:val="0"/>
        <w:pageBreakBefore w:val="0"/>
        <w:kinsoku/>
        <w:wordWrap/>
        <w:overflowPunct/>
        <w:topLinePunct w:val="0"/>
        <w:autoSpaceDE/>
        <w:autoSpaceDN/>
        <w:bidi w:val="0"/>
        <w:spacing w:line="240" w:lineRule="auto"/>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2</w:t>
      </w:r>
      <w:r>
        <w:rPr>
          <w:rFonts w:hint="eastAsia" w:ascii="宋体" w:hAnsi="宋体" w:eastAsia="宋体" w:cs="宋体"/>
          <w:color w:val="auto"/>
        </w:rPr>
        <w:t>、如中标人违反保密义务或提供的项目服务或项目成果侵犯第三方知识产权的，采购人有权解除合同，中标人应当返还采购人已支付款项并向采购人支付采购合同总价款</w:t>
      </w:r>
      <w:r>
        <w:rPr>
          <w:rFonts w:hint="eastAsia" w:ascii="宋体" w:hAnsi="宋体" w:eastAsia="宋体" w:cs="宋体"/>
          <w:color w:val="auto"/>
          <w:lang w:val="en-US" w:eastAsia="zh-CN"/>
        </w:rPr>
        <w:t>1</w:t>
      </w:r>
      <w:r>
        <w:rPr>
          <w:rFonts w:hint="eastAsia" w:ascii="宋体" w:hAnsi="宋体" w:eastAsia="宋体" w:cs="宋体"/>
          <w:color w:val="auto"/>
        </w:rPr>
        <w:t>0%的违约金；</w:t>
      </w:r>
    </w:p>
    <w:p>
      <w:pPr>
        <w:pStyle w:val="7"/>
        <w:keepNext w:val="0"/>
        <w:keepLines w:val="0"/>
        <w:pageBreakBefore w:val="0"/>
        <w:kinsoku/>
        <w:wordWrap/>
        <w:overflowPunct/>
        <w:topLinePunct w:val="0"/>
        <w:autoSpaceDE/>
        <w:autoSpaceDN/>
        <w:bidi w:val="0"/>
        <w:spacing w:line="240" w:lineRule="auto"/>
        <w:ind w:firstLine="400" w:firstLineChars="200"/>
        <w:textAlignment w:val="auto"/>
        <w:rPr>
          <w:rFonts w:hint="eastAsia" w:ascii="宋体" w:hAnsi="宋体" w:eastAsia="宋体" w:cs="宋体"/>
          <w:color w:val="auto"/>
        </w:rPr>
      </w:pPr>
      <w:r>
        <w:rPr>
          <w:rFonts w:hint="eastAsia" w:ascii="宋体" w:hAnsi="宋体" w:eastAsia="宋体" w:cs="宋体"/>
          <w:color w:val="auto"/>
          <w:lang w:val="en-US" w:eastAsia="zh-CN"/>
        </w:rPr>
        <w:t>3</w:t>
      </w:r>
      <w:r>
        <w:rPr>
          <w:rFonts w:hint="eastAsia" w:ascii="宋体" w:hAnsi="宋体" w:eastAsia="宋体" w:cs="宋体"/>
          <w:color w:val="auto"/>
        </w:rPr>
        <w:t>、未经采购人同意，中标人不得将项目转包或分包给其他第三方，如若违反，采购人有权解除合同，中标人应当返还采购人已支付的款项并向采购人支付采购合同总价款</w:t>
      </w:r>
      <w:r>
        <w:rPr>
          <w:rFonts w:hint="eastAsia" w:ascii="宋体" w:hAnsi="宋体" w:eastAsia="宋体" w:cs="宋体"/>
          <w:color w:val="auto"/>
          <w:lang w:val="en-US" w:eastAsia="zh-CN"/>
        </w:rPr>
        <w:t>1</w:t>
      </w:r>
      <w:r>
        <w:rPr>
          <w:rFonts w:hint="eastAsia" w:ascii="宋体" w:hAnsi="宋体" w:eastAsia="宋体" w:cs="宋体"/>
          <w:color w:val="auto"/>
        </w:rPr>
        <w:t>0%的违约金。</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szCs w:val="21"/>
        </w:rPr>
      </w:pPr>
      <w:r>
        <w:rPr>
          <w:rFonts w:hint="eastAsia" w:ascii="宋体" w:hAnsi="宋体" w:cs="宋体"/>
          <w:b/>
          <w:bCs/>
          <w:color w:val="000000"/>
          <w:szCs w:val="21"/>
        </w:rPr>
        <w:t>合同的变更</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在合同履行过程中，采购人、中标人双方可就合同履行的时间、地点和方式等协商进行变更。协商一致后，双方应签订书面的补充协议。</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除双方签署书面协议并成为合同不可分割的一部分之外，合同条件不得有任何变更。</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合同转让和分包</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中标人不得以任何形式部分或全部转让其应履行的合同义务。</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除非在投标文件中提出的分包项目和建议的分包人，中标人不得采用分包方式履行合同。</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在合同实施过程中，除非中标人违约，采购人不得指定分包人。</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解决争议的方法</w:t>
      </w:r>
      <w:r>
        <w:rPr>
          <w:rFonts w:hint="eastAsia" w:ascii="宋体" w:hAnsi="宋体" w:cs="宋体"/>
          <w:b/>
          <w:bCs/>
          <w:color w:val="000000"/>
          <w:szCs w:val="21"/>
        </w:rPr>
        <w:tab/>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合同各方应通过友好协商解决在执行合同过程中所发生的或与合同有关的一切争端。</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如从协商开始28天内仍不能解决，任一方可向采购人所在地的人民法院提起诉讼。</w:t>
      </w:r>
    </w:p>
    <w:p>
      <w:pPr>
        <w:keepNext w:val="0"/>
        <w:keepLines w:val="0"/>
        <w:pageBreakBefore w:val="0"/>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在诉讼期间，除正在进行诉讼的部分外，合同的其他部分应继续执行。</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合同语言</w:t>
      </w:r>
      <w:r>
        <w:rPr>
          <w:rFonts w:hint="eastAsia" w:ascii="宋体" w:hAnsi="宋体" w:cs="宋体"/>
          <w:b/>
          <w:bCs/>
          <w:color w:val="000000"/>
          <w:szCs w:val="21"/>
        </w:rPr>
        <w:tab/>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rPr>
        <w:t>合同以及双方来住的与合同有关的信件、传真和其它文件应用中文书写。</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法律适用</w:t>
      </w:r>
      <w:r>
        <w:rPr>
          <w:rFonts w:hint="eastAsia" w:ascii="宋体" w:hAnsi="宋体" w:cs="宋体"/>
          <w:b/>
          <w:bCs/>
          <w:color w:val="000000"/>
          <w:szCs w:val="21"/>
        </w:rPr>
        <w:tab/>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rPr>
        <w:t>合同适用中华人民共和国现行法律、行政法规和规章，如合同条款与法律、行政法规和规章不一致的，按照法律、行政法规和规章修改合同。</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通知</w:t>
      </w:r>
      <w:r>
        <w:rPr>
          <w:rFonts w:hint="eastAsia" w:ascii="宋体" w:hAnsi="宋体" w:cs="宋体"/>
          <w:b/>
          <w:bCs/>
          <w:color w:val="000000"/>
          <w:szCs w:val="21"/>
        </w:rPr>
        <w:tab/>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合同一方给另一方的通知均应采用书面形式，传真或快递送到对方的地址和办理签收手续。</w:t>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通知以送到之日或通知书中规定的生效之日起生效，两者中以较迟之日为准。</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szCs w:val="21"/>
        </w:rPr>
      </w:pPr>
      <w:r>
        <w:rPr>
          <w:rFonts w:hint="eastAsia" w:ascii="宋体" w:hAnsi="宋体" w:cs="宋体"/>
          <w:b/>
          <w:bCs/>
          <w:szCs w:val="21"/>
        </w:rPr>
        <w:t>★知识产权合规承诺</w:t>
      </w:r>
      <w:r>
        <w:rPr>
          <w:rFonts w:hint="eastAsia" w:ascii="宋体" w:hAnsi="宋体" w:cs="宋体"/>
          <w:b/>
          <w:bCs/>
          <w:szCs w:val="21"/>
        </w:rPr>
        <w:tab/>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中标人在履行合同的过程中不得侵犯他人知识产权，不得提供虚假知识产权申请材料或者违背知识产权合规性承诺，否则依法追究其违约等责任，并将其失信违法信息依法纳入公共信用信息系统。</w:t>
      </w:r>
    </w:p>
    <w:p>
      <w:pPr>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pPr>
        <w:pStyle w:val="6"/>
        <w:keepNext w:val="0"/>
        <w:keepLines w:val="0"/>
        <w:pageBreakBefore w:val="0"/>
        <w:numPr>
          <w:ilvl w:val="0"/>
          <w:numId w:val="0"/>
        </w:numPr>
        <w:tabs>
          <w:tab w:val="left" w:pos="780"/>
        </w:tabs>
        <w:kinsoku/>
        <w:wordWrap/>
        <w:overflowPunct/>
        <w:topLinePunct w:val="0"/>
        <w:autoSpaceDE/>
        <w:autoSpaceDN/>
        <w:bidi w:val="0"/>
        <w:adjustRightInd w:val="0"/>
        <w:snapToGrid w:val="0"/>
        <w:spacing w:line="240" w:lineRule="auto"/>
        <w:ind w:left="420" w:leftChars="0"/>
        <w:textAlignment w:val="auto"/>
        <w:rPr>
          <w:rFonts w:hint="eastAsia" w:hAnsi="宋体" w:cs="宋体"/>
          <w:kern w:val="0"/>
          <w:szCs w:val="21"/>
        </w:rPr>
      </w:pPr>
      <w:r>
        <w:rPr>
          <w:rFonts w:hint="eastAsia" w:hAnsi="宋体" w:cs="宋体"/>
          <w:bCs/>
          <w:kern w:val="0"/>
          <w:szCs w:val="21"/>
          <w:lang w:val="en-US" w:eastAsia="zh-CN"/>
        </w:rPr>
        <w:t>3、</w:t>
      </w:r>
      <w:r>
        <w:rPr>
          <w:rFonts w:hint="eastAsia" w:hAnsi="宋体" w:cs="宋体"/>
          <w:bCs/>
          <w:kern w:val="0"/>
          <w:szCs w:val="21"/>
        </w:rPr>
        <w:t>中标人实施本项目所形成成果的知识产权归采购人所有，未经采购人许可，中标人不得随意使用。</w:t>
      </w:r>
    </w:p>
    <w:p>
      <w:pPr>
        <w:keepNext w:val="0"/>
        <w:keepLines w:val="0"/>
        <w:pageBreakBefore w:val="0"/>
        <w:numPr>
          <w:ilvl w:val="0"/>
          <w:numId w:val="2"/>
        </w:numPr>
        <w:shd w:val="clear" w:color="auto" w:fill="auto"/>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highlight w:val="none"/>
        </w:rPr>
      </w:pPr>
      <w:r>
        <w:rPr>
          <w:rFonts w:hint="eastAsia" w:ascii="宋体" w:hAnsi="宋体" w:cs="宋体"/>
          <w:b/>
          <w:bCs/>
          <w:color w:val="000000"/>
          <w:szCs w:val="21"/>
          <w:highlight w:val="none"/>
        </w:rPr>
        <w:t>人身安全条款</w:t>
      </w:r>
    </w:p>
    <w:p>
      <w:pPr>
        <w:keepNext w:val="0"/>
        <w:keepLines w:val="0"/>
        <w:pageBreakBefore w:val="0"/>
        <w:numPr>
          <w:ilvl w:val="0"/>
          <w:numId w:val="0"/>
        </w:numPr>
        <w:shd w:val="clear" w:color="auto" w:fill="auto"/>
        <w:tabs>
          <w:tab w:val="left" w:pos="540"/>
        </w:tabs>
        <w:kinsoku/>
        <w:wordWrap/>
        <w:overflowPunct/>
        <w:topLinePunct w:val="0"/>
        <w:autoSpaceDE/>
        <w:autoSpaceDN/>
        <w:bidi w:val="0"/>
        <w:adjustRightInd w:val="0"/>
        <w:snapToGrid w:val="0"/>
        <w:spacing w:line="240" w:lineRule="auto"/>
        <w:ind w:left="0" w:firstLine="420" w:firstLineChars="200"/>
        <w:textAlignment w:val="auto"/>
        <w:rPr>
          <w:rFonts w:hint="eastAsia" w:ascii="宋体" w:hAnsi="宋体" w:cs="宋体"/>
          <w:b w:val="0"/>
          <w:bCs w:val="0"/>
          <w:color w:val="000000"/>
          <w:szCs w:val="21"/>
          <w:highlight w:val="none"/>
          <w:lang w:eastAsia="zh-CN"/>
        </w:rPr>
      </w:pPr>
      <w:r>
        <w:rPr>
          <w:rFonts w:hint="eastAsia" w:ascii="宋体" w:hAnsi="宋体" w:cs="宋体"/>
          <w:b w:val="0"/>
          <w:bCs w:val="0"/>
          <w:color w:val="000000"/>
          <w:szCs w:val="21"/>
          <w:highlight w:val="none"/>
          <w:lang w:val="en-US" w:eastAsia="zh-CN"/>
        </w:rPr>
        <w:t>中标人</w:t>
      </w:r>
      <w:r>
        <w:rPr>
          <w:rFonts w:hint="eastAsia" w:ascii="宋体" w:hAnsi="宋体" w:cs="宋体"/>
          <w:b w:val="0"/>
          <w:bCs w:val="0"/>
          <w:color w:val="000000"/>
          <w:szCs w:val="21"/>
          <w:highlight w:val="none"/>
        </w:rPr>
        <w:t>工作人员人身安全、财产安全及人事管理由</w:t>
      </w:r>
      <w:r>
        <w:rPr>
          <w:rFonts w:hint="eastAsia" w:ascii="宋体" w:hAnsi="宋体" w:cs="宋体"/>
          <w:b w:val="0"/>
          <w:bCs w:val="0"/>
          <w:color w:val="000000"/>
          <w:szCs w:val="21"/>
          <w:highlight w:val="none"/>
          <w:lang w:val="en-US" w:eastAsia="zh-CN"/>
        </w:rPr>
        <w:t>中标人</w:t>
      </w:r>
      <w:r>
        <w:rPr>
          <w:rFonts w:hint="eastAsia" w:ascii="宋体" w:hAnsi="宋体" w:cs="宋体"/>
          <w:b w:val="0"/>
          <w:bCs w:val="0"/>
          <w:color w:val="000000"/>
          <w:szCs w:val="21"/>
          <w:highlight w:val="none"/>
        </w:rPr>
        <w:t>负责，合作期间工作人员发生的人身安全、财产安全等意外事故由</w:t>
      </w:r>
      <w:r>
        <w:rPr>
          <w:rFonts w:hint="eastAsia" w:ascii="宋体" w:hAnsi="宋体" w:cs="宋体"/>
          <w:b w:val="0"/>
          <w:bCs w:val="0"/>
          <w:color w:val="000000"/>
          <w:szCs w:val="21"/>
          <w:highlight w:val="none"/>
          <w:lang w:val="en-US" w:eastAsia="zh-CN"/>
        </w:rPr>
        <w:t>中标人</w:t>
      </w:r>
      <w:r>
        <w:rPr>
          <w:rFonts w:hint="eastAsia" w:ascii="宋体" w:hAnsi="宋体" w:cs="宋体"/>
          <w:b w:val="0"/>
          <w:bCs w:val="0"/>
          <w:color w:val="000000"/>
          <w:szCs w:val="21"/>
          <w:highlight w:val="none"/>
        </w:rPr>
        <w:t>自行负责，与</w:t>
      </w:r>
      <w:r>
        <w:rPr>
          <w:rFonts w:hint="eastAsia" w:ascii="宋体" w:hAnsi="宋体" w:cs="宋体"/>
          <w:b w:val="0"/>
          <w:bCs w:val="0"/>
          <w:color w:val="000000"/>
          <w:szCs w:val="21"/>
          <w:highlight w:val="none"/>
          <w:lang w:val="en-US" w:eastAsia="zh-CN"/>
        </w:rPr>
        <w:t>采购人</w:t>
      </w:r>
      <w:r>
        <w:rPr>
          <w:rFonts w:hint="eastAsia" w:ascii="宋体" w:hAnsi="宋体" w:cs="宋体"/>
          <w:b w:val="0"/>
          <w:bCs w:val="0"/>
          <w:color w:val="000000"/>
          <w:szCs w:val="21"/>
          <w:highlight w:val="none"/>
        </w:rPr>
        <w:t>无关</w:t>
      </w:r>
      <w:r>
        <w:rPr>
          <w:rFonts w:hint="eastAsia" w:ascii="宋体" w:hAnsi="宋体" w:cs="宋体"/>
          <w:b w:val="0"/>
          <w:bCs w:val="0"/>
          <w:color w:val="000000"/>
          <w:szCs w:val="21"/>
          <w:highlight w:val="none"/>
          <w:lang w:eastAsia="zh-CN"/>
        </w:rPr>
        <w:t>。</w:t>
      </w:r>
    </w:p>
    <w:p>
      <w:pPr>
        <w:keepNext w:val="0"/>
        <w:keepLines w:val="0"/>
        <w:pageBreakBefore w:val="0"/>
        <w:numPr>
          <w:ilvl w:val="0"/>
          <w:numId w:val="2"/>
        </w:numPr>
        <w:shd w:val="clear" w:color="auto" w:fill="auto"/>
        <w:tabs>
          <w:tab w:val="left" w:pos="540"/>
        </w:tabs>
        <w:kinsoku/>
        <w:wordWrap/>
        <w:overflowPunct/>
        <w:topLinePunct w:val="0"/>
        <w:autoSpaceDE/>
        <w:autoSpaceDN/>
        <w:bidi w:val="0"/>
        <w:adjustRightInd w:val="0"/>
        <w:snapToGrid w:val="0"/>
        <w:spacing w:line="240" w:lineRule="auto"/>
        <w:textAlignment w:val="auto"/>
        <w:rPr>
          <w:rFonts w:hint="eastAsia" w:ascii="宋体" w:hAnsi="宋体" w:eastAsia="宋体" w:cs="宋体"/>
          <w:b/>
          <w:bCs/>
          <w:color w:val="000000"/>
          <w:szCs w:val="21"/>
          <w:highlight w:val="none"/>
          <w:lang w:val="en-US" w:eastAsia="zh-CN"/>
        </w:rPr>
      </w:pPr>
      <w:r>
        <w:rPr>
          <w:rFonts w:hint="eastAsia" w:ascii="宋体" w:hAnsi="宋体" w:eastAsia="宋体" w:cs="宋体"/>
          <w:b/>
          <w:bCs/>
          <w:color w:val="000000"/>
          <w:szCs w:val="21"/>
          <w:highlight w:val="none"/>
          <w:lang w:val="en-US" w:eastAsia="zh-CN"/>
        </w:rPr>
        <w:t>廉政条款</w:t>
      </w:r>
    </w:p>
    <w:p>
      <w:pPr>
        <w:keepNext w:val="0"/>
        <w:keepLines w:val="0"/>
        <w:pageBreakBefore w:val="0"/>
        <w:numPr>
          <w:ilvl w:val="0"/>
          <w:numId w:val="0"/>
        </w:numPr>
        <w:shd w:val="clear" w:color="auto" w:fill="auto"/>
        <w:tabs>
          <w:tab w:val="left" w:pos="540"/>
        </w:tabs>
        <w:kinsoku/>
        <w:wordWrap/>
        <w:overflowPunct/>
        <w:topLinePunct w:val="0"/>
        <w:autoSpaceDE/>
        <w:autoSpaceDN/>
        <w:bidi w:val="0"/>
        <w:adjustRightInd w:val="0"/>
        <w:snapToGrid w:val="0"/>
        <w:spacing w:line="240" w:lineRule="auto"/>
        <w:ind w:left="0" w:firstLine="420" w:firstLineChars="200"/>
        <w:textAlignment w:val="auto"/>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1、中标人应加强对参加本协议项下工作的有关人员进行法律、法规、规章、政策等的教育工作，切实要求有关人员不得利用工作便利从事违法、违规活动，做到依法履职、廉洁自律；</w:t>
      </w:r>
    </w:p>
    <w:p>
      <w:pPr>
        <w:keepNext w:val="0"/>
        <w:keepLines w:val="0"/>
        <w:pageBreakBefore w:val="0"/>
        <w:numPr>
          <w:ilvl w:val="0"/>
          <w:numId w:val="0"/>
        </w:numPr>
        <w:shd w:val="clear" w:color="auto" w:fill="auto"/>
        <w:tabs>
          <w:tab w:val="left" w:pos="540"/>
        </w:tabs>
        <w:kinsoku/>
        <w:wordWrap/>
        <w:overflowPunct/>
        <w:topLinePunct w:val="0"/>
        <w:autoSpaceDE/>
        <w:autoSpaceDN/>
        <w:bidi w:val="0"/>
        <w:adjustRightInd w:val="0"/>
        <w:snapToGrid w:val="0"/>
        <w:spacing w:line="240" w:lineRule="auto"/>
        <w:ind w:left="0" w:firstLine="420" w:firstLineChars="200"/>
        <w:textAlignment w:val="auto"/>
        <w:rPr>
          <w:rFonts w:hint="eastAsia" w:ascii="宋体" w:hAnsi="宋体" w:eastAsia="宋体" w:cs="宋体"/>
          <w:b w:val="0"/>
          <w:bCs w:val="0"/>
          <w:color w:val="000000"/>
          <w:szCs w:val="21"/>
          <w:highlight w:val="none"/>
          <w:lang w:val="en-US" w:eastAsia="zh-CN"/>
        </w:rPr>
      </w:pPr>
      <w:r>
        <w:rPr>
          <w:rFonts w:hint="eastAsia" w:ascii="宋体" w:hAnsi="宋体" w:eastAsia="宋体" w:cs="宋体"/>
          <w:b w:val="0"/>
          <w:bCs w:val="0"/>
          <w:color w:val="000000"/>
          <w:szCs w:val="21"/>
          <w:highlight w:val="none"/>
          <w:lang w:val="en-US" w:eastAsia="zh-CN"/>
        </w:rPr>
        <w:t>2、中标人参与项目相关人员严格遵守工作纪律，不利用工作便利和掌握的内部秘密为本人或者他人从事牟利活动提供方便，不发生损害采购人利益的行为；</w:t>
      </w:r>
    </w:p>
    <w:p>
      <w:pPr>
        <w:keepNext w:val="0"/>
        <w:keepLines w:val="0"/>
        <w:pageBreakBefore w:val="0"/>
        <w:numPr>
          <w:ilvl w:val="0"/>
          <w:numId w:val="0"/>
        </w:numPr>
        <w:shd w:val="clear" w:color="auto" w:fill="auto"/>
        <w:tabs>
          <w:tab w:val="left" w:pos="540"/>
        </w:tabs>
        <w:kinsoku/>
        <w:wordWrap/>
        <w:overflowPunct/>
        <w:topLinePunct w:val="0"/>
        <w:autoSpaceDE/>
        <w:autoSpaceDN/>
        <w:bidi w:val="0"/>
        <w:adjustRightInd w:val="0"/>
        <w:snapToGrid w:val="0"/>
        <w:spacing w:line="240" w:lineRule="auto"/>
        <w:ind w:left="0" w:firstLine="420" w:firstLineChars="200"/>
        <w:textAlignment w:val="auto"/>
        <w:rPr>
          <w:rFonts w:hint="eastAsia" w:ascii="宋体" w:hAnsi="宋体" w:cs="宋体"/>
          <w:b/>
          <w:bCs/>
          <w:color w:val="000000"/>
          <w:szCs w:val="21"/>
        </w:rPr>
      </w:pPr>
      <w:r>
        <w:rPr>
          <w:rFonts w:hint="eastAsia" w:ascii="宋体" w:hAnsi="宋体" w:eastAsia="宋体" w:cs="宋体"/>
          <w:b w:val="0"/>
          <w:bCs w:val="0"/>
          <w:color w:val="000000"/>
          <w:szCs w:val="21"/>
          <w:highlight w:val="none"/>
          <w:lang w:val="en-US" w:eastAsia="zh-CN"/>
        </w:rPr>
        <w:t>3、中标人应了解采购人单位有关廉政建设的各项制度和规定，支持采购人执行有关规定和制度，通过正常途径开展业务工作，不得为获取某些不正当利益而向采购人工作人员赠送礼金、有价证券或贵重物品等。</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color w:val="000000"/>
          <w:szCs w:val="21"/>
        </w:rPr>
      </w:pPr>
      <w:r>
        <w:rPr>
          <w:rFonts w:hint="eastAsia" w:ascii="宋体" w:hAnsi="宋体" w:cs="宋体"/>
          <w:b/>
          <w:bCs/>
          <w:color w:val="000000"/>
          <w:szCs w:val="21"/>
        </w:rPr>
        <w:t>合同解除和终止</w:t>
      </w:r>
      <w:r>
        <w:rPr>
          <w:rFonts w:hint="eastAsia" w:ascii="宋体" w:hAnsi="宋体" w:cs="宋体"/>
          <w:b/>
          <w:bCs/>
          <w:color w:val="000000"/>
          <w:szCs w:val="21"/>
        </w:rPr>
        <w:tab/>
      </w:r>
    </w:p>
    <w:p>
      <w:pPr>
        <w:keepNext w:val="0"/>
        <w:keepLines w:val="0"/>
        <w:pageBreakBefore w:val="0"/>
        <w:tabs>
          <w:tab w:val="left" w:pos="780"/>
        </w:tabs>
        <w:kinsoku/>
        <w:wordWrap/>
        <w:overflowPunct/>
        <w:topLinePunct w:val="0"/>
        <w:autoSpaceDE/>
        <w:autoSpaceDN/>
        <w:bidi w:val="0"/>
        <w:adjustRightInd w:val="0"/>
        <w:snapToGrid w:val="0"/>
        <w:spacing w:line="240" w:lineRule="auto"/>
        <w:ind w:firstLine="420" w:firstLineChars="200"/>
        <w:textAlignment w:val="auto"/>
        <w:rPr>
          <w:rFonts w:hint="eastAsia" w:ascii="宋体" w:hAnsi="宋体" w:cs="宋体"/>
          <w:kern w:val="0"/>
          <w:szCs w:val="21"/>
        </w:rPr>
      </w:pPr>
      <w:r>
        <w:rPr>
          <w:rFonts w:hint="eastAsia" w:ascii="宋体" w:hAnsi="宋体" w:cs="宋体"/>
          <w:kern w:val="0"/>
          <w:szCs w:val="21"/>
        </w:rPr>
        <w:t>如果中标人未能在协议规定的限期或采购人同意延长的限期内提供部分或全部服务，采购人可向中标人发出书面的违约通知书，提出解除或终止部份或全部协议。采购人可在任何时候出于自身的便利向中标人发出书面通知终止部分合同，采购人在合同总价中扣除该终止部分服务的价款，并不再对中标人作出额外赔偿。</w:t>
      </w:r>
    </w:p>
    <w:p>
      <w:pPr>
        <w:keepNext w:val="0"/>
        <w:keepLines w:val="0"/>
        <w:pageBreakBefore w:val="0"/>
        <w:numPr>
          <w:ilvl w:val="0"/>
          <w:numId w:val="2"/>
        </w:numPr>
        <w:tabs>
          <w:tab w:val="left" w:pos="540"/>
        </w:tabs>
        <w:kinsoku/>
        <w:wordWrap/>
        <w:overflowPunct/>
        <w:topLinePunct w:val="0"/>
        <w:autoSpaceDE/>
        <w:autoSpaceDN/>
        <w:bidi w:val="0"/>
        <w:adjustRightInd w:val="0"/>
        <w:snapToGrid w:val="0"/>
        <w:spacing w:line="240" w:lineRule="auto"/>
        <w:textAlignment w:val="auto"/>
        <w:rPr>
          <w:rFonts w:hint="eastAsia" w:ascii="宋体" w:hAnsi="宋体" w:cs="宋体"/>
          <w:b/>
          <w:bCs/>
          <w:kern w:val="0"/>
          <w:szCs w:val="21"/>
        </w:rPr>
      </w:pPr>
      <w:r>
        <w:rPr>
          <w:rFonts w:hint="eastAsia" w:ascii="宋体" w:hAnsi="宋体" w:cs="宋体"/>
          <w:b/>
          <w:bCs/>
          <w:kern w:val="0"/>
          <w:szCs w:val="21"/>
        </w:rPr>
        <w:t>税费</w:t>
      </w:r>
      <w:r>
        <w:rPr>
          <w:rFonts w:hint="eastAsia" w:ascii="宋体" w:hAnsi="宋体" w:cs="宋体"/>
          <w:b/>
          <w:bCs/>
          <w:kern w:val="0"/>
          <w:szCs w:val="21"/>
        </w:rPr>
        <w:tab/>
      </w:r>
    </w:p>
    <w:p>
      <w:pPr>
        <w:spacing w:line="360" w:lineRule="auto"/>
        <w:rPr>
          <w:rFonts w:ascii="新宋体" w:hAnsi="新宋体" w:eastAsia="新宋体" w:cs="宋体"/>
          <w:szCs w:val="21"/>
        </w:rPr>
      </w:pPr>
      <w:r>
        <w:rPr>
          <w:rFonts w:hint="eastAsia" w:ascii="宋体" w:hAnsi="宋体" w:cs="宋体"/>
          <w:kern w:val="0"/>
          <w:szCs w:val="21"/>
        </w:rPr>
        <w:t>中国政府根据现行税法向中标人征收的与合同有关的一切税费均由中标人负责。</w:t>
      </w:r>
    </w:p>
    <w:p>
      <w:pPr>
        <w:pStyle w:val="4"/>
        <w:rPr>
          <w:rFonts w:ascii="新宋体" w:hAnsi="新宋体" w:eastAsia="新宋体"/>
          <w:kern w:val="44"/>
          <w:szCs w:val="28"/>
        </w:rPr>
      </w:pPr>
      <w:r>
        <w:rPr>
          <w:rFonts w:hint="eastAsia" w:ascii="新宋体" w:hAnsi="新宋体" w:eastAsia="新宋体"/>
          <w:kern w:val="44"/>
          <w:szCs w:val="28"/>
        </w:rPr>
        <w:t>六、投标报价</w:t>
      </w:r>
    </w:p>
    <w:p>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pPr>
        <w:spacing w:line="360" w:lineRule="auto"/>
        <w:rPr>
          <w:rFonts w:ascii="新宋体" w:hAnsi="新宋体" w:eastAsia="新宋体" w:cs="宋体"/>
          <w:szCs w:val="21"/>
        </w:rPr>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AC778E"/>
    <w:multiLevelType w:val="multilevel"/>
    <w:tmpl w:val="25AC778E"/>
    <w:lvl w:ilvl="0" w:tentative="0">
      <w:start w:val="1"/>
      <w:numFmt w:val="japaneseCounting"/>
      <w:lvlText w:val="%1、"/>
      <w:lvlJc w:val="left"/>
      <w:pPr>
        <w:tabs>
          <w:tab w:val="left" w:pos="420"/>
        </w:tabs>
        <w:ind w:left="420" w:hanging="420"/>
      </w:pPr>
      <w:rPr>
        <w:rFonts w:ascii="宋体" w:hAnsi="宋体" w:eastAsia="宋体" w:cs="Courier New"/>
        <w:color w:val="auto"/>
      </w:rPr>
    </w:lvl>
    <w:lvl w:ilvl="1" w:tentative="0">
      <w:start w:val="1"/>
      <w:numFmt w:val="decimal"/>
      <w:lvlText w:val="%2、"/>
      <w:lvlJc w:val="left"/>
      <w:rPr>
        <w:rFonts w:hint="default"/>
        <w:b w:val="0"/>
        <w:color w:val="auto"/>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E363F5C"/>
    <w:multiLevelType w:val="multilevel"/>
    <w:tmpl w:val="4E363F5C"/>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000000"/>
    <w:rsid w:val="76341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4"/>
    <w:next w:val="5"/>
    <w:qFormat/>
    <w:uiPriority w:val="0"/>
    <w:pPr>
      <w:adjustRightInd w:val="0"/>
      <w:jc w:val="center"/>
      <w:textAlignment w:val="baseline"/>
      <w:outlineLvl w:val="1"/>
    </w:pPr>
    <w:rPr>
      <w:kern w:val="0"/>
      <w:sz w:val="24"/>
      <w:szCs w:val="20"/>
    </w:rPr>
  </w:style>
  <w:style w:type="paragraph" w:styleId="4">
    <w:name w:val="heading 3"/>
    <w:basedOn w:val="5"/>
    <w:next w:val="1"/>
    <w:qFormat/>
    <w:uiPriority w:val="0"/>
    <w:pPr>
      <w:spacing w:before="260" w:after="260" w:line="240" w:lineRule="auto"/>
      <w:outlineLvl w:val="2"/>
    </w:pPr>
    <w:rPr>
      <w:rFonts w:ascii="宋体" w:hAnsi="宋体" w:eastAsia="宋体"/>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6">
    <w:name w:val="Plain Text"/>
    <w:basedOn w:val="1"/>
    <w:qFormat/>
    <w:uiPriority w:val="0"/>
    <w:rPr>
      <w:rFonts w:ascii="宋体" w:hAnsi="Courier New"/>
      <w:szCs w:val="20"/>
    </w:rPr>
  </w:style>
  <w:style w:type="paragraph" w:styleId="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color w:val="000000"/>
      <w:kern w:val="0"/>
      <w:sz w:val="20"/>
      <w:szCs w:val="20"/>
    </w:rPr>
  </w:style>
  <w:style w:type="paragraph" w:styleId="10">
    <w:name w:val="List Paragraph"/>
    <w:basedOn w:val="1"/>
    <w:autoRedefine/>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2024-03-05T06:02:01Z</dcterms:created>
  <dc:creator>WF</dc:creator>
  <cp:lastModifiedBy>WF</cp:lastModifiedBy>
  <dcterms:modified xsi:type="dcterms:W3CDTF">2024-03-05T06:02:20Z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700820392D49427280ABA4CE65B7F614_12</vt:lpwstr>
  </property>
</Properties>
</file>