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s>
        <w:snapToGrid w:val="0"/>
        <w:spacing w:line="360" w:lineRule="auto"/>
        <w:jc w:val="center"/>
        <w:rPr>
          <w:rFonts w:ascii="黑体" w:hAnsi="黑体" w:eastAsia="黑体"/>
          <w:b/>
          <w:bCs/>
          <w:color w:val="auto"/>
          <w:sz w:val="32"/>
          <w:szCs w:val="32"/>
          <w:highlight w:val="none"/>
        </w:rPr>
      </w:pPr>
      <w:r>
        <w:rPr>
          <w:rFonts w:hint="eastAsia" w:ascii="新宋体" w:hAnsi="新宋体" w:eastAsia="新宋体" w:cs="新宋体"/>
          <w:b/>
          <w:bCs/>
          <w:color w:val="auto"/>
          <w:sz w:val="32"/>
          <w:szCs w:val="32"/>
          <w:highlight w:val="none"/>
        </w:rPr>
        <w:t>第一节 商务要求</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06"/>
        <w:gridCol w:w="1184"/>
        <w:gridCol w:w="702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06" w:type="dxa"/>
            <w:shd w:val="clear" w:color="auto" w:fill="BEBEBE"/>
            <w:tcMar>
              <w:top w:w="10" w:type="dxa"/>
              <w:left w:w="10" w:type="dxa"/>
              <w:right w:w="10" w:type="dxa"/>
            </w:tcMar>
            <w:vAlign w:val="center"/>
          </w:tcPr>
          <w:p>
            <w:pPr>
              <w:pStyle w:val="7"/>
              <w:spacing w:line="360" w:lineRule="exact"/>
              <w:rPr>
                <w:rFonts w:ascii="宋体" w:hAnsi="宋体"/>
                <w:b/>
                <w:bCs/>
                <w:color w:val="auto"/>
                <w:szCs w:val="21"/>
                <w:highlight w:val="none"/>
              </w:rPr>
            </w:pPr>
            <w:r>
              <w:rPr>
                <w:rFonts w:hint="eastAsia" w:ascii="宋体" w:hAnsi="宋体"/>
                <w:b/>
                <w:bCs/>
                <w:color w:val="auto"/>
                <w:szCs w:val="21"/>
                <w:highlight w:val="none"/>
              </w:rPr>
              <w:t>序号</w:t>
            </w:r>
          </w:p>
        </w:tc>
        <w:tc>
          <w:tcPr>
            <w:tcW w:w="1184" w:type="dxa"/>
            <w:shd w:val="clear" w:color="auto" w:fill="BEBEBE"/>
            <w:tcMar>
              <w:top w:w="10" w:type="dxa"/>
              <w:left w:w="10" w:type="dxa"/>
              <w:right w:w="10" w:type="dxa"/>
            </w:tcMar>
            <w:vAlign w:val="center"/>
          </w:tcPr>
          <w:p>
            <w:pPr>
              <w:pStyle w:val="7"/>
              <w:spacing w:line="360" w:lineRule="exact"/>
              <w:rPr>
                <w:rFonts w:ascii="宋体" w:hAnsi="宋体"/>
                <w:b/>
                <w:bCs/>
                <w:color w:val="auto"/>
                <w:szCs w:val="21"/>
                <w:highlight w:val="none"/>
              </w:rPr>
            </w:pPr>
            <w:r>
              <w:rPr>
                <w:rFonts w:hint="eastAsia" w:ascii="宋体" w:hAnsi="宋体"/>
                <w:b/>
                <w:bCs/>
                <w:color w:val="auto"/>
                <w:szCs w:val="21"/>
                <w:highlight w:val="none"/>
              </w:rPr>
              <w:t>目录</w:t>
            </w:r>
          </w:p>
        </w:tc>
        <w:tc>
          <w:tcPr>
            <w:tcW w:w="7020" w:type="dxa"/>
            <w:shd w:val="clear" w:color="auto" w:fill="BEBEBE"/>
            <w:tcMar>
              <w:top w:w="10" w:type="dxa"/>
              <w:left w:w="10" w:type="dxa"/>
              <w:right w:w="10" w:type="dxa"/>
            </w:tcMar>
            <w:vAlign w:val="center"/>
          </w:tcPr>
          <w:p>
            <w:pPr>
              <w:pStyle w:val="7"/>
              <w:spacing w:line="360" w:lineRule="exact"/>
              <w:rPr>
                <w:rFonts w:ascii="宋体" w:hAnsi="宋体"/>
                <w:b/>
                <w:bCs/>
                <w:color w:val="auto"/>
                <w:szCs w:val="21"/>
                <w:highlight w:val="none"/>
              </w:rPr>
            </w:pPr>
            <w:r>
              <w:rPr>
                <w:rFonts w:hint="eastAsia" w:ascii="宋体" w:hAnsi="宋体"/>
                <w:b/>
                <w:bCs/>
                <w:color w:val="auto"/>
                <w:szCs w:val="21"/>
                <w:highlight w:val="none"/>
              </w:rPr>
              <w:t>商务条款要求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06" w:type="dxa"/>
            <w:tcMar>
              <w:top w:w="10" w:type="dxa"/>
              <w:left w:w="10" w:type="dxa"/>
              <w:right w:w="10" w:type="dxa"/>
            </w:tcMar>
            <w:vAlign w:val="center"/>
          </w:tcPr>
          <w:p>
            <w:pPr>
              <w:pStyle w:val="7"/>
              <w:spacing w:line="360" w:lineRule="exact"/>
              <w:rPr>
                <w:rFonts w:ascii="宋体" w:hAnsi="宋体"/>
                <w:b/>
                <w:bCs/>
                <w:color w:val="auto"/>
                <w:szCs w:val="21"/>
                <w:highlight w:val="none"/>
              </w:rPr>
            </w:pPr>
            <w:r>
              <w:rPr>
                <w:rFonts w:hint="eastAsia" w:ascii="宋体" w:hAnsi="宋体"/>
                <w:b/>
                <w:bCs/>
                <w:color w:val="auto"/>
                <w:szCs w:val="21"/>
                <w:highlight w:val="none"/>
              </w:rPr>
              <w:t>★1</w:t>
            </w:r>
          </w:p>
        </w:tc>
        <w:tc>
          <w:tcPr>
            <w:tcW w:w="1184" w:type="dxa"/>
            <w:tcMar>
              <w:top w:w="10" w:type="dxa"/>
              <w:left w:w="10" w:type="dxa"/>
              <w:right w:w="10" w:type="dxa"/>
            </w:tcMar>
            <w:vAlign w:val="center"/>
          </w:tcPr>
          <w:p>
            <w:pPr>
              <w:pStyle w:val="7"/>
              <w:spacing w:line="360" w:lineRule="exact"/>
              <w:rPr>
                <w:rFonts w:ascii="宋体" w:hAnsi="宋体"/>
                <w:b/>
                <w:bCs/>
                <w:color w:val="auto"/>
                <w:szCs w:val="21"/>
                <w:highlight w:val="none"/>
              </w:rPr>
            </w:pPr>
            <w:r>
              <w:rPr>
                <w:rFonts w:hint="eastAsia" w:ascii="宋体" w:hAnsi="宋体"/>
                <w:b/>
                <w:bCs/>
                <w:color w:val="auto"/>
                <w:szCs w:val="21"/>
                <w:highlight w:val="none"/>
              </w:rPr>
              <w:t>合同履行服务期限</w:t>
            </w:r>
          </w:p>
        </w:tc>
        <w:tc>
          <w:tcPr>
            <w:tcW w:w="7020" w:type="dxa"/>
            <w:tcMar>
              <w:top w:w="10" w:type="dxa"/>
              <w:left w:w="10" w:type="dxa"/>
              <w:right w:w="10" w:type="dxa"/>
            </w:tcMar>
            <w:vAlign w:val="center"/>
          </w:tcPr>
          <w:p>
            <w:pPr>
              <w:tabs>
                <w:tab w:val="left" w:pos="540"/>
              </w:tabs>
              <w:spacing w:line="360" w:lineRule="auto"/>
              <w:rPr>
                <w:rFonts w:ascii="宋体" w:hAnsi="宋体"/>
                <w:color w:val="auto"/>
                <w:szCs w:val="21"/>
                <w:highlight w:val="none"/>
              </w:rPr>
            </w:pPr>
            <w:r>
              <w:rPr>
                <w:rFonts w:hint="eastAsia" w:ascii="宋体" w:hAnsi="宋体"/>
                <w:color w:val="auto"/>
                <w:szCs w:val="21"/>
                <w:highlight w:val="none"/>
                <w:lang w:val="en-US" w:eastAsia="zh-CN"/>
              </w:rPr>
              <w:t>自合同签订之日起1</w:t>
            </w:r>
            <w:r>
              <w:rPr>
                <w:rFonts w:hint="eastAsia" w:ascii="宋体" w:hAnsi="宋体"/>
                <w:color w:val="auto"/>
                <w:szCs w:val="21"/>
                <w:highlight w:val="none"/>
              </w:rPr>
              <w:t>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06" w:type="dxa"/>
            <w:tcMar>
              <w:top w:w="10" w:type="dxa"/>
              <w:left w:w="10" w:type="dxa"/>
              <w:right w:w="10" w:type="dxa"/>
            </w:tcMar>
            <w:vAlign w:val="center"/>
          </w:tcPr>
          <w:p>
            <w:pPr>
              <w:pStyle w:val="7"/>
              <w:spacing w:line="360" w:lineRule="exact"/>
              <w:rPr>
                <w:rFonts w:ascii="宋体" w:hAnsi="宋体"/>
                <w:b/>
                <w:bCs/>
                <w:color w:val="auto"/>
                <w:szCs w:val="21"/>
                <w:highlight w:val="none"/>
              </w:rPr>
            </w:pPr>
            <w:r>
              <w:rPr>
                <w:rFonts w:hint="eastAsia" w:ascii="宋体" w:hAnsi="宋体"/>
                <w:b/>
                <w:bCs/>
                <w:color w:val="auto"/>
                <w:szCs w:val="21"/>
                <w:highlight w:val="none"/>
              </w:rPr>
              <w:t>★2</w:t>
            </w:r>
          </w:p>
        </w:tc>
        <w:tc>
          <w:tcPr>
            <w:tcW w:w="1184" w:type="dxa"/>
            <w:tcMar>
              <w:top w:w="10" w:type="dxa"/>
              <w:left w:w="10" w:type="dxa"/>
              <w:right w:w="10" w:type="dxa"/>
            </w:tcMar>
            <w:vAlign w:val="center"/>
          </w:tcPr>
          <w:p>
            <w:pPr>
              <w:pStyle w:val="7"/>
              <w:spacing w:line="360" w:lineRule="exact"/>
              <w:rPr>
                <w:rFonts w:ascii="宋体" w:hAnsi="宋体"/>
                <w:b/>
                <w:bCs/>
                <w:color w:val="auto"/>
                <w:szCs w:val="21"/>
                <w:highlight w:val="none"/>
              </w:rPr>
            </w:pPr>
            <w:r>
              <w:rPr>
                <w:rFonts w:hint="eastAsia" w:ascii="宋体" w:hAnsi="宋体"/>
                <w:b/>
                <w:bCs/>
                <w:color w:val="auto"/>
                <w:szCs w:val="21"/>
                <w:highlight w:val="none"/>
              </w:rPr>
              <w:t>服务地点</w:t>
            </w:r>
          </w:p>
        </w:tc>
        <w:tc>
          <w:tcPr>
            <w:tcW w:w="7020" w:type="dxa"/>
            <w:tcMar>
              <w:top w:w="10" w:type="dxa"/>
              <w:left w:w="10" w:type="dxa"/>
              <w:right w:w="10" w:type="dxa"/>
            </w:tcMar>
            <w:vAlign w:val="center"/>
          </w:tcPr>
          <w:p>
            <w:pPr>
              <w:pStyle w:val="7"/>
              <w:spacing w:line="360" w:lineRule="exact"/>
              <w:jc w:val="left"/>
              <w:rPr>
                <w:rFonts w:ascii="宋体" w:hAnsi="宋体"/>
                <w:color w:val="auto"/>
                <w:szCs w:val="21"/>
                <w:highlight w:val="none"/>
              </w:rPr>
            </w:pPr>
            <w:r>
              <w:rPr>
                <w:rFonts w:hint="eastAsia" w:ascii="宋体" w:hAnsi="宋体"/>
                <w:color w:val="auto"/>
                <w:szCs w:val="21"/>
                <w:highlight w:val="none"/>
              </w:rPr>
              <w:t>深圳市龙华区税务局机关及民治税务所、大浪税务所、观湖税务所，如机关发生调整，以调整后的机构地点为准。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806" w:type="dxa"/>
            <w:tcBorders>
              <w:top w:val="single" w:color="auto" w:sz="4" w:space="0"/>
            </w:tcBorders>
            <w:tcMar>
              <w:top w:w="10" w:type="dxa"/>
              <w:left w:w="10" w:type="dxa"/>
              <w:right w:w="10" w:type="dxa"/>
            </w:tcMar>
            <w:vAlign w:val="center"/>
          </w:tcPr>
          <w:p>
            <w:pPr>
              <w:pStyle w:val="7"/>
              <w:spacing w:line="360" w:lineRule="exact"/>
              <w:rPr>
                <w:rFonts w:ascii="宋体" w:hAnsi="宋体"/>
                <w:b/>
                <w:bCs/>
                <w:color w:val="auto"/>
                <w:szCs w:val="21"/>
                <w:highlight w:val="none"/>
              </w:rPr>
            </w:pPr>
            <w:r>
              <w:rPr>
                <w:rFonts w:hint="eastAsia" w:ascii="宋体" w:hAnsi="宋体"/>
                <w:b/>
                <w:bCs/>
                <w:color w:val="auto"/>
                <w:szCs w:val="21"/>
                <w:highlight w:val="none"/>
              </w:rPr>
              <w:t>3</w:t>
            </w:r>
          </w:p>
        </w:tc>
        <w:tc>
          <w:tcPr>
            <w:tcW w:w="1184" w:type="dxa"/>
            <w:tcBorders>
              <w:top w:val="single" w:color="auto" w:sz="4" w:space="0"/>
            </w:tcBorders>
            <w:tcMar>
              <w:top w:w="10" w:type="dxa"/>
              <w:left w:w="10" w:type="dxa"/>
              <w:right w:w="10" w:type="dxa"/>
            </w:tcMar>
            <w:vAlign w:val="center"/>
          </w:tcPr>
          <w:p>
            <w:pPr>
              <w:pStyle w:val="7"/>
              <w:spacing w:line="360" w:lineRule="exact"/>
              <w:rPr>
                <w:rFonts w:ascii="宋体" w:hAnsi="宋体"/>
                <w:b/>
                <w:bCs/>
                <w:color w:val="auto"/>
                <w:szCs w:val="21"/>
                <w:highlight w:val="none"/>
              </w:rPr>
            </w:pPr>
            <w:r>
              <w:rPr>
                <w:rFonts w:hint="eastAsia" w:ascii="宋体" w:hAnsi="宋体"/>
                <w:b/>
                <w:bCs/>
                <w:color w:val="auto"/>
                <w:szCs w:val="21"/>
                <w:highlight w:val="none"/>
              </w:rPr>
              <w:t>验收要求及标准</w:t>
            </w:r>
          </w:p>
        </w:tc>
        <w:tc>
          <w:tcPr>
            <w:tcW w:w="7020" w:type="dxa"/>
            <w:tcBorders>
              <w:top w:val="single" w:color="auto" w:sz="4" w:space="0"/>
            </w:tcBorders>
            <w:tcMar>
              <w:top w:w="10" w:type="dxa"/>
              <w:left w:w="10" w:type="dxa"/>
              <w:right w:w="10" w:type="dxa"/>
            </w:tcMar>
            <w:vAlign w:val="center"/>
          </w:tcPr>
          <w:p>
            <w:pPr>
              <w:tabs>
                <w:tab w:val="left" w:pos="54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1.项目驻点人员原则上应为投标文件中声明的人员，如需更换，原则上应更换为具备同等资质的人员，并经甲方同意。</w:t>
            </w:r>
          </w:p>
          <w:p>
            <w:pPr>
              <w:tabs>
                <w:tab w:val="left" w:pos="540"/>
              </w:tabs>
              <w:spacing w:line="360" w:lineRule="auto"/>
              <w:ind w:firstLine="420" w:firstLineChars="200"/>
              <w:rPr>
                <w:rFonts w:hAnsi="宋体" w:cs="宋体"/>
                <w:b/>
                <w:bCs/>
                <w:color w:val="auto"/>
                <w:highlight w:val="none"/>
              </w:rPr>
            </w:pPr>
            <w:r>
              <w:rPr>
                <w:rFonts w:hint="eastAsia" w:ascii="宋体" w:hAnsi="宋体"/>
                <w:color w:val="auto"/>
                <w:szCs w:val="21"/>
                <w:highlight w:val="none"/>
              </w:rPr>
              <w:t>2.项目验收工作由乙方、项目单位共同完成。项目单位应在收到乙方提交的合格验收申请后10日内完成各阶段验收，并出具《验收报告书》，项目单位在乙方完成合同期限内的运维服务后向采购人提交《供应商履约信用评价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06" w:type="dxa"/>
            <w:tcMar>
              <w:top w:w="10" w:type="dxa"/>
              <w:left w:w="10" w:type="dxa"/>
              <w:right w:w="10" w:type="dxa"/>
            </w:tcMar>
            <w:vAlign w:val="center"/>
          </w:tcPr>
          <w:p>
            <w:pPr>
              <w:pStyle w:val="7"/>
              <w:spacing w:line="360" w:lineRule="exact"/>
              <w:rPr>
                <w:rFonts w:ascii="宋体" w:hAnsi="宋体"/>
                <w:b/>
                <w:color w:val="auto"/>
                <w:szCs w:val="21"/>
                <w:highlight w:val="none"/>
              </w:rPr>
            </w:pPr>
            <w:r>
              <w:rPr>
                <w:rFonts w:hint="eastAsia" w:ascii="宋体" w:hAnsi="宋体"/>
                <w:b/>
                <w:color w:val="auto"/>
                <w:szCs w:val="21"/>
                <w:highlight w:val="none"/>
              </w:rPr>
              <w:t>4</w:t>
            </w:r>
          </w:p>
        </w:tc>
        <w:tc>
          <w:tcPr>
            <w:tcW w:w="1184" w:type="dxa"/>
            <w:tcMar>
              <w:top w:w="10" w:type="dxa"/>
              <w:left w:w="10" w:type="dxa"/>
              <w:right w:w="10" w:type="dxa"/>
            </w:tcMar>
            <w:vAlign w:val="center"/>
          </w:tcPr>
          <w:p>
            <w:pPr>
              <w:pStyle w:val="7"/>
              <w:spacing w:line="360" w:lineRule="exact"/>
              <w:rPr>
                <w:rFonts w:ascii="宋体" w:hAnsi="宋体"/>
                <w:b/>
                <w:color w:val="auto"/>
                <w:szCs w:val="21"/>
                <w:highlight w:val="none"/>
              </w:rPr>
            </w:pPr>
            <w:r>
              <w:rPr>
                <w:rFonts w:hint="eastAsia" w:ascii="宋体" w:hAnsi="宋体"/>
                <w:b/>
                <w:color w:val="auto"/>
                <w:szCs w:val="21"/>
                <w:highlight w:val="none"/>
              </w:rPr>
              <w:t>报价要求</w:t>
            </w:r>
          </w:p>
        </w:tc>
        <w:tc>
          <w:tcPr>
            <w:tcW w:w="7020" w:type="dxa"/>
            <w:tcMar>
              <w:top w:w="10" w:type="dxa"/>
              <w:left w:w="10" w:type="dxa"/>
              <w:right w:w="10" w:type="dxa"/>
            </w:tcMar>
            <w:vAlign w:val="center"/>
          </w:tcPr>
          <w:p>
            <w:pPr>
              <w:pStyle w:val="3"/>
              <w:spacing w:line="360" w:lineRule="auto"/>
              <w:rPr>
                <w:rFonts w:hAnsi="宋体" w:cs="宋体"/>
                <w:color w:val="auto"/>
                <w:highlight w:val="none"/>
              </w:rPr>
            </w:pPr>
            <w:r>
              <w:rPr>
                <w:rFonts w:hint="eastAsia" w:hAnsi="宋体" w:cs="宋体"/>
                <w:color w:val="auto"/>
                <w:highlight w:val="none"/>
              </w:rPr>
              <w:t>1、根据目前软硬件产品现状情况进行填报节能改造的投标总报价。</w:t>
            </w:r>
          </w:p>
          <w:p>
            <w:pPr>
              <w:pStyle w:val="3"/>
              <w:spacing w:line="360" w:lineRule="auto"/>
              <w:rPr>
                <w:rFonts w:hAnsi="宋体" w:cs="宋体"/>
                <w:color w:val="auto"/>
                <w:highlight w:val="none"/>
              </w:rPr>
            </w:pPr>
            <w:r>
              <w:rPr>
                <w:rFonts w:hint="eastAsia" w:hAnsi="宋体" w:cs="宋体"/>
                <w:color w:val="auto"/>
                <w:highlight w:val="none"/>
              </w:rPr>
              <w:t>2、投标总报价应包含人员、软、硬件维护、税金等与本项目相关的一切费用。</w:t>
            </w:r>
          </w:p>
        </w:tc>
      </w:tr>
    </w:tbl>
    <w:p>
      <w:pPr>
        <w:tabs>
          <w:tab w:val="left" w:pos="900"/>
        </w:tabs>
        <w:snapToGrid w:val="0"/>
        <w:spacing w:line="360" w:lineRule="auto"/>
        <w:ind w:firstLine="420" w:firstLineChars="200"/>
        <w:rPr>
          <w:color w:val="auto"/>
          <w:highlight w:val="none"/>
        </w:rPr>
      </w:pPr>
    </w:p>
    <w:p>
      <w:pPr>
        <w:tabs>
          <w:tab w:val="left" w:pos="900"/>
        </w:tabs>
        <w:snapToGrid w:val="0"/>
        <w:spacing w:line="360" w:lineRule="auto"/>
        <w:jc w:val="center"/>
        <w:rPr>
          <w:rFonts w:ascii="黑体" w:hAnsi="黑体" w:eastAsia="黑体"/>
          <w:b/>
          <w:bCs/>
          <w:color w:val="auto"/>
          <w:sz w:val="32"/>
          <w:szCs w:val="32"/>
          <w:highlight w:val="none"/>
        </w:rPr>
      </w:pPr>
    </w:p>
    <w:p>
      <w:pPr>
        <w:tabs>
          <w:tab w:val="left" w:pos="900"/>
        </w:tabs>
        <w:snapToGrid w:val="0"/>
        <w:spacing w:line="560" w:lineRule="exact"/>
        <w:jc w:val="center"/>
        <w:rPr>
          <w:rFonts w:ascii="仿宋_GB2312" w:hAnsi="黑体" w:eastAsia="仿宋_GB2312"/>
          <w:bCs/>
          <w:color w:val="auto"/>
          <w:sz w:val="32"/>
          <w:szCs w:val="32"/>
          <w:highlight w:val="none"/>
        </w:rPr>
      </w:pPr>
      <w:r>
        <w:rPr>
          <w:rFonts w:hint="eastAsia" w:ascii="仿宋_GB2312" w:hAnsi="黑体" w:eastAsia="仿宋_GB2312"/>
          <w:b/>
          <w:bCs/>
          <w:color w:val="auto"/>
          <w:sz w:val="32"/>
          <w:szCs w:val="32"/>
          <w:highlight w:val="none"/>
        </w:rPr>
        <w:t>第二节 技术需求</w:t>
      </w:r>
    </w:p>
    <w:p>
      <w:pPr>
        <w:autoSpaceDE w:val="0"/>
        <w:autoSpaceDN w:val="0"/>
        <w:adjustRightInd w:val="0"/>
        <w:spacing w:line="560" w:lineRule="exact"/>
        <w:ind w:firstLine="482" w:firstLineChars="200"/>
        <w:jc w:val="left"/>
        <w:rPr>
          <w:rFonts w:hint="eastAsia" w:ascii="宋体" w:hAnsi="宋体" w:eastAsia="宋体" w:cs="宋体"/>
          <w:b/>
          <w:color w:val="auto"/>
          <w:sz w:val="24"/>
          <w:szCs w:val="24"/>
          <w:highlight w:val="none"/>
        </w:rPr>
      </w:pPr>
      <w:bookmarkStart w:id="0" w:name="_Toc413397337"/>
      <w:r>
        <w:rPr>
          <w:rFonts w:hint="eastAsia" w:ascii="宋体" w:hAnsi="宋体" w:eastAsia="宋体" w:cs="宋体"/>
          <w:b/>
          <w:color w:val="auto"/>
          <w:sz w:val="24"/>
          <w:szCs w:val="24"/>
          <w:highlight w:val="none"/>
        </w:rPr>
        <w:t>一、项目背景</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为保障我局内设机构以及派出机构税收系统、信息终端得到正常维护，确保为纳税人提供正常高效的服务，拟采购IT运维服务。</w:t>
      </w:r>
      <w:bookmarkEnd w:id="0"/>
    </w:p>
    <w:p>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二、服务要求</w:t>
      </w:r>
    </w:p>
    <w:p>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（一）服务时间及人员需求</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1.在甲方工作时间内提供支持服务，总服务周期为一年；</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2.项目需要1名项目负责人，5名IT运维人员，IT运维人员要求大专或以上学历，熟悉IT运维，有一年以上的运维经验。</w:t>
      </w:r>
    </w:p>
    <w:p>
      <w:pPr>
        <w:spacing w:line="5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3.为保障驻点人员服务质量，IT运维人员平均税前薪酬应不低于深圳市同类人员平均水平，其中不包含培训等相关费用。</w:t>
      </w:r>
    </w:p>
    <w:p>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（二）服务地点</w:t>
      </w:r>
    </w:p>
    <w:p>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IT运维人员驻点国家税务总局深圳市龙华区税务局及各税务所。</w:t>
      </w:r>
    </w:p>
    <w:p>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（三）服务内容</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所有运维人员需按要求驻点在采购单位，且人员专岗专职，承诺完成上述所有招标需求；</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驻点服务人员无法满足招标单位工作要求时，中标单位的后端协税服务支持团队须提供免费远程服务支持或增派人员到招标单位指定地点提供技术支持。技术支持服务人员必须在10分钟内响应，2小时内到达服务现场并解决问题。</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3.本项目服务内容为硬件和软件。</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3.1软件支持服务</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对操作系统、办公软件、税务局业务系统、防病毒软件等甲方工作中用到的软件进行运维，并做好问题收集、记录、跟踪和解决反馈工作。运维包括日常巡检、故障排查、故障上报、软件安装、调整软件参数等。</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3.2硬件支持服务</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甲方办公环境内服务器、交换机（合计约100台）、计算机、笔记本电脑（合计约800台）、打印机、复印件、扫描仪（合计约700台）等计算机类设备进行巡检、安装连接、故障排查、故障上报、更换耗材、更换故障部件、调整硬件参数等。</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（2）对区局办公环境内的网路进行线路故障排查、网路连接、网络设备参数设置等。</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（3）负责协助联系相关服务商提供相关服务。</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（4）以上所列在故障排查时，发现需要更换零部件的，由甲方进行采购。</w:t>
      </w:r>
    </w:p>
    <w:p>
      <w:pPr>
        <w:snapToGrid w:val="0"/>
        <w:spacing w:line="360" w:lineRule="auto"/>
        <w:ind w:firstLine="480" w:firstLineChars="200"/>
        <w:jc w:val="left"/>
        <w:rPr>
          <w:rFonts w:hint="eastAsia" w:ascii="宋体" w:hAnsi="宋体" w:eastAsia="宋体" w:cs="宋体"/>
          <w:color w:val="auto"/>
          <w:sz w:val="24"/>
          <w:szCs w:val="24"/>
          <w:highlight w:val="none"/>
        </w:rPr>
      </w:pPr>
    </w:p>
    <w:p>
      <w:pPr>
        <w:widowControl w:val="0"/>
        <w:spacing w:line="560" w:lineRule="exact"/>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三、安全及保密要求</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1、成交人参与项目的所有人员应严格遵守采购人的保密要求签订保密协议,并由成交人担保；</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人对于采购人提供的资料，以及本项目实施过程中所涉及的所有文档、数据、介质和相关信息保密，未经许可，不得以任何形式向第三方传播。保密期限不受本项目期限的限制，在本项目履行完毕后，保密信息接受方仍应承担保密义务。</w:t>
      </w:r>
      <w:bookmarkStart w:id="1" w:name="_GoBack"/>
      <w:bookmarkEnd w:id="1"/>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3、如因成交人一方的原因造成泄密，采购人将保留追究其法律责任的权利。</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4、为满足本项目，涉及税务系统以外的各类信息、知识产权、外部情报、资产资源等衔接事项，完全由投标人承担。</w:t>
      </w:r>
    </w:p>
    <w:p>
      <w:pPr>
        <w:spacing w:line="44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5、成交人应严格按照“国家税务总局办公厅文件 税总办征科发 〔2022 〕 1号 《税务系统信息化服务商失信行为记录名单制度》（试行）”办法规定中相关条例的履行合同内容，对于违反制度内条款的，将纳入失信服务商名单。对于一般失信行为的，由认定部门的同级网信办函告服务商。对于严重失信行为的，由认定部门的同级网信办约谈服务商主要负责人。对于违反合同约定内容的，由采购部门按合同约定处理。对于影响恶劣的严重违法失信行为，由采购部门按规定将其推送财政部纳入政府采购严重违法失信行为记录名单。</w:t>
      </w:r>
    </w:p>
    <w:p>
      <w:pPr>
        <w:widowControl w:val="0"/>
        <w:spacing w:line="560" w:lineRule="exact"/>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四、相关标准</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服务的过程中应遵循《中华人民共和国网络安全法》、《税务系统外部技术支持人员网络安全管理规范》、《税务系统信息化服务商失信行为记录名单制度》（试行）及采购单位内部管理相关文件要求。</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ZWE1MzJlYzhlMzYwM2NlNjg2NGE5OWUzY2ZhZTgifQ=="/>
  </w:docVars>
  <w:rsids>
    <w:rsidRoot w:val="00000000"/>
    <w:rsid w:val="72F54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qFormat/>
    <w:uiPriority w:val="0"/>
    <w:pPr>
      <w:keepNext/>
      <w:keepLines/>
      <w:tabs>
        <w:tab w:val="left" w:pos="1428"/>
      </w:tabs>
      <w:spacing w:before="280" w:after="290" w:line="376" w:lineRule="auto"/>
      <w:ind w:left="1428" w:hanging="1008"/>
      <w:outlineLvl w:val="4"/>
    </w:pPr>
    <w:rPr>
      <w:b/>
      <w:bCs/>
      <w:sz w:val="28"/>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7">
    <w:name w:val="表格"/>
    <w:basedOn w:val="4"/>
    <w:qFormat/>
    <w:uiPriority w:val="0"/>
    <w:pPr>
      <w:jc w:val="center"/>
    </w:pPr>
    <w:rPr>
      <w:rFonts w:ascii="Times New Roman" w:hAnsi="Times New Roman" w:cs="宋体"/>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2023-03-13T02:10:59Z</dcterms:created>
  <dc:creator>WF</dc:creator>
  <cp:lastModifiedBy>WF</cp:lastModifiedBy>
  <dcterms:modified xsi:type="dcterms:W3CDTF">2023-03-13T02:11:40Z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65300A4E5E744556AB42F81A03ACF729</vt:lpwstr>
  </property>
</Properties>
</file>