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Pr>
        <w:jc w:val="center"/>
        <w:rPr>
          <w:b/>
          <w:sz w:val="84"/>
          <w:szCs w:val="84"/>
        </w:rPr>
      </w:pPr>
    </w:p>
    <w:p>
      <w:pPr>
        <w:jc w:val="center"/>
        <w:rPr>
          <w:b/>
          <w:sz w:val="84"/>
          <w:szCs w:val="84"/>
        </w:rPr>
      </w:pPr>
    </w:p>
    <w:p>
      <w:pPr>
        <w:jc w:val="center"/>
        <w:rPr>
          <w:b/>
          <w:sz w:val="84"/>
          <w:szCs w:val="84"/>
        </w:rPr>
      </w:pPr>
    </w:p>
    <w:p>
      <w:pPr>
        <w:jc w:val="center"/>
        <w:rPr>
          <w:b/>
          <w:sz w:val="120"/>
          <w:szCs w:val="120"/>
        </w:rPr>
      </w:pPr>
      <w:r>
        <w:rPr>
          <w:rFonts w:hint="eastAsia"/>
          <w:b/>
          <w:sz w:val="120"/>
          <w:szCs w:val="120"/>
        </w:rPr>
        <w:t>政府招标文件</w:t>
      </w:r>
    </w:p>
    <w:p>
      <w:pPr>
        <w:jc w:val="center"/>
        <w:rPr>
          <w:b/>
          <w:sz w:val="52"/>
          <w:szCs w:val="52"/>
        </w:rPr>
      </w:pPr>
      <w:r>
        <w:rPr>
          <w:rFonts w:hint="eastAsia"/>
          <w:b/>
          <w:sz w:val="52"/>
          <w:szCs w:val="52"/>
        </w:rPr>
        <w:t>（通用货物类）</w:t>
      </w:r>
    </w:p>
    <w:p/>
    <w:p/>
    <w:p/>
    <w:p/>
    <w:p/>
    <w:p/>
    <w:p/>
    <w:p/>
    <w:p/>
    <w:p/>
    <w:p/>
    <w:p/>
    <w:p/>
    <w:p>
      <w:pPr>
        <w:jc w:val="center"/>
        <w:rPr>
          <w:b/>
          <w:sz w:val="44"/>
          <w:szCs w:val="44"/>
        </w:rPr>
      </w:pPr>
      <w:r>
        <w:rPr>
          <w:rFonts w:hint="eastAsia"/>
          <w:b/>
          <w:sz w:val="44"/>
          <w:szCs w:val="44"/>
        </w:rPr>
        <w:t>中</w:t>
      </w:r>
      <w:r>
        <w:rPr>
          <w:rFonts w:hint="eastAsia" w:ascii="宋体" w:hAnsi="宋体"/>
          <w:b/>
          <w:sz w:val="44"/>
          <w:szCs w:val="44"/>
        </w:rPr>
        <w:t>国·</w:t>
      </w:r>
      <w:r>
        <w:rPr>
          <w:rFonts w:hint="eastAsia"/>
          <w:b/>
          <w:sz w:val="44"/>
          <w:szCs w:val="44"/>
        </w:rPr>
        <w:t>深圳</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sz w:val="28"/>
          <w:szCs w:val="28"/>
        </w:rPr>
      </w:pPr>
      <w:r>
        <w:rPr>
          <w:rFonts w:hint="eastAsia"/>
          <w:sz w:val="28"/>
          <w:szCs w:val="28"/>
        </w:rPr>
        <w:t>（</w:t>
      </w:r>
      <w:r>
        <w:rPr>
          <w:sz w:val="28"/>
          <w:szCs w:val="28"/>
        </w:rPr>
        <w:t>20</w:t>
      </w:r>
      <w:r>
        <w:rPr>
          <w:rFonts w:hint="eastAsia"/>
          <w:sz w:val="28"/>
          <w:szCs w:val="28"/>
        </w:rPr>
        <w:t>2</w:t>
      </w:r>
      <w:r>
        <w:rPr>
          <w:rFonts w:hint="eastAsia"/>
          <w:sz w:val="28"/>
          <w:szCs w:val="28"/>
          <w:lang w:val="en-US" w:eastAsia="zh-CN"/>
        </w:rPr>
        <w:t>1</w:t>
      </w:r>
      <w:r>
        <w:rPr>
          <w:rFonts w:hint="eastAsia"/>
          <w:sz w:val="28"/>
          <w:szCs w:val="28"/>
        </w:rPr>
        <w:t>）</w:t>
      </w:r>
    </w:p>
    <w:p>
      <w:pPr>
        <w:jc w:val="center"/>
      </w:pPr>
    </w:p>
    <w:p>
      <w:pPr>
        <w:rPr>
          <w:rFonts w:ascii="宋体" w:hAnsi="宋体" w:eastAsia="黑体"/>
          <w:b/>
          <w:bCs/>
          <w:kern w:val="44"/>
          <w:sz w:val="28"/>
          <w:szCs w:val="44"/>
        </w:rPr>
      </w:pPr>
    </w:p>
    <w:p>
      <w:pPr>
        <w:pStyle w:val="3"/>
      </w:pPr>
      <w:r>
        <w:rPr>
          <w:rFonts w:hint="eastAsia"/>
        </w:rPr>
        <w:t>警示条款</w:t>
      </w:r>
    </w:p>
    <w:p>
      <w:pPr>
        <w:spacing w:line="360" w:lineRule="auto"/>
        <w:ind w:firstLine="424" w:firstLineChars="177"/>
        <w:rPr>
          <w:rFonts w:ascii="新宋体" w:hAnsi="新宋体" w:eastAsia="新宋体"/>
          <w:sz w:val="24"/>
        </w:rPr>
      </w:pPr>
      <w:r>
        <w:rPr>
          <w:rFonts w:hint="eastAsia" w:ascii="新宋体" w:hAnsi="新宋体" w:eastAsia="新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60" w:lineRule="auto"/>
        <w:rPr>
          <w:rFonts w:ascii="新宋体" w:hAnsi="新宋体" w:eastAsia="新宋体"/>
          <w:sz w:val="24"/>
        </w:rPr>
      </w:pPr>
      <w:r>
        <w:rPr>
          <w:rFonts w:hint="eastAsia" w:ascii="新宋体" w:hAnsi="新宋体" w:eastAsia="新宋体"/>
          <w:sz w:val="24"/>
        </w:rPr>
        <w:t xml:space="preserve">  （一）在采购活动中应当回避而未回避的；</w:t>
      </w:r>
    </w:p>
    <w:p>
      <w:pPr>
        <w:spacing w:line="360" w:lineRule="auto"/>
        <w:rPr>
          <w:rFonts w:ascii="新宋体" w:hAnsi="新宋体" w:eastAsia="新宋体"/>
          <w:sz w:val="24"/>
        </w:rPr>
      </w:pPr>
      <w:r>
        <w:rPr>
          <w:rFonts w:hint="eastAsia" w:ascii="新宋体" w:hAnsi="新宋体" w:eastAsia="新宋体"/>
          <w:sz w:val="24"/>
        </w:rPr>
        <w:t xml:space="preserve">  （二）未按本条例规定签订、履行采购合同，造成严重后果的；</w:t>
      </w:r>
    </w:p>
    <w:p>
      <w:pPr>
        <w:spacing w:line="360" w:lineRule="auto"/>
        <w:rPr>
          <w:rFonts w:ascii="新宋体" w:hAnsi="新宋体" w:eastAsia="新宋体"/>
          <w:sz w:val="24"/>
        </w:rPr>
      </w:pPr>
      <w:r>
        <w:rPr>
          <w:rFonts w:hint="eastAsia" w:ascii="新宋体" w:hAnsi="新宋体" w:eastAsia="新宋体"/>
          <w:sz w:val="24"/>
        </w:rPr>
        <w:t xml:space="preserve">  （三）隐瞒真实情况，提供虚假资料的；</w:t>
      </w:r>
    </w:p>
    <w:p>
      <w:pPr>
        <w:spacing w:line="360" w:lineRule="auto"/>
        <w:rPr>
          <w:rFonts w:ascii="新宋体" w:hAnsi="新宋体" w:eastAsia="新宋体"/>
          <w:sz w:val="24"/>
        </w:rPr>
      </w:pPr>
      <w:r>
        <w:rPr>
          <w:rFonts w:hint="eastAsia" w:ascii="新宋体" w:hAnsi="新宋体" w:eastAsia="新宋体"/>
          <w:sz w:val="24"/>
        </w:rPr>
        <w:t xml:space="preserve">  （四）以非法手段排斥其他供应商参与竞争的；</w:t>
      </w:r>
    </w:p>
    <w:p>
      <w:pPr>
        <w:spacing w:line="360" w:lineRule="auto"/>
        <w:rPr>
          <w:rFonts w:ascii="新宋体" w:hAnsi="新宋体" w:eastAsia="新宋体"/>
          <w:sz w:val="24"/>
        </w:rPr>
      </w:pPr>
      <w:r>
        <w:rPr>
          <w:rFonts w:hint="eastAsia" w:ascii="新宋体" w:hAnsi="新宋体" w:eastAsia="新宋体"/>
          <w:sz w:val="24"/>
        </w:rPr>
        <w:t xml:space="preserve">  （五）与其他采购参加人串通投标的；</w:t>
      </w:r>
    </w:p>
    <w:p>
      <w:pPr>
        <w:spacing w:line="360" w:lineRule="auto"/>
        <w:rPr>
          <w:rFonts w:ascii="新宋体" w:hAnsi="新宋体" w:eastAsia="新宋体"/>
          <w:sz w:val="24"/>
        </w:rPr>
      </w:pPr>
      <w:r>
        <w:rPr>
          <w:rFonts w:hint="eastAsia" w:ascii="新宋体" w:hAnsi="新宋体" w:eastAsia="新宋体"/>
          <w:sz w:val="24"/>
        </w:rPr>
        <w:t xml:space="preserve">  （六）恶意投诉的；</w:t>
      </w:r>
    </w:p>
    <w:p>
      <w:pPr>
        <w:spacing w:line="360" w:lineRule="auto"/>
        <w:rPr>
          <w:rFonts w:ascii="新宋体" w:hAnsi="新宋体" w:eastAsia="新宋体"/>
          <w:sz w:val="24"/>
        </w:rPr>
      </w:pPr>
      <w:r>
        <w:rPr>
          <w:rFonts w:hint="eastAsia" w:ascii="新宋体" w:hAnsi="新宋体" w:eastAsia="新宋体"/>
          <w:sz w:val="24"/>
        </w:rPr>
        <w:t xml:space="preserve">  （七）向采购项目相关人行贿或者提供其他不当利益的；</w:t>
      </w:r>
    </w:p>
    <w:p>
      <w:pPr>
        <w:spacing w:line="360" w:lineRule="auto"/>
        <w:rPr>
          <w:rFonts w:ascii="新宋体" w:hAnsi="新宋体" w:eastAsia="新宋体"/>
          <w:sz w:val="24"/>
        </w:rPr>
      </w:pPr>
      <w:r>
        <w:rPr>
          <w:rFonts w:hint="eastAsia" w:ascii="新宋体" w:hAnsi="新宋体" w:eastAsia="新宋体"/>
          <w:sz w:val="24"/>
        </w:rPr>
        <w:t xml:space="preserve">  （八）阻碍、抗拒主管部门监督检查的；</w:t>
      </w:r>
    </w:p>
    <w:p>
      <w:pPr>
        <w:spacing w:line="360" w:lineRule="auto"/>
        <w:rPr>
          <w:rFonts w:ascii="新宋体" w:hAnsi="新宋体" w:eastAsia="新宋体"/>
          <w:sz w:val="24"/>
        </w:rPr>
      </w:pPr>
      <w:r>
        <w:rPr>
          <w:rFonts w:hint="eastAsia" w:ascii="新宋体" w:hAnsi="新宋体" w:eastAsia="新宋体"/>
          <w:sz w:val="24"/>
        </w:rPr>
        <w:t xml:space="preserve">  （九）其他违反本条例规定的行为。</w:t>
      </w:r>
    </w:p>
    <w:p>
      <w:pPr>
        <w:spacing w:line="360" w:lineRule="auto"/>
        <w:ind w:firstLine="424" w:firstLineChars="177"/>
        <w:rPr>
          <w:rFonts w:ascii="新宋体" w:hAnsi="新宋体" w:eastAsia="新宋体"/>
          <w:sz w:val="24"/>
        </w:rPr>
      </w:pPr>
      <w:r>
        <w:rPr>
          <w:rFonts w:hint="eastAsia" w:ascii="新宋体" w:hAnsi="新宋体" w:eastAsia="新宋体"/>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pPr>
        <w:spacing w:line="360" w:lineRule="auto"/>
        <w:rPr>
          <w:rFonts w:ascii="新宋体" w:hAnsi="新宋体" w:eastAsia="新宋体"/>
          <w:sz w:val="24"/>
        </w:rPr>
      </w:pPr>
      <w:r>
        <w:rPr>
          <w:rFonts w:ascii="新宋体" w:hAnsi="新宋体" w:eastAsia="新宋体"/>
          <w:sz w:val="24"/>
        </w:rPr>
        <w:t>（一）投标截止后，撤销投标的；</w:t>
      </w:r>
    </w:p>
    <w:p>
      <w:pPr>
        <w:spacing w:line="360" w:lineRule="auto"/>
        <w:rPr>
          <w:rFonts w:ascii="新宋体" w:hAnsi="新宋体" w:eastAsia="新宋体"/>
          <w:sz w:val="24"/>
        </w:rPr>
      </w:pPr>
      <w:r>
        <w:rPr>
          <w:rFonts w:ascii="新宋体" w:hAnsi="新宋体" w:eastAsia="新宋体"/>
          <w:sz w:val="24"/>
        </w:rPr>
        <w:t>　　（二）中标后无正当理由未在规定期限内签订合同的；</w:t>
      </w:r>
    </w:p>
    <w:p>
      <w:pPr>
        <w:spacing w:line="360" w:lineRule="auto"/>
        <w:rPr>
          <w:rFonts w:ascii="新宋体" w:hAnsi="新宋体" w:eastAsia="新宋体"/>
          <w:sz w:val="24"/>
        </w:rPr>
      </w:pPr>
      <w:r>
        <w:rPr>
          <w:rFonts w:ascii="新宋体" w:hAnsi="新宋体" w:eastAsia="新宋体"/>
          <w:sz w:val="24"/>
        </w:rPr>
        <w:t>　　（三）将中标项目转让给他人、或者在投标文件中未说明且未经采购人、采购招标机构同意，将中标项目分包给他人的；</w:t>
      </w:r>
    </w:p>
    <w:p>
      <w:pPr>
        <w:spacing w:line="360" w:lineRule="auto"/>
        <w:ind w:firstLine="480"/>
        <w:rPr>
          <w:rFonts w:ascii="新宋体" w:hAnsi="新宋体" w:eastAsia="新宋体"/>
          <w:sz w:val="24"/>
        </w:rPr>
      </w:pPr>
      <w:r>
        <w:rPr>
          <w:rFonts w:ascii="新宋体" w:hAnsi="新宋体" w:eastAsia="新宋体"/>
          <w:sz w:val="24"/>
        </w:rPr>
        <w:t>（四）拒绝履行合同义务的</w:t>
      </w:r>
      <w:r>
        <w:rPr>
          <w:rFonts w:hint="eastAsia" w:ascii="新宋体" w:hAnsi="新宋体" w:eastAsia="新宋体"/>
          <w:sz w:val="24"/>
        </w:rPr>
        <w:t>。</w:t>
      </w:r>
    </w:p>
    <w:p>
      <w:pPr>
        <w:spacing w:line="360" w:lineRule="auto"/>
        <w:ind w:firstLine="480"/>
        <w:rPr>
          <w:rFonts w:ascii="新宋体" w:hAnsi="新宋体" w:eastAsia="新宋体"/>
          <w:sz w:val="24"/>
        </w:rPr>
      </w:pPr>
    </w:p>
    <w:p>
      <w:pPr>
        <w:widowControl/>
        <w:spacing w:line="360" w:lineRule="auto"/>
        <w:ind w:firstLine="480" w:firstLineChars="200"/>
        <w:jc w:val="left"/>
        <w:rPr>
          <w:rFonts w:ascii="新宋体" w:hAnsi="新宋体" w:eastAsia="新宋体"/>
          <w:sz w:val="24"/>
        </w:rPr>
      </w:pPr>
      <w:r>
        <w:rPr>
          <w:rFonts w:ascii="新宋体" w:hAnsi="新宋体" w:eastAsia="新宋体"/>
          <w:sz w:val="24"/>
        </w:rPr>
        <w:t>三</w:t>
      </w:r>
      <w:r>
        <w:rPr>
          <w:rFonts w:hint="eastAsia" w:ascii="新宋体" w:hAnsi="新宋体" w:eastAsia="新宋体"/>
          <w:sz w:val="24"/>
        </w:rPr>
        <w:t>、《深圳经济特区政府采购条例实施细则》第七十六条 供应商有下列行为之一的，由主管部门记入供应商诚信档案并作出以下处罚：</w:t>
      </w:r>
    </w:p>
    <w:p>
      <w:pPr>
        <w:pStyle w:val="38"/>
        <w:spacing w:line="360" w:lineRule="auto"/>
        <w:ind w:firstLine="480" w:firstLineChars="200"/>
        <w:textAlignment w:val="baseline"/>
        <w:rPr>
          <w:rFonts w:ascii="新宋体" w:hAnsi="新宋体" w:eastAsia="新宋体"/>
        </w:rPr>
      </w:pPr>
      <w:r>
        <w:rPr>
          <w:rFonts w:hint="eastAsia" w:ascii="新宋体" w:hAnsi="新宋体" w:eastAsia="新宋体"/>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widowControl/>
        <w:spacing w:line="360" w:lineRule="auto"/>
        <w:ind w:firstLine="480" w:firstLineChars="200"/>
        <w:jc w:val="left"/>
        <w:textAlignment w:val="baseline"/>
        <w:rPr>
          <w:rFonts w:ascii="新宋体" w:hAnsi="新宋体" w:eastAsia="新宋体"/>
          <w:sz w:val="24"/>
        </w:rPr>
      </w:pPr>
      <w:r>
        <w:rPr>
          <w:rFonts w:hint="eastAsia" w:ascii="新宋体" w:hAnsi="新宋体" w:eastAsia="新宋体"/>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widowControl/>
        <w:spacing w:line="360" w:lineRule="auto"/>
        <w:ind w:firstLine="480" w:firstLineChars="200"/>
        <w:jc w:val="left"/>
        <w:textAlignment w:val="baseline"/>
        <w:rPr>
          <w:rFonts w:ascii="新宋体" w:hAnsi="新宋体" w:eastAsia="新宋体"/>
          <w:sz w:val="24"/>
        </w:rPr>
      </w:pPr>
    </w:p>
    <w:p>
      <w:pPr>
        <w:pStyle w:val="38"/>
        <w:spacing w:line="360" w:lineRule="auto"/>
        <w:ind w:firstLine="480" w:firstLineChars="200"/>
        <w:textAlignment w:val="baseline"/>
        <w:rPr>
          <w:rFonts w:ascii="新宋体" w:hAnsi="新宋体" w:eastAsia="新宋体"/>
        </w:rPr>
      </w:pPr>
      <w:r>
        <w:rPr>
          <w:rFonts w:hint="eastAsia" w:ascii="新宋体" w:hAnsi="新宋体" w:eastAsia="新宋体"/>
        </w:rPr>
        <w:t>四、《深圳经济特区政府采购条例实施细则》第七十七条 供应商有下列行为之一的，属于情节严重，由市场监管部门依法吊销其营业执照，主管部门取消其参与本市政府采购的资格，并作出以下处罚：</w:t>
      </w:r>
    </w:p>
    <w:p>
      <w:pPr>
        <w:pStyle w:val="38"/>
        <w:spacing w:line="360" w:lineRule="auto"/>
        <w:ind w:firstLine="480" w:firstLineChars="200"/>
        <w:textAlignment w:val="baseline"/>
        <w:rPr>
          <w:rFonts w:ascii="新宋体" w:hAnsi="新宋体" w:eastAsia="新宋体"/>
        </w:rPr>
      </w:pPr>
      <w:r>
        <w:rPr>
          <w:rFonts w:hint="eastAsia" w:ascii="新宋体" w:hAnsi="新宋体" w:eastAsia="新宋体"/>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pStyle w:val="38"/>
        <w:spacing w:line="360" w:lineRule="auto"/>
        <w:ind w:firstLine="480" w:firstLineChars="200"/>
        <w:textAlignment w:val="baseline"/>
        <w:rPr>
          <w:rFonts w:ascii="新宋体" w:hAnsi="新宋体" w:eastAsia="新宋体"/>
        </w:rPr>
      </w:pPr>
      <w:r>
        <w:rPr>
          <w:rFonts w:hint="eastAsia" w:ascii="新宋体" w:hAnsi="新宋体" w:eastAsia="新宋体"/>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pStyle w:val="38"/>
        <w:spacing w:line="360" w:lineRule="auto"/>
        <w:textAlignment w:val="baseline"/>
        <w:rPr>
          <w:rFonts w:ascii="新宋体" w:hAnsi="新宋体" w:eastAsia="新宋体"/>
        </w:rPr>
      </w:pPr>
    </w:p>
    <w:p>
      <w:pPr>
        <w:pStyle w:val="38"/>
        <w:spacing w:line="360" w:lineRule="auto"/>
        <w:ind w:firstLine="480" w:firstLineChars="200"/>
        <w:textAlignment w:val="baseline"/>
        <w:rPr>
          <w:rFonts w:ascii="新宋体" w:hAnsi="新宋体" w:eastAsia="新宋体"/>
        </w:rPr>
      </w:pPr>
      <w:r>
        <w:rPr>
          <w:rFonts w:hint="eastAsia" w:ascii="新宋体" w:hAnsi="新宋体" w:eastAsia="新宋体"/>
        </w:rPr>
        <w:t>五、《深圳经济特区政府采购条例实施细则》第七十九条 供应商有下列情形的，属于采购条例所称的串通投标行为，按照采购条例第五十七条有关规定处理：</w:t>
      </w:r>
    </w:p>
    <w:p>
      <w:pPr>
        <w:widowControl/>
        <w:spacing w:line="360" w:lineRule="auto"/>
        <w:ind w:firstLine="480" w:firstLineChars="200"/>
        <w:jc w:val="left"/>
        <w:textAlignment w:val="baseline"/>
        <w:rPr>
          <w:rFonts w:ascii="新宋体" w:hAnsi="新宋体" w:eastAsia="新宋体"/>
          <w:sz w:val="24"/>
        </w:rPr>
      </w:pPr>
      <w:r>
        <w:rPr>
          <w:rFonts w:hint="eastAsia" w:ascii="新宋体" w:hAnsi="新宋体" w:eastAsia="新宋体"/>
          <w:sz w:val="24"/>
        </w:rPr>
        <w:t>（一）投标供应商之间相互约定给予未中标的供应商利益补偿；</w:t>
      </w:r>
    </w:p>
    <w:p>
      <w:pPr>
        <w:widowControl/>
        <w:spacing w:line="360" w:lineRule="auto"/>
        <w:ind w:firstLine="480" w:firstLineChars="200"/>
        <w:jc w:val="left"/>
        <w:textAlignment w:val="baseline"/>
        <w:rPr>
          <w:rFonts w:ascii="新宋体" w:hAnsi="新宋体" w:eastAsia="新宋体"/>
          <w:sz w:val="24"/>
        </w:rPr>
      </w:pPr>
      <w:r>
        <w:rPr>
          <w:rFonts w:hint="eastAsia" w:ascii="新宋体" w:hAnsi="新宋体" w:eastAsia="新宋体"/>
          <w:sz w:val="24"/>
        </w:rPr>
        <w:t>（二）不同投标供应商的法定代表人、主要经营负责人、项目投标授权代表人、项目负责人、主要技术人员为同一人、属同一单位或者在同一单位缴纳社会保险；　　　　 </w:t>
      </w:r>
    </w:p>
    <w:p>
      <w:pPr>
        <w:widowControl/>
        <w:spacing w:line="360" w:lineRule="auto"/>
        <w:ind w:firstLine="480" w:firstLineChars="200"/>
        <w:jc w:val="left"/>
        <w:textAlignment w:val="baseline"/>
        <w:rPr>
          <w:rFonts w:ascii="新宋体" w:hAnsi="新宋体" w:eastAsia="新宋体"/>
          <w:sz w:val="24"/>
        </w:rPr>
      </w:pPr>
      <w:r>
        <w:rPr>
          <w:rFonts w:hint="eastAsia" w:ascii="新宋体" w:hAnsi="新宋体" w:eastAsia="新宋体"/>
          <w:sz w:val="24"/>
        </w:rPr>
        <w:t>（三）不同投标供应商的投标文件由同一单位或者同一人编制，或者由同一人分阶段参与编制的；</w:t>
      </w:r>
    </w:p>
    <w:p>
      <w:pPr>
        <w:widowControl/>
        <w:spacing w:line="360" w:lineRule="auto"/>
        <w:ind w:firstLine="480" w:firstLineChars="200"/>
        <w:jc w:val="left"/>
        <w:textAlignment w:val="baseline"/>
        <w:rPr>
          <w:rFonts w:ascii="新宋体" w:hAnsi="新宋体" w:eastAsia="新宋体"/>
          <w:sz w:val="24"/>
        </w:rPr>
      </w:pPr>
      <w:r>
        <w:rPr>
          <w:rFonts w:hint="eastAsia" w:ascii="新宋体" w:hAnsi="新宋体" w:eastAsia="新宋体"/>
          <w:sz w:val="24"/>
        </w:rPr>
        <w:t>（四）不同投标供应商的投标文件或部分投标文件相互混装；</w:t>
      </w:r>
    </w:p>
    <w:p>
      <w:pPr>
        <w:widowControl/>
        <w:spacing w:line="360" w:lineRule="auto"/>
        <w:ind w:firstLine="480" w:firstLineChars="200"/>
        <w:jc w:val="left"/>
        <w:textAlignment w:val="baseline"/>
        <w:rPr>
          <w:rFonts w:ascii="新宋体" w:hAnsi="新宋体" w:eastAsia="新宋体"/>
          <w:sz w:val="24"/>
        </w:rPr>
      </w:pPr>
      <w:r>
        <w:rPr>
          <w:rFonts w:hint="eastAsia" w:ascii="新宋体" w:hAnsi="新宋体" w:eastAsia="新宋体"/>
          <w:sz w:val="24"/>
        </w:rPr>
        <w:t>（五）不同投标供应商的投标文件内容存在非正常一致；</w:t>
      </w:r>
    </w:p>
    <w:p>
      <w:pPr>
        <w:widowControl/>
        <w:spacing w:line="360" w:lineRule="auto"/>
        <w:ind w:firstLine="480" w:firstLineChars="200"/>
        <w:jc w:val="left"/>
        <w:textAlignment w:val="baseline"/>
        <w:rPr>
          <w:rFonts w:ascii="新宋体" w:hAnsi="新宋体" w:eastAsia="新宋体"/>
          <w:sz w:val="24"/>
        </w:rPr>
      </w:pPr>
      <w:r>
        <w:rPr>
          <w:rFonts w:hint="eastAsia" w:ascii="新宋体" w:hAnsi="新宋体" w:eastAsia="新宋体"/>
          <w:sz w:val="24"/>
        </w:rPr>
        <w:t>（六）由同一单位工作人员为两家以上（含两家）供应商进行同一项投标活动的；</w:t>
      </w:r>
    </w:p>
    <w:p>
      <w:pPr>
        <w:widowControl/>
        <w:spacing w:line="360" w:lineRule="auto"/>
        <w:ind w:firstLine="480" w:firstLineChars="200"/>
        <w:jc w:val="left"/>
        <w:textAlignment w:val="baseline"/>
        <w:rPr>
          <w:rFonts w:ascii="新宋体" w:hAnsi="新宋体" w:eastAsia="新宋体"/>
          <w:sz w:val="24"/>
        </w:rPr>
      </w:pPr>
      <w:r>
        <w:rPr>
          <w:rFonts w:hint="eastAsia" w:ascii="新宋体" w:hAnsi="新宋体" w:eastAsia="新宋体"/>
          <w:sz w:val="24"/>
        </w:rPr>
        <w:t>（七）主管部门依照法律、法规认定的其他情形。</w:t>
      </w:r>
    </w:p>
    <w:p>
      <w:pPr>
        <w:pStyle w:val="38"/>
        <w:spacing w:line="360" w:lineRule="auto"/>
        <w:ind w:firstLine="480" w:firstLineChars="200"/>
        <w:textAlignment w:val="baseline"/>
        <w:rPr>
          <w:rFonts w:ascii="新宋体" w:hAnsi="新宋体" w:eastAsia="新宋体"/>
        </w:rPr>
      </w:pPr>
      <w:r>
        <w:rPr>
          <w:rFonts w:ascii="新宋体" w:hAnsi="新宋体" w:eastAsia="新宋体"/>
        </w:rPr>
        <w:t>六</w:t>
      </w:r>
      <w:r>
        <w:rPr>
          <w:rFonts w:hint="eastAsia" w:ascii="新宋体" w:hAnsi="新宋体" w:eastAsia="新宋体"/>
        </w:rPr>
        <w:t>、《深圳经济特区政府采购条例实施细则》第八十一条 供应商有下列情形之一的，属于隐瞒真实情况，提供虚假资料，按照采购条例第五十七的有关规定处理：</w:t>
      </w:r>
    </w:p>
    <w:p>
      <w:pPr>
        <w:widowControl/>
        <w:spacing w:line="360" w:lineRule="auto"/>
        <w:ind w:firstLine="480" w:firstLineChars="200"/>
        <w:jc w:val="left"/>
        <w:textAlignment w:val="baseline"/>
        <w:rPr>
          <w:rFonts w:ascii="新宋体" w:hAnsi="新宋体" w:eastAsia="新宋体"/>
          <w:sz w:val="24"/>
        </w:rPr>
      </w:pPr>
      <w:r>
        <w:rPr>
          <w:rFonts w:hint="eastAsia" w:ascii="新宋体" w:hAnsi="新宋体" w:eastAsia="新宋体"/>
          <w:sz w:val="24"/>
        </w:rPr>
        <w:t>（一）通过转让或者租借等方式从其他单位获取资格或者资质证书投标的；</w:t>
      </w:r>
    </w:p>
    <w:p>
      <w:pPr>
        <w:widowControl/>
        <w:spacing w:line="360" w:lineRule="auto"/>
        <w:ind w:firstLine="480" w:firstLineChars="200"/>
        <w:jc w:val="left"/>
        <w:textAlignment w:val="baseline"/>
        <w:rPr>
          <w:rFonts w:ascii="新宋体" w:hAnsi="新宋体" w:eastAsia="新宋体"/>
          <w:sz w:val="24"/>
        </w:rPr>
      </w:pPr>
      <w:r>
        <w:rPr>
          <w:rFonts w:hint="eastAsia" w:ascii="新宋体" w:hAnsi="新宋体" w:eastAsia="新宋体"/>
          <w:sz w:val="24"/>
        </w:rPr>
        <w:t>（二）由其他单位或者其他单位负责人在投标供应商编制的投标文件上加盖印章或者签字的；</w:t>
      </w:r>
    </w:p>
    <w:p>
      <w:pPr>
        <w:widowControl/>
        <w:spacing w:line="360" w:lineRule="auto"/>
        <w:ind w:firstLine="480" w:firstLineChars="200"/>
        <w:jc w:val="left"/>
        <w:textAlignment w:val="baseline"/>
        <w:rPr>
          <w:rFonts w:ascii="新宋体" w:hAnsi="新宋体" w:eastAsia="新宋体"/>
          <w:sz w:val="24"/>
        </w:rPr>
      </w:pPr>
      <w:r>
        <w:rPr>
          <w:rFonts w:hint="eastAsia" w:ascii="新宋体" w:hAnsi="新宋体" w:eastAsia="新宋体"/>
          <w:sz w:val="24"/>
        </w:rPr>
        <w:t>（三）项目负责人或者主要技术人员不是本单位人员的；</w:t>
      </w:r>
    </w:p>
    <w:p>
      <w:pPr>
        <w:widowControl/>
        <w:spacing w:line="360" w:lineRule="auto"/>
        <w:ind w:firstLine="480" w:firstLineChars="200"/>
        <w:jc w:val="left"/>
        <w:textAlignment w:val="baseline"/>
        <w:rPr>
          <w:rFonts w:ascii="新宋体" w:hAnsi="新宋体" w:eastAsia="新宋体"/>
          <w:sz w:val="24"/>
        </w:rPr>
      </w:pPr>
      <w:r>
        <w:rPr>
          <w:rFonts w:hint="eastAsia" w:ascii="新宋体" w:hAnsi="新宋体" w:eastAsia="新宋体"/>
          <w:sz w:val="24"/>
        </w:rPr>
        <w:t>（四）投标保证金不是从投标供应商基本账户转出的；</w:t>
      </w:r>
    </w:p>
    <w:p>
      <w:pPr>
        <w:widowControl/>
        <w:spacing w:line="360" w:lineRule="auto"/>
        <w:ind w:firstLine="480" w:firstLineChars="200"/>
        <w:jc w:val="left"/>
        <w:textAlignment w:val="baseline"/>
        <w:rPr>
          <w:rFonts w:ascii="新宋体" w:hAnsi="新宋体" w:eastAsia="新宋体"/>
          <w:sz w:val="24"/>
        </w:rPr>
      </w:pPr>
      <w:r>
        <w:rPr>
          <w:rFonts w:hint="eastAsia" w:ascii="新宋体" w:hAnsi="新宋体" w:eastAsia="新宋体"/>
          <w:sz w:val="24"/>
        </w:rPr>
        <w:t>（五）其他隐瞒真实情况、提供虚假资料的行为。</w:t>
      </w:r>
    </w:p>
    <w:p>
      <w:pPr>
        <w:widowControl/>
        <w:spacing w:line="360" w:lineRule="auto"/>
        <w:ind w:firstLine="480" w:firstLineChars="200"/>
        <w:jc w:val="left"/>
        <w:textAlignment w:val="baseline"/>
        <w:rPr>
          <w:rFonts w:hint="eastAsia" w:ascii="新宋体" w:hAnsi="新宋体" w:eastAsia="新宋体"/>
          <w:sz w:val="28"/>
          <w:szCs w:val="28"/>
        </w:rPr>
      </w:pPr>
      <w:r>
        <w:rPr>
          <w:rFonts w:hint="eastAsia" w:ascii="新宋体" w:hAnsi="新宋体" w:eastAsia="新宋体"/>
          <w:sz w:val="24"/>
        </w:rPr>
        <w:t>投标供应商不能提供项目负责人或者主要技术人员的劳动合同、社会保险等劳动关系证明材料的，视为存在前款第（三）项规定的情形</w:t>
      </w:r>
      <w:r>
        <w:rPr>
          <w:rFonts w:hint="eastAsia" w:ascii="新宋体" w:hAnsi="新宋体" w:eastAsia="新宋体"/>
          <w:sz w:val="28"/>
          <w:szCs w:val="28"/>
        </w:rPr>
        <w:t>。</w:t>
      </w:r>
    </w:p>
    <w:p>
      <w:pPr>
        <w:widowControl/>
        <w:spacing w:line="360" w:lineRule="auto"/>
        <w:ind w:firstLine="560" w:firstLineChars="200"/>
        <w:jc w:val="left"/>
        <w:textAlignment w:val="baseline"/>
        <w:rPr>
          <w:rFonts w:hint="eastAsia" w:ascii="新宋体" w:hAnsi="新宋体" w:eastAsia="新宋体"/>
          <w:sz w:val="28"/>
          <w:szCs w:val="28"/>
        </w:rPr>
      </w:pPr>
    </w:p>
    <w:p>
      <w:pPr>
        <w:widowControl/>
        <w:spacing w:line="360" w:lineRule="auto"/>
        <w:ind w:firstLine="560" w:firstLineChars="200"/>
        <w:jc w:val="left"/>
        <w:textAlignment w:val="baseline"/>
        <w:rPr>
          <w:rFonts w:hint="eastAsia" w:ascii="新宋体" w:hAnsi="新宋体" w:eastAsia="新宋体"/>
          <w:sz w:val="28"/>
          <w:szCs w:val="28"/>
        </w:rPr>
      </w:pPr>
    </w:p>
    <w:p>
      <w:pPr>
        <w:widowControl/>
        <w:spacing w:line="360" w:lineRule="auto"/>
        <w:ind w:firstLine="560" w:firstLineChars="200"/>
        <w:jc w:val="left"/>
        <w:textAlignment w:val="baseline"/>
        <w:rPr>
          <w:rFonts w:hint="eastAsia" w:ascii="新宋体" w:hAnsi="新宋体" w:eastAsia="新宋体"/>
          <w:sz w:val="28"/>
          <w:szCs w:val="28"/>
        </w:rPr>
      </w:pPr>
    </w:p>
    <w:p>
      <w:pPr>
        <w:widowControl/>
        <w:spacing w:line="360" w:lineRule="auto"/>
        <w:ind w:firstLine="560" w:firstLineChars="200"/>
        <w:jc w:val="left"/>
        <w:textAlignment w:val="baseline"/>
        <w:rPr>
          <w:rFonts w:hint="eastAsia" w:ascii="新宋体" w:hAnsi="新宋体" w:eastAsia="新宋体"/>
          <w:sz w:val="28"/>
          <w:szCs w:val="28"/>
        </w:rPr>
      </w:pPr>
    </w:p>
    <w:p>
      <w:pPr>
        <w:widowControl/>
        <w:spacing w:line="360" w:lineRule="auto"/>
        <w:ind w:firstLine="560" w:firstLineChars="200"/>
        <w:jc w:val="left"/>
        <w:textAlignment w:val="baseline"/>
        <w:rPr>
          <w:rFonts w:hint="eastAsia" w:ascii="新宋体" w:hAnsi="新宋体" w:eastAsia="新宋体"/>
          <w:sz w:val="28"/>
          <w:szCs w:val="28"/>
        </w:rPr>
      </w:pPr>
    </w:p>
    <w:p>
      <w:pPr>
        <w:widowControl/>
        <w:spacing w:line="360" w:lineRule="auto"/>
        <w:ind w:firstLine="560" w:firstLineChars="200"/>
        <w:jc w:val="left"/>
        <w:textAlignment w:val="baseline"/>
        <w:rPr>
          <w:rFonts w:hint="eastAsia" w:ascii="新宋体" w:hAnsi="新宋体" w:eastAsia="新宋体"/>
          <w:sz w:val="28"/>
          <w:szCs w:val="28"/>
        </w:rPr>
      </w:pPr>
    </w:p>
    <w:p>
      <w:pPr>
        <w:widowControl/>
        <w:spacing w:line="360" w:lineRule="auto"/>
        <w:ind w:firstLine="560" w:firstLineChars="200"/>
        <w:jc w:val="left"/>
        <w:textAlignment w:val="baseline"/>
        <w:rPr>
          <w:rFonts w:hint="eastAsia" w:ascii="新宋体" w:hAnsi="新宋体" w:eastAsia="新宋体"/>
          <w:sz w:val="28"/>
          <w:szCs w:val="28"/>
        </w:rPr>
      </w:pPr>
    </w:p>
    <w:p>
      <w:pPr>
        <w:widowControl/>
        <w:spacing w:line="360" w:lineRule="auto"/>
        <w:ind w:firstLine="400" w:firstLineChars="200"/>
        <w:jc w:val="left"/>
        <w:textAlignment w:val="baseline"/>
        <w:rPr>
          <w:rFonts w:hint="eastAsia" w:ascii="inherit" w:hAnsi="inherit" w:eastAsia="微软雅黑" w:cs="宋体"/>
          <w:b/>
          <w:bCs/>
          <w:color w:val="333333"/>
          <w:kern w:val="0"/>
          <w:sz w:val="20"/>
          <w:szCs w:val="20"/>
          <w:shd w:val="clear" w:color="auto" w:fill="FFFFFF"/>
        </w:rPr>
      </w:pPr>
    </w:p>
    <w:p>
      <w:pPr>
        <w:pStyle w:val="3"/>
      </w:pPr>
      <w:r>
        <w:rPr>
          <w:rFonts w:hint="eastAsia"/>
        </w:rPr>
        <w:t>关键信息</w:t>
      </w:r>
    </w:p>
    <w:p>
      <w:pPr>
        <w:pStyle w:val="6"/>
      </w:pPr>
      <w:r>
        <w:rPr>
          <w:rFonts w:hint="eastAsia"/>
        </w:rPr>
        <w:t>项目信息</w:t>
      </w:r>
    </w:p>
    <w:p>
      <w:pPr>
        <w:spacing w:line="360" w:lineRule="auto"/>
        <w:rPr>
          <w:rFonts w:ascii="新宋体" w:hAnsi="新宋体" w:eastAsia="新宋体"/>
          <w:color w:val="auto"/>
          <w:szCs w:val="21"/>
        </w:rPr>
      </w:pPr>
      <w:r>
        <w:rPr>
          <w:rFonts w:ascii="宋体" w:hAnsi="宋体"/>
          <w:color w:val="FF0000"/>
          <w:sz w:val="32"/>
        </w:rPr>
        <w:t xml:space="preserve">    </w:t>
      </w:r>
      <w:r>
        <w:rPr>
          <w:rFonts w:ascii="新宋体" w:hAnsi="新宋体" w:eastAsia="新宋体"/>
          <w:color w:val="auto"/>
          <w:szCs w:val="21"/>
        </w:rPr>
        <w:t>项目编号：</w:t>
      </w:r>
      <w:r>
        <w:rPr>
          <w:rFonts w:hint="eastAsia" w:ascii="新宋体" w:hAnsi="新宋体" w:eastAsia="新宋体"/>
          <w:color w:val="auto"/>
          <w:szCs w:val="21"/>
        </w:rPr>
        <w:t>NSDL2021197548</w:t>
      </w:r>
      <w:r>
        <w:rPr>
          <w:rFonts w:ascii="新宋体" w:hAnsi="新宋体" w:eastAsia="新宋体"/>
          <w:color w:val="auto"/>
          <w:szCs w:val="21"/>
        </w:rPr>
        <w:t xml:space="preserve">  </w:t>
      </w:r>
    </w:p>
    <w:p>
      <w:pPr>
        <w:spacing w:line="360" w:lineRule="auto"/>
        <w:rPr>
          <w:rFonts w:ascii="新宋体" w:hAnsi="新宋体" w:eastAsia="新宋体"/>
          <w:color w:val="auto"/>
          <w:szCs w:val="21"/>
        </w:rPr>
      </w:pPr>
      <w:r>
        <w:rPr>
          <w:rFonts w:ascii="新宋体" w:hAnsi="新宋体" w:eastAsia="新宋体"/>
          <w:color w:val="auto"/>
          <w:szCs w:val="21"/>
        </w:rPr>
        <w:t xml:space="preserve">      项目名称：</w:t>
      </w:r>
      <w:r>
        <w:rPr>
          <w:rFonts w:hint="eastAsia" w:ascii="新宋体" w:hAnsi="新宋体" w:eastAsia="新宋体"/>
          <w:color w:val="auto"/>
          <w:szCs w:val="21"/>
        </w:rPr>
        <w:t>海洋生态园地设备采购</w:t>
      </w:r>
      <w:r>
        <w:rPr>
          <w:rFonts w:ascii="新宋体" w:hAnsi="新宋体" w:eastAsia="新宋体"/>
          <w:color w:val="auto"/>
          <w:szCs w:val="21"/>
        </w:rPr>
        <w:t xml:space="preserve">  </w:t>
      </w:r>
    </w:p>
    <w:p>
      <w:pPr>
        <w:spacing w:line="360" w:lineRule="auto"/>
        <w:rPr>
          <w:rFonts w:ascii="新宋体" w:hAnsi="新宋体" w:eastAsia="新宋体"/>
          <w:color w:val="auto"/>
          <w:szCs w:val="21"/>
        </w:rPr>
      </w:pPr>
      <w:r>
        <w:rPr>
          <w:rFonts w:ascii="新宋体" w:hAnsi="新宋体" w:eastAsia="新宋体"/>
          <w:color w:val="auto"/>
          <w:szCs w:val="21"/>
        </w:rPr>
        <w:t xml:space="preserve">      包   号：   </w:t>
      </w:r>
      <w:r>
        <w:rPr>
          <w:rFonts w:hint="eastAsia" w:ascii="新宋体" w:hAnsi="新宋体" w:eastAsia="新宋体"/>
          <w:color w:val="auto"/>
          <w:szCs w:val="21"/>
        </w:rPr>
        <w:t>A</w:t>
      </w:r>
    </w:p>
    <w:p>
      <w:pPr>
        <w:spacing w:line="360" w:lineRule="auto"/>
        <w:rPr>
          <w:rFonts w:ascii="新宋体" w:hAnsi="新宋体" w:eastAsia="新宋体"/>
          <w:color w:val="auto"/>
          <w:szCs w:val="21"/>
        </w:rPr>
      </w:pPr>
      <w:r>
        <w:rPr>
          <w:rFonts w:ascii="新宋体" w:hAnsi="新宋体" w:eastAsia="新宋体"/>
          <w:color w:val="auto"/>
          <w:szCs w:val="21"/>
        </w:rPr>
        <w:t xml:space="preserve">      项目类型：  </w:t>
      </w:r>
      <w:r>
        <w:rPr>
          <w:rFonts w:hint="eastAsia" w:ascii="新宋体" w:hAnsi="新宋体" w:eastAsia="新宋体"/>
          <w:color w:val="auto"/>
          <w:szCs w:val="21"/>
        </w:rPr>
        <w:t>货物</w:t>
      </w:r>
      <w:r>
        <w:rPr>
          <w:rFonts w:ascii="新宋体" w:hAnsi="新宋体" w:eastAsia="新宋体"/>
          <w:color w:val="auto"/>
          <w:szCs w:val="21"/>
        </w:rPr>
        <w:t>类</w:t>
      </w:r>
    </w:p>
    <w:p>
      <w:pPr>
        <w:spacing w:line="360" w:lineRule="auto"/>
        <w:rPr>
          <w:rFonts w:ascii="新宋体" w:hAnsi="新宋体" w:eastAsia="新宋体"/>
          <w:color w:val="auto"/>
          <w:szCs w:val="21"/>
        </w:rPr>
      </w:pPr>
      <w:r>
        <w:rPr>
          <w:rFonts w:ascii="新宋体" w:hAnsi="新宋体" w:eastAsia="新宋体"/>
          <w:color w:val="auto"/>
          <w:szCs w:val="21"/>
        </w:rPr>
        <w:t xml:space="preserve">      采购方式：  公开招标</w:t>
      </w:r>
    </w:p>
    <w:p>
      <w:pPr>
        <w:spacing w:line="360" w:lineRule="auto"/>
        <w:rPr>
          <w:rFonts w:ascii="新宋体" w:hAnsi="新宋体" w:eastAsia="新宋体"/>
          <w:color w:val="auto"/>
          <w:szCs w:val="21"/>
        </w:rPr>
      </w:pPr>
      <w:r>
        <w:rPr>
          <w:rFonts w:ascii="新宋体" w:hAnsi="新宋体" w:eastAsia="新宋体"/>
          <w:color w:val="auto"/>
          <w:szCs w:val="21"/>
        </w:rPr>
        <w:t xml:space="preserve">      货币类型：  人民币</w:t>
      </w:r>
    </w:p>
    <w:p>
      <w:pPr>
        <w:rPr>
          <w:rFonts w:ascii="宋体" w:hAnsi="宋体"/>
          <w:color w:val="auto"/>
          <w:sz w:val="32"/>
        </w:rPr>
      </w:pPr>
    </w:p>
    <w:p>
      <w:pPr>
        <w:pStyle w:val="6"/>
        <w:rPr>
          <w:color w:val="auto"/>
          <w:sz w:val="36"/>
        </w:rPr>
      </w:pPr>
      <w:r>
        <w:rPr>
          <w:rFonts w:hint="eastAsia"/>
          <w:color w:val="auto"/>
          <w:sz w:val="36"/>
        </w:rPr>
        <w:t>投标文件初审表</w:t>
      </w:r>
    </w:p>
    <w:p>
      <w:pPr>
        <w:jc w:val="center"/>
        <w:rPr>
          <w:b/>
          <w:color w:val="auto"/>
        </w:rPr>
      </w:pPr>
      <w:r>
        <w:rPr>
          <w:rFonts w:hint="eastAsia"/>
          <w:b/>
          <w:color w:val="auto"/>
        </w:rPr>
        <w:t>（凡有下列情形之一的，初审不通过，投标无效）</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jc w:val="center"/>
              <w:rPr>
                <w:rFonts w:ascii="新宋体" w:hAnsi="新宋体" w:eastAsia="新宋体"/>
                <w:color w:val="auto"/>
              </w:rPr>
            </w:pPr>
            <w:r>
              <w:rPr>
                <w:rFonts w:hint="eastAsia" w:ascii="新宋体" w:hAnsi="新宋体" w:eastAsia="新宋体"/>
                <w:color w:val="auto"/>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新宋体" w:hAnsi="新宋体" w:eastAsia="新宋体"/>
                <w:color w:val="auto"/>
              </w:rPr>
            </w:pPr>
            <w:r>
              <w:rPr>
                <w:rFonts w:ascii="新宋体" w:hAnsi="新宋体" w:eastAsia="新宋体"/>
                <w:color w:val="auto"/>
              </w:rPr>
              <w:t>1</w:t>
            </w:r>
          </w:p>
        </w:tc>
        <w:tc>
          <w:tcPr>
            <w:tcW w:w="7854" w:type="dxa"/>
          </w:tcPr>
          <w:p>
            <w:pPr>
              <w:rPr>
                <w:rFonts w:ascii="新宋体" w:hAnsi="新宋体" w:eastAsia="新宋体"/>
                <w:color w:val="auto"/>
              </w:rPr>
            </w:pPr>
            <w:r>
              <w:rPr>
                <w:rFonts w:hint="eastAsia" w:ascii="新宋体" w:hAnsi="新宋体" w:eastAsia="新宋体"/>
                <w:color w:val="auto"/>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9" w:type="dxa"/>
            <w:gridSpan w:val="2"/>
          </w:tcPr>
          <w:p>
            <w:pPr>
              <w:jc w:val="center"/>
              <w:rPr>
                <w:rFonts w:ascii="新宋体" w:hAnsi="新宋体" w:eastAsia="新宋体"/>
                <w:color w:val="auto"/>
              </w:rPr>
            </w:pPr>
            <w:r>
              <w:rPr>
                <w:rFonts w:hint="eastAsia" w:ascii="新宋体" w:hAnsi="新宋体" w:eastAsia="新宋体"/>
                <w:color w:val="auto"/>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新宋体" w:hAnsi="新宋体" w:eastAsia="新宋体"/>
                <w:color w:val="auto"/>
              </w:rPr>
            </w:pPr>
            <w:r>
              <w:rPr>
                <w:rFonts w:hint="eastAsia" w:ascii="新宋体" w:hAnsi="新宋体" w:eastAsia="新宋体"/>
                <w:color w:val="auto"/>
              </w:rPr>
              <w:t>1</w:t>
            </w:r>
          </w:p>
        </w:tc>
        <w:tc>
          <w:tcPr>
            <w:tcW w:w="7854" w:type="dxa"/>
          </w:tcPr>
          <w:p>
            <w:pPr>
              <w:rPr>
                <w:rFonts w:ascii="新宋体" w:hAnsi="新宋体" w:eastAsia="新宋体"/>
                <w:color w:val="auto"/>
              </w:rPr>
            </w:pPr>
            <w:r>
              <w:rPr>
                <w:rFonts w:hint="eastAsia" w:ascii="新宋体" w:hAnsi="新宋体" w:eastAsia="新宋体"/>
                <w:color w:val="auto"/>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rFonts w:ascii="新宋体" w:hAnsi="新宋体" w:eastAsia="新宋体"/>
                <w:color w:val="auto"/>
              </w:rPr>
            </w:pPr>
            <w:r>
              <w:rPr>
                <w:rFonts w:hint="eastAsia" w:ascii="新宋体" w:hAnsi="新宋体" w:eastAsia="新宋体"/>
                <w:color w:val="auto"/>
              </w:rPr>
              <w:t>2</w:t>
            </w:r>
          </w:p>
        </w:tc>
        <w:tc>
          <w:tcPr>
            <w:tcW w:w="7854" w:type="dxa"/>
          </w:tcPr>
          <w:p>
            <w:pPr>
              <w:rPr>
                <w:rFonts w:ascii="新宋体" w:hAnsi="新宋体" w:eastAsia="新宋体"/>
                <w:color w:val="auto"/>
              </w:rPr>
            </w:pPr>
            <w:r>
              <w:rPr>
                <w:rFonts w:hint="eastAsia" w:ascii="新宋体" w:hAnsi="新宋体" w:eastAsia="新宋体"/>
                <w:color w:val="auto"/>
              </w:rPr>
              <w:t>对同一项目投标时，提供两套以上的投标方案（招标文件另有规定的除外）；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rFonts w:ascii="新宋体" w:hAnsi="新宋体" w:eastAsia="新宋体"/>
                <w:color w:val="auto"/>
              </w:rPr>
            </w:pPr>
            <w:r>
              <w:rPr>
                <w:rFonts w:hint="eastAsia" w:ascii="新宋体" w:hAnsi="新宋体" w:eastAsia="新宋体"/>
                <w:color w:val="auto"/>
              </w:rPr>
              <w:t>3</w:t>
            </w:r>
          </w:p>
        </w:tc>
        <w:tc>
          <w:tcPr>
            <w:tcW w:w="7854" w:type="dxa"/>
          </w:tcPr>
          <w:p>
            <w:pPr>
              <w:rPr>
                <w:rFonts w:ascii="新宋体" w:hAnsi="新宋体" w:eastAsia="新宋体"/>
                <w:color w:val="auto"/>
              </w:rPr>
            </w:pPr>
            <w:r>
              <w:rPr>
                <w:rFonts w:hint="eastAsia" w:ascii="新宋体" w:hAnsi="新宋体" w:eastAsia="新宋体"/>
                <w:color w:val="auto"/>
              </w:rPr>
              <w:t>投标报价高于财政预算限额（最高投标限价）的；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rFonts w:ascii="新宋体" w:hAnsi="新宋体" w:eastAsia="新宋体"/>
                <w:color w:val="auto"/>
              </w:rPr>
            </w:pPr>
            <w:r>
              <w:rPr>
                <w:rFonts w:hint="eastAsia" w:ascii="新宋体" w:hAnsi="新宋体" w:eastAsia="新宋体"/>
                <w:color w:val="auto"/>
              </w:rPr>
              <w:t>4</w:t>
            </w:r>
          </w:p>
        </w:tc>
        <w:tc>
          <w:tcPr>
            <w:tcW w:w="7854" w:type="dxa"/>
          </w:tcPr>
          <w:p>
            <w:pPr>
              <w:rPr>
                <w:rFonts w:ascii="新宋体" w:hAnsi="新宋体" w:eastAsia="新宋体"/>
                <w:color w:val="auto"/>
              </w:rPr>
            </w:pPr>
            <w:r>
              <w:rPr>
                <w:rFonts w:hint="eastAsia" w:ascii="新宋体" w:hAnsi="新宋体" w:eastAsia="新宋体"/>
                <w:color w:val="auto"/>
              </w:rPr>
              <w:t>同一项目出现两个及以上报价，且按规定无法确定哪个是有效报价；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新宋体" w:hAnsi="新宋体" w:eastAsia="新宋体"/>
                <w:color w:val="auto"/>
              </w:rPr>
            </w:pPr>
            <w:r>
              <w:rPr>
                <w:rFonts w:hint="eastAsia" w:ascii="新宋体" w:hAnsi="新宋体" w:eastAsia="新宋体"/>
                <w:color w:val="auto"/>
              </w:rPr>
              <w:t>5</w:t>
            </w:r>
          </w:p>
        </w:tc>
        <w:tc>
          <w:tcPr>
            <w:tcW w:w="7854" w:type="dxa"/>
          </w:tcPr>
          <w:p>
            <w:pPr>
              <w:rPr>
                <w:rFonts w:ascii="新宋体" w:hAnsi="新宋体" w:eastAsia="新宋体"/>
                <w:color w:val="auto"/>
              </w:rPr>
            </w:pPr>
            <w:r>
              <w:rPr>
                <w:rFonts w:hint="eastAsia" w:ascii="新宋体" w:hAnsi="新宋体" w:eastAsia="新宋体"/>
                <w:color w:val="auto"/>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rFonts w:ascii="新宋体" w:hAnsi="新宋体" w:eastAsia="新宋体"/>
                <w:color w:val="auto"/>
              </w:rPr>
            </w:pPr>
            <w:r>
              <w:rPr>
                <w:rFonts w:hint="eastAsia" w:ascii="新宋体" w:hAnsi="新宋体" w:eastAsia="新宋体"/>
                <w:color w:val="auto"/>
              </w:rPr>
              <w:t>6</w:t>
            </w:r>
          </w:p>
        </w:tc>
        <w:tc>
          <w:tcPr>
            <w:tcW w:w="7854" w:type="dxa"/>
          </w:tcPr>
          <w:p>
            <w:pPr>
              <w:rPr>
                <w:rFonts w:ascii="新宋体" w:hAnsi="新宋体" w:eastAsia="新宋体"/>
                <w:color w:val="auto"/>
              </w:rPr>
            </w:pPr>
            <w:r>
              <w:rPr>
                <w:rFonts w:hint="eastAsia" w:ascii="新宋体" w:hAnsi="新宋体" w:eastAsia="新宋体"/>
                <w:color w:val="auto"/>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rFonts w:ascii="新宋体" w:hAnsi="新宋体" w:eastAsia="新宋体"/>
                <w:color w:val="auto"/>
              </w:rPr>
            </w:pPr>
            <w:r>
              <w:rPr>
                <w:rFonts w:hint="eastAsia" w:ascii="新宋体" w:hAnsi="新宋体" w:eastAsia="新宋体"/>
                <w:color w:val="auto"/>
              </w:rPr>
              <w:t>7</w:t>
            </w:r>
          </w:p>
        </w:tc>
        <w:tc>
          <w:tcPr>
            <w:tcW w:w="7854" w:type="dxa"/>
          </w:tcPr>
          <w:p>
            <w:pPr>
              <w:rPr>
                <w:rFonts w:ascii="新宋体" w:hAnsi="新宋体" w:eastAsia="新宋体"/>
                <w:color w:val="auto"/>
              </w:rPr>
            </w:pPr>
            <w:r>
              <w:rPr>
                <w:rFonts w:hint="eastAsia" w:ascii="新宋体" w:hAnsi="新宋体" w:eastAsia="新宋体"/>
                <w:color w:val="auto"/>
              </w:rPr>
              <w:t>所投产品、工程、服务在商务、技术等方面没有实质性满足招标文件要求的（是否实质性满足招标文件要求，由评标委员会根据《实质性条款响应情况表》做出评判）；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新宋体" w:hAnsi="新宋体" w:eastAsia="新宋体"/>
                <w:color w:val="auto"/>
              </w:rPr>
            </w:pPr>
            <w:r>
              <w:rPr>
                <w:rFonts w:hint="eastAsia" w:ascii="新宋体" w:hAnsi="新宋体" w:eastAsia="新宋体"/>
                <w:color w:val="auto"/>
              </w:rPr>
              <w:t>8</w:t>
            </w:r>
          </w:p>
        </w:tc>
        <w:tc>
          <w:tcPr>
            <w:tcW w:w="7854" w:type="dxa"/>
          </w:tcPr>
          <w:p>
            <w:pPr>
              <w:rPr>
                <w:rFonts w:ascii="新宋体" w:hAnsi="新宋体" w:eastAsia="新宋体"/>
                <w:color w:val="auto"/>
              </w:rPr>
            </w:pPr>
            <w:r>
              <w:rPr>
                <w:rFonts w:hint="eastAsia" w:ascii="新宋体" w:hAnsi="新宋体" w:eastAsia="新宋体"/>
                <w:color w:val="auto"/>
              </w:rPr>
              <w:t>未按招标文件所提供的样式填写</w:t>
            </w:r>
            <w:r>
              <w:rPr>
                <w:rFonts w:ascii="新宋体" w:hAnsi="新宋体" w:eastAsia="新宋体"/>
                <w:color w:val="auto"/>
              </w:rPr>
              <w:t>《</w:t>
            </w:r>
            <w:r>
              <w:rPr>
                <w:rFonts w:hint="eastAsia" w:ascii="新宋体" w:hAnsi="新宋体" w:eastAsia="新宋体"/>
                <w:color w:val="auto"/>
              </w:rPr>
              <w:t>投标函》；未按招标文件所提供的</w:t>
            </w:r>
            <w:r>
              <w:rPr>
                <w:rFonts w:hint="eastAsia" w:ascii="新宋体" w:hAnsi="新宋体" w:eastAsia="新宋体"/>
                <w:color w:val="auto"/>
                <w:szCs w:val="21"/>
              </w:rPr>
              <w:t>《政府采购投标及履约承诺函</w:t>
            </w:r>
            <w:r>
              <w:rPr>
                <w:rFonts w:hint="eastAsia" w:ascii="新宋体" w:hAnsi="新宋体" w:eastAsia="新宋体"/>
                <w:color w:val="auto"/>
              </w:rPr>
              <w:t>》进行承诺；未按招标文件对投标文件组成的要求提供投标文件的（投标文件组成不完整）；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rFonts w:ascii="新宋体" w:hAnsi="新宋体" w:eastAsia="新宋体"/>
                <w:color w:val="auto"/>
              </w:rPr>
            </w:pPr>
            <w:r>
              <w:rPr>
                <w:rFonts w:hint="eastAsia" w:ascii="新宋体" w:hAnsi="新宋体" w:eastAsia="新宋体"/>
                <w:color w:val="auto"/>
              </w:rPr>
              <w:t>9</w:t>
            </w:r>
          </w:p>
        </w:tc>
        <w:tc>
          <w:tcPr>
            <w:tcW w:w="7854" w:type="dxa"/>
          </w:tcPr>
          <w:p>
            <w:pPr>
              <w:rPr>
                <w:rFonts w:ascii="新宋体" w:hAnsi="新宋体" w:eastAsia="新宋体"/>
                <w:color w:val="auto"/>
              </w:rPr>
            </w:pPr>
            <w:r>
              <w:rPr>
                <w:rFonts w:hint="eastAsia" w:ascii="新宋体" w:hAnsi="新宋体" w:eastAsia="新宋体"/>
                <w:color w:val="auto"/>
              </w:rPr>
              <w:t>投标文件存在规避信息公开情形的；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rFonts w:ascii="新宋体" w:hAnsi="新宋体" w:eastAsia="新宋体"/>
                <w:color w:val="auto"/>
              </w:rPr>
            </w:pPr>
            <w:r>
              <w:rPr>
                <w:rFonts w:hint="eastAsia" w:ascii="新宋体" w:hAnsi="新宋体" w:eastAsia="新宋体"/>
                <w:color w:val="auto"/>
              </w:rPr>
              <w:t>10</w:t>
            </w:r>
          </w:p>
        </w:tc>
        <w:tc>
          <w:tcPr>
            <w:tcW w:w="7854" w:type="dxa"/>
          </w:tcPr>
          <w:p>
            <w:pPr>
              <w:rPr>
                <w:rFonts w:ascii="新宋体" w:hAnsi="新宋体" w:eastAsia="新宋体"/>
                <w:color w:val="auto"/>
              </w:rPr>
            </w:pPr>
            <w:r>
              <w:rPr>
                <w:rFonts w:hint="eastAsia" w:ascii="新宋体" w:hAnsi="新宋体" w:eastAsia="新宋体"/>
                <w:color w:val="auto"/>
              </w:rPr>
              <w:t>投标文件电子文档带病毒；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新宋体" w:hAnsi="新宋体" w:eastAsia="新宋体"/>
                <w:color w:val="auto"/>
              </w:rPr>
            </w:pPr>
            <w:r>
              <w:rPr>
                <w:rFonts w:hint="eastAsia" w:ascii="新宋体" w:hAnsi="新宋体" w:eastAsia="新宋体"/>
                <w:color w:val="auto"/>
              </w:rPr>
              <w:t>11</w:t>
            </w:r>
          </w:p>
        </w:tc>
        <w:tc>
          <w:tcPr>
            <w:tcW w:w="7854" w:type="dxa"/>
          </w:tcPr>
          <w:p>
            <w:pPr>
              <w:rPr>
                <w:rFonts w:ascii="新宋体" w:hAnsi="新宋体" w:eastAsia="新宋体"/>
                <w:color w:val="auto"/>
              </w:rPr>
            </w:pPr>
            <w:r>
              <w:rPr>
                <w:rFonts w:hint="eastAsia" w:ascii="新宋体" w:hAnsi="新宋体" w:eastAsia="新宋体"/>
                <w:color w:val="auto"/>
              </w:rPr>
              <w:t>投标文件用不属于本公司的电子密钥进行加密的；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rFonts w:ascii="新宋体" w:hAnsi="新宋体" w:eastAsia="新宋体"/>
                <w:color w:val="auto"/>
              </w:rPr>
            </w:pPr>
            <w:r>
              <w:rPr>
                <w:rFonts w:hint="eastAsia" w:ascii="新宋体" w:hAnsi="新宋体" w:eastAsia="新宋体"/>
                <w:color w:val="auto"/>
              </w:rPr>
              <w:t>12</w:t>
            </w:r>
          </w:p>
        </w:tc>
        <w:tc>
          <w:tcPr>
            <w:tcW w:w="7854" w:type="dxa"/>
          </w:tcPr>
          <w:p>
            <w:pPr>
              <w:rPr>
                <w:rFonts w:ascii="新宋体" w:hAnsi="新宋体" w:eastAsia="新宋体"/>
                <w:color w:val="auto"/>
              </w:rPr>
            </w:pPr>
            <w:r>
              <w:rPr>
                <w:rFonts w:hint="eastAsia" w:ascii="新宋体" w:hAnsi="新宋体" w:eastAsia="新宋体"/>
                <w:color w:val="auto"/>
              </w:rPr>
              <w:t>误选了非本项目的最新加密规则文件，导致投标文件不能在开标时解密；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rPr>
                <w:rFonts w:ascii="新宋体" w:hAnsi="新宋体" w:eastAsia="新宋体"/>
                <w:color w:val="auto"/>
              </w:rPr>
            </w:pPr>
            <w:r>
              <w:rPr>
                <w:rFonts w:hint="eastAsia" w:ascii="新宋体" w:hAnsi="新宋体" w:eastAsia="新宋体"/>
                <w:color w:val="auto"/>
              </w:rPr>
              <w:t>13</w:t>
            </w:r>
          </w:p>
        </w:tc>
        <w:tc>
          <w:tcPr>
            <w:tcW w:w="7854" w:type="dxa"/>
          </w:tcPr>
          <w:p>
            <w:pPr>
              <w:rPr>
                <w:rFonts w:ascii="新宋体" w:hAnsi="新宋体" w:eastAsia="新宋体"/>
                <w:color w:val="auto"/>
              </w:rPr>
            </w:pPr>
            <w:r>
              <w:rPr>
                <w:rFonts w:hint="eastAsia" w:ascii="新宋体" w:hAnsi="新宋体" w:eastAsia="新宋体"/>
                <w:color w:val="auto"/>
              </w:rPr>
              <w:t>法律、法规规定的其他情形。</w:t>
            </w:r>
          </w:p>
        </w:tc>
      </w:tr>
    </w:tbl>
    <w:p>
      <w:pPr>
        <w:rPr>
          <w:color w:val="auto"/>
          <w:sz w:val="36"/>
        </w:rPr>
      </w:pPr>
    </w:p>
    <w:p>
      <w:pPr>
        <w:rPr>
          <w:color w:val="auto"/>
          <w:sz w:val="36"/>
        </w:rPr>
      </w:pPr>
    </w:p>
    <w:p>
      <w:pPr>
        <w:pStyle w:val="4"/>
        <w:jc w:val="center"/>
        <w:rPr>
          <w:color w:val="auto"/>
        </w:rPr>
      </w:pPr>
      <w:r>
        <w:rPr>
          <w:rFonts w:hint="eastAsia"/>
          <w:color w:val="auto"/>
        </w:rPr>
        <w:t>综合评分法</w:t>
      </w:r>
      <w:r>
        <w:rPr>
          <w:color w:val="auto"/>
        </w:rPr>
        <w:t>评标信息</w:t>
      </w:r>
    </w:p>
    <w:p>
      <w:pPr>
        <w:rPr>
          <w:b/>
          <w:bCs/>
          <w:color w:val="auto"/>
        </w:rPr>
      </w:pPr>
    </w:p>
    <w:tbl>
      <w:tblPr>
        <w:tblStyle w:val="43"/>
        <w:tblW w:w="9281" w:type="dxa"/>
        <w:jc w:val="center"/>
        <w:tblCellSpacing w:w="0" w:type="dxa"/>
        <w:tblLayout w:type="autofit"/>
        <w:tblCellMar>
          <w:top w:w="45" w:type="dxa"/>
          <w:left w:w="45" w:type="dxa"/>
          <w:bottom w:w="45" w:type="dxa"/>
          <w:right w:w="45" w:type="dxa"/>
        </w:tblCellMar>
      </w:tblPr>
      <w:tblGrid>
        <w:gridCol w:w="9281"/>
      </w:tblGrid>
      <w:tr>
        <w:trPr>
          <w:tblCellSpacing w:w="0" w:type="dxa"/>
          <w:jc w:val="center"/>
        </w:trPr>
        <w:tc>
          <w:tcPr>
            <w:tcW w:w="0" w:type="auto"/>
            <w:tcBorders>
              <w:top w:val="nil"/>
              <w:left w:val="nil"/>
              <w:bottom w:val="nil"/>
              <w:right w:val="nil"/>
            </w:tcBorders>
            <w:vAlign w:val="center"/>
          </w:tcPr>
          <w:p>
            <w:pPr>
              <w:rPr>
                <w:rFonts w:ascii="新宋体" w:hAnsi="新宋体" w:eastAsia="新宋体"/>
                <w:b/>
                <w:bCs/>
                <w:color w:val="auto"/>
              </w:rPr>
            </w:pPr>
            <w:r>
              <w:rPr>
                <w:rFonts w:hint="eastAsia" w:ascii="新宋体" w:hAnsi="新宋体" w:eastAsia="新宋体"/>
                <w:b/>
                <w:bCs/>
                <w:color w:val="auto"/>
              </w:rPr>
              <w:t xml:space="preserve">    </w:t>
            </w:r>
          </w:p>
          <w:p>
            <w:pPr>
              <w:ind w:firstLine="422" w:firstLineChars="200"/>
              <w:rPr>
                <w:rFonts w:ascii="新宋体" w:hAnsi="新宋体" w:eastAsia="新宋体"/>
                <w:b/>
                <w:bCs/>
                <w:color w:val="auto"/>
              </w:rPr>
            </w:pPr>
            <w:r>
              <w:rPr>
                <w:rFonts w:hint="eastAsia" w:ascii="新宋体" w:hAnsi="新宋体" w:eastAsia="新宋体"/>
                <w:b/>
                <w:bCs/>
                <w:color w:val="auto"/>
              </w:rPr>
              <w:t>一、</w:t>
            </w:r>
            <w:r>
              <w:rPr>
                <w:rFonts w:ascii="新宋体" w:hAnsi="新宋体" w:eastAsia="新宋体"/>
                <w:b/>
                <w:bCs/>
                <w:color w:val="auto"/>
              </w:rPr>
              <w:t>评标方法：综合评分法（新价格分算法）</w:t>
            </w:r>
          </w:p>
        </w:tc>
      </w:tr>
      <w:tr>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pPr>
              <w:ind w:firstLine="411" w:firstLineChars="196"/>
              <w:rPr>
                <w:rFonts w:ascii="新宋体" w:hAnsi="新宋体" w:eastAsia="新宋体"/>
                <w:color w:val="auto"/>
              </w:rPr>
            </w:pPr>
            <w:r>
              <w:rPr>
                <w:rFonts w:hint="eastAsia" w:ascii="新宋体" w:hAnsi="新宋体" w:eastAsia="新宋体"/>
                <w:color w:val="auto"/>
              </w:rPr>
              <w:t xml:space="preserve">   综合评分法，是指投标文件满足招标文件全部实质性要求，且按照评审因素的量化指标评审得分最高的投标人为中标候选人的评标方法（排名第二的投标人为第一递补中标候选人、排名第三的投标人为第二递补中标候选人）。</w:t>
            </w:r>
            <w:r>
              <w:rPr>
                <w:rFonts w:ascii="新宋体" w:hAnsi="新宋体" w:eastAsia="新宋体"/>
                <w:color w:val="auto"/>
              </w:rPr>
              <w:t xml:space="preserve"> </w:t>
            </w:r>
          </w:p>
          <w:p>
            <w:pPr>
              <w:rPr>
                <w:rFonts w:ascii="新宋体" w:hAnsi="新宋体" w:eastAsia="新宋体"/>
                <w:color w:val="auto"/>
              </w:rPr>
            </w:pPr>
            <w:r>
              <w:rPr>
                <w:rFonts w:hint="eastAsia" w:ascii="新宋体" w:hAnsi="新宋体" w:eastAsia="新宋体"/>
                <w:color w:val="auto"/>
              </w:rPr>
              <w:t xml:space="preserve">    </w:t>
            </w:r>
            <w:r>
              <w:rPr>
                <w:rFonts w:ascii="新宋体" w:hAnsi="新宋体" w:eastAsia="新宋体"/>
                <w:color w:val="auto"/>
              </w:rPr>
              <w:t>价格分计算方法：</w:t>
            </w:r>
          </w:p>
          <w:p>
            <w:pPr>
              <w:rPr>
                <w:rFonts w:ascii="新宋体" w:hAnsi="新宋体" w:eastAsia="新宋体"/>
                <w:color w:val="auto"/>
              </w:rPr>
            </w:pPr>
            <w:r>
              <w:rPr>
                <w:rFonts w:hint="eastAsia" w:ascii="新宋体" w:hAnsi="新宋体" w:eastAsia="新宋体"/>
                <w:color w:val="auto"/>
              </w:rPr>
              <w:t xml:space="preserve">    </w:t>
            </w:r>
            <w:r>
              <w:rPr>
                <w:rFonts w:ascii="新宋体" w:hAnsi="新宋体" w:eastAsia="新宋体"/>
                <w:color w:val="auto"/>
              </w:rPr>
              <w:t xml:space="preserve">采用低价优先法计算，即满足招标文件要求且投标价格最低的投标报价为评标基准价，其价格分为满分。其他投标人的价格分统一按照下列公式计算： </w:t>
            </w:r>
            <w:r>
              <w:rPr>
                <w:rFonts w:ascii="新宋体" w:hAnsi="新宋体" w:eastAsia="新宋体"/>
                <w:color w:val="auto"/>
              </w:rPr>
              <w:br w:type="textWrapping"/>
            </w:r>
            <w:r>
              <w:rPr>
                <w:rFonts w:hint="eastAsia" w:ascii="新宋体" w:hAnsi="新宋体" w:eastAsia="新宋体"/>
                <w:color w:val="auto"/>
              </w:rPr>
              <w:t xml:space="preserve">    </w:t>
            </w:r>
            <w:r>
              <w:rPr>
                <w:rFonts w:ascii="新宋体" w:hAnsi="新宋体" w:eastAsia="新宋体"/>
                <w:color w:val="auto"/>
              </w:rPr>
              <w:t xml:space="preserve">投标报价得分=(评标基准价／投标报价)×100 </w:t>
            </w:r>
            <w:r>
              <w:rPr>
                <w:rFonts w:ascii="新宋体" w:hAnsi="新宋体" w:eastAsia="新宋体"/>
                <w:color w:val="auto"/>
              </w:rPr>
              <w:br w:type="textWrapping"/>
            </w:r>
            <w:r>
              <w:rPr>
                <w:rFonts w:hint="eastAsia" w:ascii="新宋体" w:hAnsi="新宋体" w:eastAsia="新宋体"/>
                <w:color w:val="auto"/>
              </w:rPr>
              <w:t xml:space="preserve">    </w:t>
            </w:r>
            <w:r>
              <w:rPr>
                <w:rFonts w:ascii="新宋体" w:hAnsi="新宋体" w:eastAsia="新宋体"/>
                <w:color w:val="auto"/>
              </w:rPr>
              <w:t xml:space="preserve">评标总得分＝F1×A1＋F2×A2＋……＋Fn×An </w:t>
            </w:r>
            <w:r>
              <w:rPr>
                <w:rFonts w:ascii="新宋体" w:hAnsi="新宋体" w:eastAsia="新宋体"/>
                <w:color w:val="auto"/>
              </w:rPr>
              <w:br w:type="textWrapping"/>
            </w:r>
            <w:r>
              <w:rPr>
                <w:rFonts w:hint="eastAsia" w:ascii="新宋体" w:hAnsi="新宋体" w:eastAsia="新宋体"/>
                <w:color w:val="auto"/>
              </w:rPr>
              <w:t xml:space="preserve">    </w:t>
            </w:r>
            <w:r>
              <w:rPr>
                <w:rFonts w:ascii="新宋体" w:hAnsi="新宋体" w:eastAsia="新宋体"/>
                <w:color w:val="auto"/>
              </w:rPr>
              <w:t xml:space="preserve">F1、F2……Fn分别为各项评审因素的得分； </w:t>
            </w:r>
            <w:r>
              <w:rPr>
                <w:rFonts w:ascii="新宋体" w:hAnsi="新宋体" w:eastAsia="新宋体"/>
                <w:color w:val="auto"/>
              </w:rPr>
              <w:br w:type="textWrapping"/>
            </w:r>
            <w:r>
              <w:rPr>
                <w:rFonts w:hint="eastAsia" w:ascii="新宋体" w:hAnsi="新宋体" w:eastAsia="新宋体"/>
                <w:color w:val="auto"/>
              </w:rPr>
              <w:t xml:space="preserve">    </w:t>
            </w:r>
            <w:r>
              <w:rPr>
                <w:rFonts w:ascii="新宋体" w:hAnsi="新宋体" w:eastAsia="新宋体"/>
                <w:color w:val="auto"/>
              </w:rPr>
              <w:t xml:space="preserve">A1、A2、……An 分别为各项评审因素所占的权重(A1＋A2＋……＋An＝1)。 </w:t>
            </w:r>
            <w:r>
              <w:rPr>
                <w:rFonts w:ascii="新宋体" w:hAnsi="新宋体" w:eastAsia="新宋体"/>
                <w:color w:val="auto"/>
              </w:rPr>
              <w:br w:type="textWrapping"/>
            </w:r>
            <w:r>
              <w:rPr>
                <w:rFonts w:hint="eastAsia" w:ascii="新宋体" w:hAnsi="新宋体" w:eastAsia="新宋体"/>
                <w:color w:val="auto"/>
              </w:rPr>
              <w:t xml:space="preserve">    </w:t>
            </w:r>
            <w:r>
              <w:rPr>
                <w:rFonts w:ascii="新宋体" w:hAnsi="新宋体" w:eastAsia="新宋体"/>
                <w:color w:val="auto"/>
              </w:rPr>
              <w:t xml:space="preserve">评标过程中，不得去掉报价中的最高报价和最低报价。 </w:t>
            </w:r>
            <w:r>
              <w:rPr>
                <w:rFonts w:ascii="新宋体" w:hAnsi="新宋体" w:eastAsia="新宋体"/>
                <w:color w:val="auto"/>
              </w:rPr>
              <w:br w:type="textWrapping"/>
            </w:r>
            <w:r>
              <w:rPr>
                <w:rFonts w:hint="eastAsia" w:ascii="新宋体" w:hAnsi="新宋体" w:eastAsia="新宋体"/>
                <w:color w:val="auto"/>
              </w:rPr>
              <w:t xml:space="preserve">    </w:t>
            </w:r>
            <w:r>
              <w:rPr>
                <w:rFonts w:ascii="新宋体" w:hAnsi="新宋体" w:eastAsia="新宋体"/>
                <w:color w:val="auto"/>
              </w:rPr>
              <w:t xml:space="preserve">此方法适用于货物类、服务类、工程类项目。 </w:t>
            </w:r>
          </w:p>
          <w:p>
            <w:pPr>
              <w:rPr>
                <w:rFonts w:ascii="新宋体" w:hAnsi="新宋体" w:eastAsia="新宋体"/>
                <w:b/>
                <w:bCs/>
                <w:color w:val="auto"/>
              </w:rPr>
            </w:pPr>
            <w:r>
              <w:rPr>
                <w:rFonts w:hint="eastAsia" w:ascii="新宋体" w:hAnsi="新宋体" w:eastAsia="新宋体"/>
                <w:b/>
                <w:bCs/>
                <w:color w:val="auto"/>
              </w:rPr>
              <w:t xml:space="preserve">   </w:t>
            </w:r>
          </w:p>
        </w:tc>
      </w:tr>
    </w:tbl>
    <w:p>
      <w:pPr>
        <w:rPr>
          <w:b/>
          <w:bCs/>
          <w:color w:val="auto"/>
        </w:rPr>
      </w:pPr>
      <w:r>
        <w:rPr>
          <w:rFonts w:hint="eastAsia"/>
          <w:b/>
          <w:bCs/>
          <w:color w:val="auto"/>
        </w:rPr>
        <w:t>二、评标信息</w:t>
      </w:r>
    </w:p>
    <w:p>
      <w:pPr>
        <w:rPr>
          <w:color w:val="auto"/>
        </w:rPr>
      </w:pPr>
    </w:p>
    <w:p>
      <w:pPr>
        <w:rPr>
          <w:rFonts w:ascii="宋体" w:hAnsi="宋体"/>
          <w:b/>
          <w:color w:val="auto"/>
        </w:rPr>
      </w:pPr>
    </w:p>
    <w:tbl>
      <w:tblPr>
        <w:tblStyle w:val="43"/>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483"/>
        <w:gridCol w:w="1843"/>
        <w:gridCol w:w="897"/>
        <w:gridCol w:w="1189"/>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31" w:type="dxa"/>
            <w:vAlign w:val="center"/>
          </w:tcPr>
          <w:p>
            <w:pPr>
              <w:spacing w:line="240" w:lineRule="exact"/>
              <w:jc w:val="center"/>
              <w:rPr>
                <w:rFonts w:ascii="宋体" w:hAnsi="宋体"/>
                <w:color w:val="auto"/>
                <w:szCs w:val="21"/>
              </w:rPr>
            </w:pPr>
            <w:r>
              <w:rPr>
                <w:rFonts w:hint="eastAsia" w:ascii="宋体" w:hAnsi="宋体"/>
                <w:color w:val="auto"/>
                <w:szCs w:val="21"/>
              </w:rPr>
              <w:t>序号</w:t>
            </w:r>
          </w:p>
        </w:tc>
        <w:tc>
          <w:tcPr>
            <w:tcW w:w="4412" w:type="dxa"/>
            <w:gridSpan w:val="4"/>
            <w:vAlign w:val="center"/>
          </w:tcPr>
          <w:p>
            <w:pPr>
              <w:spacing w:line="240" w:lineRule="exact"/>
              <w:jc w:val="center"/>
              <w:rPr>
                <w:rFonts w:ascii="宋体" w:hAnsi="宋体"/>
                <w:color w:val="auto"/>
                <w:szCs w:val="21"/>
              </w:rPr>
            </w:pPr>
            <w:r>
              <w:rPr>
                <w:rFonts w:hint="eastAsia" w:ascii="宋体" w:hAnsi="宋体"/>
                <w:color w:val="auto"/>
                <w:szCs w:val="21"/>
              </w:rPr>
              <w:t>评分项</w:t>
            </w:r>
          </w:p>
        </w:tc>
        <w:tc>
          <w:tcPr>
            <w:tcW w:w="3321" w:type="dxa"/>
            <w:vAlign w:val="center"/>
          </w:tcPr>
          <w:p>
            <w:pPr>
              <w:spacing w:line="240" w:lineRule="exact"/>
              <w:jc w:val="center"/>
              <w:rPr>
                <w:rFonts w:ascii="宋体" w:hAnsi="宋体"/>
                <w:color w:val="auto"/>
                <w:szCs w:val="21"/>
              </w:rPr>
            </w:pPr>
            <w:r>
              <w:rPr>
                <w:rFonts w:hint="eastAsia" w:ascii="宋体" w:hAnsi="宋体"/>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1" w:type="dxa"/>
            <w:vAlign w:val="center"/>
          </w:tcPr>
          <w:p>
            <w:pPr>
              <w:spacing w:line="240" w:lineRule="exact"/>
              <w:jc w:val="center"/>
              <w:rPr>
                <w:rFonts w:ascii="宋体" w:hAnsi="宋体"/>
                <w:color w:val="auto"/>
                <w:szCs w:val="21"/>
              </w:rPr>
            </w:pPr>
            <w:r>
              <w:rPr>
                <w:rFonts w:ascii="宋体" w:hAnsi="宋体"/>
                <w:color w:val="auto"/>
                <w:szCs w:val="21"/>
              </w:rPr>
              <w:t>1</w:t>
            </w:r>
          </w:p>
        </w:tc>
        <w:tc>
          <w:tcPr>
            <w:tcW w:w="4412" w:type="dxa"/>
            <w:gridSpan w:val="4"/>
            <w:vAlign w:val="center"/>
          </w:tcPr>
          <w:p>
            <w:pPr>
              <w:spacing w:line="240" w:lineRule="exact"/>
              <w:jc w:val="center"/>
              <w:rPr>
                <w:rFonts w:ascii="宋体" w:hAnsi="宋体"/>
                <w:color w:val="auto"/>
                <w:szCs w:val="21"/>
              </w:rPr>
            </w:pPr>
            <w:r>
              <w:rPr>
                <w:rFonts w:hint="eastAsia" w:ascii="宋体" w:hAnsi="宋体"/>
                <w:color w:val="auto"/>
                <w:szCs w:val="21"/>
              </w:rPr>
              <w:t>价格</w:t>
            </w:r>
          </w:p>
        </w:tc>
        <w:tc>
          <w:tcPr>
            <w:tcW w:w="3321" w:type="dxa"/>
            <w:vAlign w:val="center"/>
          </w:tcPr>
          <w:p>
            <w:pPr>
              <w:spacing w:line="2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1" w:type="dxa"/>
            <w:vAlign w:val="center"/>
          </w:tcPr>
          <w:p>
            <w:pPr>
              <w:spacing w:line="240" w:lineRule="exact"/>
              <w:jc w:val="center"/>
              <w:rPr>
                <w:rFonts w:ascii="宋体" w:hAnsi="宋体"/>
                <w:color w:val="auto"/>
                <w:szCs w:val="21"/>
              </w:rPr>
            </w:pPr>
            <w:r>
              <w:rPr>
                <w:rFonts w:ascii="宋体" w:hAnsi="宋体"/>
                <w:color w:val="auto"/>
                <w:szCs w:val="21"/>
              </w:rPr>
              <w:t>2</w:t>
            </w:r>
          </w:p>
        </w:tc>
        <w:tc>
          <w:tcPr>
            <w:tcW w:w="4412" w:type="dxa"/>
            <w:gridSpan w:val="4"/>
            <w:vAlign w:val="center"/>
          </w:tcPr>
          <w:p>
            <w:pPr>
              <w:spacing w:line="240" w:lineRule="exact"/>
              <w:jc w:val="center"/>
              <w:rPr>
                <w:rFonts w:ascii="宋体" w:hAnsi="宋体"/>
                <w:color w:val="auto"/>
                <w:szCs w:val="21"/>
              </w:rPr>
            </w:pPr>
            <w:r>
              <w:rPr>
                <w:rFonts w:hint="eastAsia" w:ascii="宋体" w:hAnsi="宋体"/>
                <w:color w:val="auto"/>
                <w:szCs w:val="21"/>
              </w:rPr>
              <w:t>技术部分</w:t>
            </w:r>
          </w:p>
        </w:tc>
        <w:tc>
          <w:tcPr>
            <w:tcW w:w="3321" w:type="dxa"/>
            <w:vAlign w:val="center"/>
          </w:tcPr>
          <w:p>
            <w:pPr>
              <w:spacing w:line="2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1" w:type="dxa"/>
            <w:vMerge w:val="restart"/>
            <w:vAlign w:val="center"/>
          </w:tcPr>
          <w:p>
            <w:pPr>
              <w:spacing w:line="240" w:lineRule="exact"/>
              <w:jc w:val="center"/>
              <w:rPr>
                <w:rFonts w:ascii="宋体" w:hAnsi="宋体"/>
                <w:color w:val="auto"/>
                <w:szCs w:val="21"/>
              </w:rPr>
            </w:pPr>
          </w:p>
        </w:tc>
        <w:tc>
          <w:tcPr>
            <w:tcW w:w="483" w:type="dxa"/>
            <w:vAlign w:val="center"/>
          </w:tcPr>
          <w:p>
            <w:pPr>
              <w:spacing w:line="240" w:lineRule="exact"/>
              <w:jc w:val="center"/>
              <w:rPr>
                <w:rFonts w:ascii="宋体" w:hAnsi="宋体"/>
                <w:color w:val="auto"/>
                <w:szCs w:val="21"/>
              </w:rPr>
            </w:pPr>
            <w:r>
              <w:rPr>
                <w:rFonts w:hint="eastAsia" w:ascii="宋体" w:hAnsi="宋体"/>
                <w:color w:val="auto"/>
                <w:szCs w:val="21"/>
              </w:rPr>
              <w:t>序号</w:t>
            </w:r>
          </w:p>
        </w:tc>
        <w:tc>
          <w:tcPr>
            <w:tcW w:w="1843" w:type="dxa"/>
            <w:vAlign w:val="center"/>
          </w:tcPr>
          <w:p>
            <w:pPr>
              <w:spacing w:line="240" w:lineRule="exact"/>
              <w:jc w:val="center"/>
              <w:rPr>
                <w:rFonts w:ascii="宋体" w:hAnsi="宋体"/>
                <w:color w:val="auto"/>
                <w:szCs w:val="21"/>
              </w:rPr>
            </w:pPr>
            <w:r>
              <w:rPr>
                <w:rFonts w:hint="eastAsia" w:ascii="宋体" w:hAnsi="宋体"/>
                <w:color w:val="auto"/>
                <w:szCs w:val="21"/>
              </w:rPr>
              <w:t>评分因素</w:t>
            </w:r>
          </w:p>
        </w:tc>
        <w:tc>
          <w:tcPr>
            <w:tcW w:w="897" w:type="dxa"/>
            <w:vAlign w:val="center"/>
          </w:tcPr>
          <w:p>
            <w:pPr>
              <w:spacing w:line="240" w:lineRule="exact"/>
              <w:jc w:val="center"/>
              <w:rPr>
                <w:rFonts w:ascii="宋体" w:hAnsi="宋体"/>
                <w:color w:val="auto"/>
                <w:szCs w:val="21"/>
              </w:rPr>
            </w:pPr>
            <w:r>
              <w:rPr>
                <w:rFonts w:hint="eastAsia" w:ascii="宋体" w:hAnsi="宋体"/>
                <w:color w:val="auto"/>
                <w:szCs w:val="21"/>
              </w:rPr>
              <w:t>权重</w:t>
            </w:r>
          </w:p>
        </w:tc>
        <w:tc>
          <w:tcPr>
            <w:tcW w:w="1189" w:type="dxa"/>
            <w:vAlign w:val="center"/>
          </w:tcPr>
          <w:p>
            <w:pPr>
              <w:spacing w:line="240" w:lineRule="exact"/>
              <w:jc w:val="center"/>
              <w:rPr>
                <w:rFonts w:ascii="宋体" w:hAnsi="宋体"/>
                <w:color w:val="auto"/>
                <w:szCs w:val="21"/>
              </w:rPr>
            </w:pPr>
            <w:r>
              <w:rPr>
                <w:rFonts w:hint="eastAsia" w:ascii="宋体" w:hAnsi="宋体"/>
                <w:color w:val="auto"/>
                <w:szCs w:val="21"/>
              </w:rPr>
              <w:t>评分方式</w:t>
            </w:r>
          </w:p>
        </w:tc>
        <w:tc>
          <w:tcPr>
            <w:tcW w:w="3321" w:type="dxa"/>
            <w:vAlign w:val="center"/>
          </w:tcPr>
          <w:p>
            <w:pPr>
              <w:spacing w:line="240" w:lineRule="exact"/>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1" w:type="dxa"/>
            <w:vMerge w:val="continue"/>
            <w:vAlign w:val="center"/>
          </w:tcPr>
          <w:p>
            <w:pPr>
              <w:keepNext/>
              <w:keepLines/>
              <w:spacing w:before="340" w:after="330" w:line="240" w:lineRule="exact"/>
              <w:jc w:val="center"/>
              <w:outlineLvl w:val="0"/>
              <w:rPr>
                <w:rFonts w:ascii="宋体" w:hAnsi="宋体"/>
                <w:color w:val="auto"/>
                <w:szCs w:val="21"/>
              </w:rPr>
            </w:pPr>
          </w:p>
        </w:tc>
        <w:tc>
          <w:tcPr>
            <w:tcW w:w="483" w:type="dxa"/>
            <w:vAlign w:val="center"/>
          </w:tcPr>
          <w:p>
            <w:pPr>
              <w:spacing w:line="240" w:lineRule="exact"/>
              <w:jc w:val="center"/>
              <w:rPr>
                <w:rFonts w:ascii="宋体" w:hAnsi="宋体"/>
                <w:color w:val="auto"/>
                <w:szCs w:val="21"/>
              </w:rPr>
            </w:pPr>
            <w:r>
              <w:rPr>
                <w:rFonts w:ascii="宋体" w:hAnsi="宋体"/>
                <w:color w:val="auto"/>
                <w:szCs w:val="21"/>
              </w:rPr>
              <w:t>1</w:t>
            </w:r>
          </w:p>
        </w:tc>
        <w:tc>
          <w:tcPr>
            <w:tcW w:w="1843" w:type="dxa"/>
            <w:vAlign w:val="center"/>
          </w:tcPr>
          <w:p>
            <w:pPr>
              <w:spacing w:line="240" w:lineRule="exact"/>
              <w:jc w:val="center"/>
              <w:rPr>
                <w:rFonts w:ascii="宋体" w:hAnsi="宋体"/>
                <w:b/>
                <w:color w:val="auto"/>
                <w:szCs w:val="21"/>
              </w:rPr>
            </w:pPr>
            <w:r>
              <w:rPr>
                <w:rFonts w:hint="eastAsia" w:ascii="宋体" w:hAnsi="宋体" w:cs="宋体"/>
                <w:color w:val="auto"/>
                <w:kern w:val="0"/>
                <w:szCs w:val="21"/>
              </w:rPr>
              <w:t>技术规格偏离情况</w:t>
            </w:r>
          </w:p>
        </w:tc>
        <w:tc>
          <w:tcPr>
            <w:tcW w:w="897" w:type="dxa"/>
            <w:vAlign w:val="center"/>
          </w:tcPr>
          <w:p>
            <w:pPr>
              <w:spacing w:line="2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40</w:t>
            </w:r>
          </w:p>
        </w:tc>
        <w:tc>
          <w:tcPr>
            <w:tcW w:w="1189" w:type="dxa"/>
            <w:vAlign w:val="center"/>
          </w:tcPr>
          <w:p>
            <w:pPr>
              <w:spacing w:line="240" w:lineRule="exact"/>
              <w:jc w:val="center"/>
              <w:rPr>
                <w:rFonts w:ascii="宋体" w:hAnsi="宋体"/>
                <w:color w:val="auto"/>
                <w:szCs w:val="21"/>
              </w:rPr>
            </w:pPr>
            <w:r>
              <w:rPr>
                <w:rFonts w:hint="eastAsia" w:ascii="宋体" w:hAnsi="宋体"/>
                <w:color w:val="auto"/>
                <w:szCs w:val="21"/>
              </w:rPr>
              <w:t>专家打分</w:t>
            </w:r>
          </w:p>
        </w:tc>
        <w:tc>
          <w:tcPr>
            <w:tcW w:w="3321" w:type="dxa"/>
            <w:vAlign w:val="center"/>
          </w:tcPr>
          <w:p>
            <w:pPr>
              <w:rPr>
                <w:rFonts w:ascii="新宋体" w:hAnsi="新宋体" w:eastAsia="新宋体" w:cs="宋体"/>
                <w:b/>
                <w:bCs/>
                <w:color w:val="auto"/>
                <w:szCs w:val="21"/>
              </w:rPr>
            </w:pPr>
            <w:r>
              <w:rPr>
                <w:rFonts w:hint="eastAsia" w:ascii="新宋体" w:hAnsi="新宋体" w:eastAsia="新宋体" w:cs="宋体"/>
                <w:b/>
                <w:bCs/>
                <w:color w:val="auto"/>
                <w:szCs w:val="21"/>
              </w:rPr>
              <w:t>评审内容：</w:t>
            </w:r>
          </w:p>
          <w:p>
            <w:pPr>
              <w:numPr>
                <w:ilvl w:val="0"/>
                <w:numId w:val="0"/>
              </w:numPr>
              <w:rPr>
                <w:rFonts w:hint="eastAsia" w:ascii="新宋体" w:hAnsi="新宋体" w:eastAsia="新宋体" w:cs="宋体"/>
                <w:color w:val="auto"/>
                <w:szCs w:val="21"/>
              </w:rPr>
            </w:pPr>
            <w:r>
              <w:rPr>
                <w:rFonts w:hint="eastAsia" w:ascii="新宋体" w:hAnsi="新宋体" w:eastAsia="新宋体" w:cs="宋体"/>
                <w:color w:val="auto"/>
                <w:szCs w:val="21"/>
              </w:rPr>
              <w:t>投标人应如实填写《技术规格偏离表》评审委员会根据技术需求参数响应情况进行评分，各项技术参数指标及要求全部满足的得</w:t>
            </w:r>
            <w:r>
              <w:rPr>
                <w:rFonts w:hint="eastAsia" w:ascii="新宋体" w:hAnsi="新宋体" w:eastAsia="新宋体" w:cs="宋体"/>
                <w:color w:val="auto"/>
                <w:szCs w:val="21"/>
                <w:lang w:val="en-US" w:eastAsia="zh-CN"/>
              </w:rPr>
              <w:t>100%</w:t>
            </w:r>
            <w:r>
              <w:rPr>
                <w:rFonts w:hint="eastAsia" w:ascii="新宋体" w:hAnsi="新宋体" w:eastAsia="新宋体" w:cs="宋体"/>
                <w:color w:val="auto"/>
                <w:szCs w:val="21"/>
              </w:rPr>
              <w:t>分。</w:t>
            </w:r>
          </w:p>
          <w:p>
            <w:pPr>
              <w:rPr>
                <w:rFonts w:hint="eastAsia" w:ascii="新宋体" w:hAnsi="新宋体" w:eastAsia="新宋体" w:cs="宋体"/>
                <w:b/>
                <w:bCs/>
                <w:color w:val="auto"/>
                <w:szCs w:val="21"/>
                <w:lang w:val="en-US" w:eastAsia="zh-CN"/>
              </w:rPr>
            </w:pPr>
            <w:r>
              <w:rPr>
                <w:rFonts w:hint="eastAsia" w:ascii="新宋体" w:hAnsi="新宋体" w:eastAsia="新宋体" w:cs="宋体"/>
                <w:b/>
                <w:bCs/>
                <w:color w:val="auto"/>
                <w:szCs w:val="21"/>
                <w:lang w:val="en-US" w:eastAsia="zh-CN"/>
              </w:rPr>
              <w:t>评审标准：</w:t>
            </w:r>
          </w:p>
          <w:p>
            <w:pPr>
              <w:numPr>
                <w:ilvl w:val="0"/>
                <w:numId w:val="0"/>
              </w:numPr>
              <w:rPr>
                <w:rFonts w:hint="eastAsia" w:ascii="新宋体" w:hAnsi="新宋体" w:eastAsia="新宋体" w:cs="宋体"/>
                <w:color w:val="auto"/>
                <w:szCs w:val="21"/>
                <w:lang w:eastAsia="zh-CN"/>
              </w:rPr>
            </w:pPr>
            <w:r>
              <w:rPr>
                <w:rFonts w:hint="eastAsia" w:ascii="新宋体" w:hAnsi="新宋体" w:eastAsia="新宋体" w:cs="宋体"/>
                <w:color w:val="auto"/>
                <w:szCs w:val="21"/>
                <w:lang w:val="en-US" w:eastAsia="zh-CN"/>
              </w:rPr>
              <w:t>1.</w:t>
            </w:r>
            <w:r>
              <w:rPr>
                <w:rFonts w:hint="eastAsia" w:ascii="新宋体" w:hAnsi="新宋体" w:eastAsia="新宋体" w:cs="宋体"/>
                <w:color w:val="auto"/>
                <w:szCs w:val="21"/>
              </w:rPr>
              <w:t>有▲的技术参数为重要技术参数，每负偏离一条扣</w:t>
            </w:r>
            <w:r>
              <w:rPr>
                <w:rFonts w:hint="eastAsia" w:ascii="新宋体" w:hAnsi="新宋体" w:eastAsia="新宋体" w:cs="宋体"/>
                <w:color w:val="auto"/>
                <w:szCs w:val="21"/>
                <w:lang w:val="en-US" w:eastAsia="zh-CN"/>
              </w:rPr>
              <w:t>20%</w:t>
            </w:r>
            <w:r>
              <w:rPr>
                <w:rFonts w:hint="eastAsia" w:ascii="新宋体" w:hAnsi="新宋体" w:eastAsia="新宋体" w:cs="宋体"/>
                <w:color w:val="auto"/>
                <w:szCs w:val="21"/>
              </w:rPr>
              <w:t>分,</w:t>
            </w:r>
            <w:r>
              <w:rPr>
                <w:rFonts w:hint="eastAsia" w:ascii="新宋体" w:hAnsi="新宋体" w:eastAsia="新宋体" w:cs="宋体"/>
                <w:color w:val="auto"/>
                <w:kern w:val="0"/>
                <w:szCs w:val="21"/>
              </w:rPr>
              <w:t>普通参数每负偏离一项扣</w:t>
            </w:r>
            <w:r>
              <w:rPr>
                <w:rFonts w:hint="eastAsia" w:ascii="新宋体" w:hAnsi="新宋体" w:eastAsia="新宋体" w:cs="宋体"/>
                <w:color w:val="auto"/>
                <w:kern w:val="0"/>
                <w:szCs w:val="21"/>
                <w:lang w:val="en-US" w:eastAsia="zh-CN"/>
              </w:rPr>
              <w:t>10%</w:t>
            </w:r>
            <w:r>
              <w:rPr>
                <w:rFonts w:hint="eastAsia" w:ascii="新宋体" w:hAnsi="新宋体" w:eastAsia="新宋体" w:cs="宋体"/>
                <w:color w:val="auto"/>
                <w:kern w:val="0"/>
                <w:szCs w:val="21"/>
              </w:rPr>
              <w:t>分，</w:t>
            </w:r>
            <w:r>
              <w:rPr>
                <w:rFonts w:hint="eastAsia" w:ascii="新宋体" w:hAnsi="新宋体" w:eastAsia="新宋体" w:cs="宋体"/>
                <w:color w:val="auto"/>
                <w:szCs w:val="21"/>
              </w:rPr>
              <w:t>扣完为止</w:t>
            </w:r>
            <w:r>
              <w:rPr>
                <w:rFonts w:hint="eastAsia" w:ascii="新宋体" w:hAnsi="新宋体" w:eastAsia="新宋体" w:cs="宋体"/>
                <w:color w:val="auto"/>
                <w:szCs w:val="21"/>
                <w:lang w:eastAsia="zh-CN"/>
              </w:rPr>
              <w:t>。</w:t>
            </w:r>
          </w:p>
          <w:p>
            <w:pPr>
              <w:numPr>
                <w:ilvl w:val="0"/>
                <w:numId w:val="0"/>
              </w:numPr>
              <w:rPr>
                <w:rFonts w:ascii="宋体" w:hAnsi="宋体" w:cs="宋体"/>
                <w:color w:val="auto"/>
                <w:szCs w:val="21"/>
              </w:rPr>
            </w:pPr>
            <w:r>
              <w:rPr>
                <w:rFonts w:hint="eastAsia" w:ascii="新宋体" w:hAnsi="新宋体" w:eastAsia="新宋体" w:cs="宋体"/>
                <w:color w:val="auto"/>
                <w:szCs w:val="21"/>
                <w:lang w:val="en-US" w:eastAsia="zh-CN"/>
              </w:rPr>
              <w:t>2</w:t>
            </w:r>
            <w:r>
              <w:rPr>
                <w:rFonts w:hint="eastAsia" w:ascii="新宋体" w:hAnsi="新宋体" w:eastAsia="新宋体" w:cs="宋体"/>
                <w:color w:val="auto"/>
                <w:szCs w:val="21"/>
              </w:rPr>
              <w:t>.技术参数中如有参数写明需要提供具有国家认可的第三方检测机构出具的功能性合格检验报告等相关证明材料的，须提供，否则视为负偏离。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1" w:type="dxa"/>
            <w:vMerge w:val="continue"/>
            <w:vAlign w:val="center"/>
          </w:tcPr>
          <w:p>
            <w:pPr>
              <w:keepNext/>
              <w:keepLines/>
              <w:spacing w:before="260" w:after="260" w:line="240" w:lineRule="exact"/>
              <w:jc w:val="center"/>
              <w:outlineLvl w:val="2"/>
              <w:rPr>
                <w:rFonts w:ascii="宋体" w:hAnsi="宋体"/>
                <w:color w:val="auto"/>
                <w:szCs w:val="21"/>
              </w:rPr>
            </w:pPr>
          </w:p>
        </w:tc>
        <w:tc>
          <w:tcPr>
            <w:tcW w:w="483" w:type="dxa"/>
            <w:vAlign w:val="center"/>
          </w:tcPr>
          <w:p>
            <w:pPr>
              <w:spacing w:line="240" w:lineRule="exact"/>
              <w:jc w:val="center"/>
              <w:rPr>
                <w:rFonts w:ascii="宋体" w:hAnsi="宋体"/>
                <w:color w:val="auto"/>
                <w:szCs w:val="21"/>
              </w:rPr>
            </w:pPr>
            <w:r>
              <w:rPr>
                <w:rFonts w:ascii="宋体" w:hAnsi="宋体"/>
                <w:color w:val="auto"/>
                <w:szCs w:val="21"/>
              </w:rPr>
              <w:t>2</w:t>
            </w:r>
          </w:p>
        </w:tc>
        <w:tc>
          <w:tcPr>
            <w:tcW w:w="1843" w:type="dxa"/>
            <w:vAlign w:val="center"/>
          </w:tcPr>
          <w:p>
            <w:pPr>
              <w:spacing w:line="240" w:lineRule="exact"/>
              <w:jc w:val="center"/>
              <w:rPr>
                <w:rFonts w:ascii="宋体" w:hAnsi="宋体"/>
                <w:color w:val="auto"/>
                <w:szCs w:val="21"/>
              </w:rPr>
            </w:pPr>
            <w:r>
              <w:rPr>
                <w:rFonts w:hint="eastAsia" w:ascii="宋体" w:hAnsi="宋体"/>
                <w:color w:val="auto"/>
                <w:szCs w:val="21"/>
              </w:rPr>
              <w:t>技术保障措施</w:t>
            </w:r>
          </w:p>
          <w:p>
            <w:pPr>
              <w:spacing w:line="240" w:lineRule="exact"/>
              <w:jc w:val="center"/>
              <w:rPr>
                <w:rFonts w:hint="eastAsia" w:ascii="宋体" w:hAnsi="宋体" w:eastAsia="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效果图</w:t>
            </w:r>
            <w:r>
              <w:rPr>
                <w:rFonts w:hint="eastAsia" w:ascii="宋体" w:hAnsi="宋体"/>
                <w:color w:val="auto"/>
                <w:szCs w:val="21"/>
                <w:lang w:eastAsia="zh-CN"/>
              </w:rPr>
              <w:t>）</w:t>
            </w:r>
          </w:p>
        </w:tc>
        <w:tc>
          <w:tcPr>
            <w:tcW w:w="897" w:type="dxa"/>
            <w:vAlign w:val="center"/>
          </w:tcPr>
          <w:p>
            <w:pPr>
              <w:spacing w:line="240" w:lineRule="exact"/>
              <w:jc w:val="center"/>
              <w:rPr>
                <w:rFonts w:hint="default" w:ascii="宋体" w:hAnsi="宋体" w:eastAsia="宋体"/>
                <w:color w:val="auto"/>
                <w:szCs w:val="21"/>
                <w:lang w:val="en-US" w:eastAsia="zh-CN"/>
              </w:rPr>
            </w:pPr>
            <w:r>
              <w:rPr>
                <w:rFonts w:hint="eastAsia" w:ascii="宋体" w:hAnsi="宋体" w:cs="宋体"/>
                <w:color w:val="auto"/>
                <w:szCs w:val="21"/>
                <w:lang w:val="en-US" w:eastAsia="zh-CN"/>
              </w:rPr>
              <w:t>10</w:t>
            </w:r>
          </w:p>
        </w:tc>
        <w:tc>
          <w:tcPr>
            <w:tcW w:w="1189" w:type="dxa"/>
            <w:vAlign w:val="center"/>
          </w:tcPr>
          <w:p>
            <w:pPr>
              <w:spacing w:line="240" w:lineRule="exact"/>
              <w:jc w:val="center"/>
              <w:rPr>
                <w:rFonts w:ascii="宋体" w:hAnsi="宋体"/>
                <w:color w:val="auto"/>
                <w:szCs w:val="21"/>
              </w:rPr>
            </w:pPr>
            <w:r>
              <w:rPr>
                <w:rFonts w:hint="eastAsia" w:ascii="宋体" w:hAnsi="宋体"/>
                <w:color w:val="auto"/>
                <w:szCs w:val="21"/>
              </w:rPr>
              <w:t>专家打分</w:t>
            </w:r>
          </w:p>
        </w:tc>
        <w:tc>
          <w:tcPr>
            <w:tcW w:w="3321" w:type="dxa"/>
            <w:vAlign w:val="top"/>
          </w:tcPr>
          <w:p>
            <w:pPr>
              <w:rPr>
                <w:rFonts w:hint="eastAsia" w:ascii="新宋体" w:hAnsi="新宋体" w:eastAsia="新宋体" w:cs="宋体"/>
                <w:b/>
                <w:bCs/>
                <w:color w:val="auto"/>
                <w:kern w:val="0"/>
                <w:szCs w:val="21"/>
              </w:rPr>
            </w:pPr>
            <w:r>
              <w:rPr>
                <w:rFonts w:hint="eastAsia" w:ascii="新宋体" w:hAnsi="新宋体" w:eastAsia="新宋体" w:cs="宋体"/>
                <w:b/>
                <w:bCs/>
                <w:color w:val="auto"/>
                <w:kern w:val="0"/>
                <w:szCs w:val="21"/>
              </w:rPr>
              <w:t>评审</w:t>
            </w:r>
            <w:r>
              <w:rPr>
                <w:rFonts w:hint="eastAsia" w:ascii="新宋体" w:hAnsi="新宋体" w:eastAsia="新宋体" w:cs="宋体"/>
                <w:b/>
                <w:bCs/>
                <w:color w:val="auto"/>
                <w:kern w:val="0"/>
                <w:szCs w:val="21"/>
                <w:lang w:val="en-US" w:eastAsia="zh-CN"/>
              </w:rPr>
              <w:t>内容</w:t>
            </w:r>
            <w:r>
              <w:rPr>
                <w:rFonts w:hint="eastAsia" w:ascii="新宋体" w:hAnsi="新宋体" w:eastAsia="新宋体" w:cs="宋体"/>
                <w:b/>
                <w:bCs/>
                <w:color w:val="auto"/>
                <w:kern w:val="0"/>
                <w:szCs w:val="21"/>
              </w:rPr>
              <w:t>：</w:t>
            </w:r>
          </w:p>
          <w:p>
            <w:pPr>
              <w:rPr>
                <w:rFonts w:hint="eastAsia" w:ascii="新宋体" w:hAnsi="新宋体" w:eastAsia="新宋体" w:cs="宋体"/>
                <w:color w:val="auto"/>
                <w:kern w:val="0"/>
                <w:szCs w:val="21"/>
                <w:lang w:val="en-US" w:eastAsia="zh-CN"/>
              </w:rPr>
            </w:pPr>
            <w:r>
              <w:rPr>
                <w:rFonts w:hint="eastAsia" w:ascii="新宋体" w:hAnsi="新宋体" w:eastAsia="新宋体" w:cs="宋体"/>
                <w:b w:val="0"/>
                <w:bCs w:val="0"/>
                <w:color w:val="auto"/>
                <w:kern w:val="0"/>
                <w:szCs w:val="21"/>
              </w:rPr>
              <w:t>为达到海洋生态园预期的设计效果</w:t>
            </w:r>
            <w:r>
              <w:rPr>
                <w:rFonts w:hint="eastAsia" w:ascii="新宋体" w:hAnsi="新宋体" w:eastAsia="新宋体" w:cs="宋体"/>
                <w:b w:val="0"/>
                <w:bCs w:val="0"/>
                <w:color w:val="auto"/>
                <w:kern w:val="0"/>
                <w:szCs w:val="21"/>
                <w:lang w:eastAsia="zh-CN"/>
              </w:rPr>
              <w:t>，</w:t>
            </w:r>
            <w:r>
              <w:rPr>
                <w:rFonts w:hint="eastAsia" w:ascii="新宋体" w:hAnsi="新宋体" w:eastAsia="新宋体" w:cs="宋体"/>
                <w:b w:val="0"/>
                <w:bCs w:val="0"/>
                <w:color w:val="auto"/>
                <w:kern w:val="0"/>
                <w:szCs w:val="21"/>
                <w:lang w:val="en-US" w:eastAsia="zh-CN"/>
              </w:rPr>
              <w:t>投标人需提前进行现场勘探后出具效果图、平面图、施工图；并由采购人确认盖章签字。</w:t>
            </w:r>
            <w:r>
              <w:rPr>
                <w:rFonts w:hint="eastAsia" w:ascii="新宋体" w:hAnsi="新宋体" w:eastAsia="新宋体" w:cs="宋体"/>
                <w:color w:val="auto"/>
                <w:kern w:val="0"/>
                <w:szCs w:val="21"/>
                <w:lang w:val="en-US" w:eastAsia="zh-CN"/>
              </w:rPr>
              <w:t>效果图包括6个不同角度的6张效果图，其中包含：整体效果图，船的全景图，整体夜景图，船的夜景图，整体俯视图，船的侧视图；内容包括：鱼缸、景观船、灯光布置等。</w:t>
            </w:r>
          </w:p>
          <w:p>
            <w:pPr>
              <w:rPr>
                <w:rFonts w:hint="eastAsia" w:ascii="新宋体" w:hAnsi="新宋体" w:eastAsia="新宋体" w:cs="宋体"/>
                <w:b/>
                <w:bCs/>
                <w:color w:val="auto"/>
                <w:kern w:val="0"/>
                <w:szCs w:val="21"/>
                <w:lang w:val="en-US" w:eastAsia="zh-CN"/>
              </w:rPr>
            </w:pPr>
            <w:r>
              <w:rPr>
                <w:rFonts w:hint="eastAsia" w:ascii="新宋体" w:hAnsi="新宋体" w:eastAsia="新宋体" w:cs="宋体"/>
                <w:b/>
                <w:bCs/>
                <w:color w:val="auto"/>
                <w:kern w:val="0"/>
                <w:szCs w:val="21"/>
                <w:lang w:val="en-US" w:eastAsia="zh-CN"/>
              </w:rPr>
              <w:t>评审标准：</w:t>
            </w:r>
          </w:p>
          <w:p>
            <w:pPr>
              <w:rPr>
                <w:rFonts w:hint="eastAsia" w:ascii="新宋体" w:hAnsi="新宋体" w:eastAsia="新宋体" w:cs="宋体"/>
                <w:color w:val="auto"/>
                <w:kern w:val="0"/>
                <w:szCs w:val="21"/>
                <w:lang w:val="en-US" w:eastAsia="zh-CN"/>
              </w:rPr>
            </w:pPr>
            <w:r>
              <w:rPr>
                <w:rFonts w:hint="eastAsia" w:ascii="新宋体" w:hAnsi="新宋体" w:eastAsia="新宋体" w:cs="宋体"/>
                <w:color w:val="auto"/>
                <w:kern w:val="0"/>
                <w:szCs w:val="21"/>
                <w:lang w:val="en-US" w:eastAsia="zh-CN"/>
              </w:rPr>
              <w:t>页面设计风格，布局需与用户需求，实际位置相符，并须同时提供：</w:t>
            </w:r>
            <w:r>
              <w:rPr>
                <w:rFonts w:hint="eastAsia" w:ascii="新宋体" w:hAnsi="新宋体" w:eastAsia="新宋体" w:cs="宋体"/>
                <w:color w:val="auto"/>
                <w:kern w:val="0"/>
                <w:szCs w:val="21"/>
                <w:lang w:val="en-US" w:eastAsia="zh-CN"/>
              </w:rPr>
              <w:br w:type="textWrapping"/>
            </w:r>
            <w:r>
              <w:rPr>
                <w:rFonts w:hint="eastAsia" w:ascii="新宋体" w:hAnsi="新宋体" w:eastAsia="新宋体" w:cs="宋体"/>
                <w:color w:val="auto"/>
                <w:kern w:val="0"/>
                <w:szCs w:val="21"/>
                <w:lang w:val="en-US" w:eastAsia="zh-CN"/>
              </w:rPr>
              <w:t xml:space="preserve">（1）对效果图布局设计准确全面，科学合理得100%； </w:t>
            </w:r>
          </w:p>
          <w:p>
            <w:pPr>
              <w:rPr>
                <w:rFonts w:hint="eastAsia" w:ascii="新宋体" w:hAnsi="新宋体" w:eastAsia="新宋体" w:cs="宋体"/>
                <w:color w:val="auto"/>
                <w:kern w:val="0"/>
                <w:szCs w:val="21"/>
                <w:lang w:val="en-US" w:eastAsia="zh-CN"/>
              </w:rPr>
            </w:pPr>
            <w:r>
              <w:rPr>
                <w:rFonts w:hint="eastAsia" w:ascii="新宋体" w:hAnsi="新宋体" w:eastAsia="新宋体" w:cs="宋体"/>
                <w:color w:val="auto"/>
                <w:kern w:val="0"/>
                <w:szCs w:val="21"/>
                <w:lang w:val="en-US" w:eastAsia="zh-CN"/>
              </w:rPr>
              <w:t>（2）对效果图布局设计较为全面，比较科学合理得80%；</w:t>
            </w:r>
          </w:p>
          <w:p>
            <w:pPr>
              <w:rPr>
                <w:rFonts w:hint="eastAsia" w:ascii="新宋体" w:hAnsi="新宋体" w:eastAsia="新宋体" w:cs="宋体"/>
                <w:color w:val="auto"/>
                <w:kern w:val="0"/>
                <w:szCs w:val="21"/>
                <w:lang w:val="en-US" w:eastAsia="zh-CN"/>
              </w:rPr>
            </w:pPr>
            <w:r>
              <w:rPr>
                <w:rFonts w:hint="eastAsia" w:ascii="新宋体" w:hAnsi="新宋体" w:eastAsia="新宋体" w:cs="宋体"/>
                <w:color w:val="auto"/>
                <w:kern w:val="0"/>
                <w:szCs w:val="21"/>
                <w:lang w:val="en-US" w:eastAsia="zh-CN"/>
              </w:rPr>
              <w:t>（3）对效果图布局设计一般，得50%；</w:t>
            </w:r>
          </w:p>
          <w:p>
            <w:pPr>
              <w:rPr>
                <w:rFonts w:hint="eastAsia" w:ascii="新宋体" w:hAnsi="新宋体" w:eastAsia="新宋体" w:cs="宋体"/>
                <w:color w:val="auto"/>
                <w:kern w:val="0"/>
                <w:szCs w:val="21"/>
              </w:rPr>
            </w:pPr>
            <w:r>
              <w:rPr>
                <w:rFonts w:hint="eastAsia" w:ascii="新宋体" w:hAnsi="新宋体" w:eastAsia="新宋体" w:cs="宋体"/>
                <w:color w:val="auto"/>
                <w:kern w:val="0"/>
                <w:szCs w:val="21"/>
                <w:lang w:val="en-US" w:eastAsia="zh-CN"/>
              </w:rPr>
              <w:t>（4）对效果图布局设计不合理的，及未提供相关效果图的不得分。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1" w:type="dxa"/>
            <w:vMerge w:val="continue"/>
            <w:vAlign w:val="center"/>
          </w:tcPr>
          <w:p>
            <w:pPr>
              <w:keepNext/>
              <w:keepLines/>
              <w:spacing w:before="260" w:after="160" w:line="240" w:lineRule="exact"/>
              <w:jc w:val="center"/>
              <w:outlineLvl w:val="2"/>
              <w:rPr>
                <w:rFonts w:ascii="宋体" w:hAnsi="宋体" w:eastAsia="仿宋_GB2312"/>
                <w:color w:val="auto"/>
                <w:szCs w:val="21"/>
              </w:rPr>
            </w:pPr>
          </w:p>
        </w:tc>
        <w:tc>
          <w:tcPr>
            <w:tcW w:w="483" w:type="dxa"/>
            <w:vAlign w:val="center"/>
          </w:tcPr>
          <w:p>
            <w:pPr>
              <w:spacing w:line="2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3</w:t>
            </w:r>
          </w:p>
        </w:tc>
        <w:tc>
          <w:tcPr>
            <w:tcW w:w="1843" w:type="dxa"/>
            <w:vAlign w:val="center"/>
          </w:tcPr>
          <w:p>
            <w:pPr>
              <w:spacing w:line="24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同类业绩</w:t>
            </w:r>
          </w:p>
        </w:tc>
        <w:tc>
          <w:tcPr>
            <w:tcW w:w="897" w:type="dxa"/>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1189" w:type="dxa"/>
            <w:vAlign w:val="center"/>
          </w:tcPr>
          <w:p>
            <w:pPr>
              <w:spacing w:line="240" w:lineRule="exact"/>
              <w:jc w:val="center"/>
              <w:rPr>
                <w:rFonts w:ascii="宋体" w:hAnsi="宋体"/>
                <w:color w:val="auto"/>
                <w:szCs w:val="21"/>
              </w:rPr>
            </w:pPr>
            <w:r>
              <w:rPr>
                <w:rFonts w:hint="eastAsia" w:ascii="宋体" w:hAnsi="宋体"/>
                <w:color w:val="auto"/>
                <w:szCs w:val="21"/>
              </w:rPr>
              <w:t>专家评分</w:t>
            </w:r>
          </w:p>
        </w:tc>
        <w:tc>
          <w:tcPr>
            <w:tcW w:w="3321" w:type="dxa"/>
            <w:vAlign w:val="center"/>
          </w:tcPr>
          <w:p>
            <w:pPr>
              <w:rPr>
                <w:rFonts w:hint="eastAsia" w:ascii="新宋体" w:hAnsi="新宋体" w:eastAsia="新宋体" w:cs="宋体"/>
                <w:b/>
                <w:bCs/>
                <w:color w:val="auto"/>
                <w:szCs w:val="21"/>
                <w:lang w:val="en-US" w:eastAsia="zh-CN"/>
              </w:rPr>
            </w:pPr>
            <w:r>
              <w:rPr>
                <w:rFonts w:hint="eastAsia" w:ascii="新宋体" w:hAnsi="新宋体" w:eastAsia="新宋体" w:cs="宋体"/>
                <w:b/>
                <w:bCs/>
                <w:color w:val="auto"/>
                <w:szCs w:val="21"/>
                <w:lang w:val="en-US" w:eastAsia="zh-CN"/>
              </w:rPr>
              <w:t>评审内容：</w:t>
            </w:r>
          </w:p>
          <w:p>
            <w:pPr>
              <w:rPr>
                <w:rFonts w:hint="eastAsia" w:ascii="新宋体" w:hAnsi="新宋体" w:eastAsia="新宋体" w:cs="宋体"/>
                <w:color w:val="auto"/>
                <w:szCs w:val="21"/>
              </w:rPr>
            </w:pPr>
            <w:r>
              <w:rPr>
                <w:rFonts w:hint="eastAsia" w:ascii="新宋体" w:hAnsi="新宋体" w:eastAsia="新宋体" w:cs="宋体"/>
                <w:color w:val="auto"/>
                <w:szCs w:val="21"/>
                <w:lang w:val="en-US" w:eastAsia="zh-CN"/>
              </w:rPr>
              <w:t>自该项目招标公告截止前，2019年1月起；投标人在</w:t>
            </w:r>
            <w:r>
              <w:rPr>
                <w:rFonts w:hint="eastAsia" w:ascii="新宋体" w:hAnsi="新宋体" w:eastAsia="新宋体" w:cs="宋体"/>
                <w:color w:val="auto"/>
                <w:szCs w:val="21"/>
              </w:rPr>
              <w:t>深圳做过同类有效项目，</w:t>
            </w:r>
            <w:r>
              <w:rPr>
                <w:rFonts w:hint="eastAsia" w:ascii="新宋体" w:hAnsi="新宋体" w:eastAsia="新宋体" w:cs="宋体"/>
                <w:color w:val="auto"/>
                <w:szCs w:val="21"/>
                <w:lang w:val="en-US" w:eastAsia="zh-CN"/>
              </w:rPr>
              <w:t>每一个成功案例</w:t>
            </w:r>
            <w:r>
              <w:rPr>
                <w:rFonts w:hint="eastAsia" w:ascii="新宋体" w:hAnsi="新宋体" w:eastAsia="新宋体" w:cs="宋体"/>
                <w:color w:val="auto"/>
                <w:szCs w:val="21"/>
              </w:rPr>
              <w:t>得50%分，最高分100%分。</w:t>
            </w:r>
          </w:p>
          <w:p>
            <w:pPr>
              <w:rPr>
                <w:rFonts w:hint="eastAsia" w:ascii="新宋体" w:hAnsi="新宋体" w:eastAsia="新宋体" w:cs="宋体"/>
                <w:b/>
                <w:bCs/>
                <w:color w:val="auto"/>
                <w:szCs w:val="21"/>
                <w:lang w:val="en-US" w:eastAsia="zh-CN"/>
              </w:rPr>
            </w:pPr>
            <w:r>
              <w:rPr>
                <w:rFonts w:hint="eastAsia" w:ascii="新宋体" w:hAnsi="新宋体" w:eastAsia="新宋体" w:cs="宋体"/>
                <w:b/>
                <w:bCs/>
                <w:color w:val="auto"/>
                <w:szCs w:val="21"/>
                <w:lang w:val="en-US" w:eastAsia="zh-CN"/>
              </w:rPr>
              <w:t>评审标准：</w:t>
            </w:r>
          </w:p>
          <w:p>
            <w:pPr>
              <w:rPr>
                <w:rFonts w:ascii="新宋体" w:hAnsi="新宋体" w:eastAsia="新宋体"/>
                <w:color w:val="auto"/>
                <w:szCs w:val="21"/>
              </w:rPr>
            </w:pPr>
            <w:r>
              <w:rPr>
                <w:rFonts w:hint="eastAsia" w:ascii="新宋体" w:hAnsi="新宋体" w:eastAsia="新宋体"/>
                <w:color w:val="auto"/>
                <w:szCs w:val="21"/>
              </w:rPr>
              <w:t>要求同时提供中标通知书或中标公告、合同关键信息页及项目履约（验收）合格评价证明资料。</w:t>
            </w:r>
          </w:p>
          <w:p>
            <w:pPr>
              <w:rPr>
                <w:rFonts w:hint="eastAsia" w:ascii="新宋体" w:hAnsi="新宋体" w:eastAsia="新宋体" w:cs="宋体"/>
                <w:color w:val="auto"/>
                <w:szCs w:val="21"/>
              </w:rPr>
            </w:pPr>
            <w:r>
              <w:rPr>
                <w:rFonts w:hint="eastAsia" w:ascii="新宋体" w:hAnsi="新宋体" w:eastAsia="新宋体"/>
                <w:color w:val="auto"/>
                <w:szCs w:val="21"/>
              </w:rPr>
              <w:t>注：以上资料均要求提供扫描件（原件备查），</w:t>
            </w:r>
            <w:r>
              <w:rPr>
                <w:rFonts w:ascii="新宋体" w:hAnsi="新宋体" w:eastAsia="新宋体"/>
                <w:color w:val="auto"/>
                <w:szCs w:val="21"/>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1" w:type="dxa"/>
            <w:vAlign w:val="center"/>
          </w:tcPr>
          <w:p>
            <w:pPr>
              <w:spacing w:line="240" w:lineRule="exact"/>
              <w:jc w:val="center"/>
              <w:rPr>
                <w:rFonts w:ascii="宋体" w:hAnsi="宋体"/>
                <w:color w:val="auto"/>
                <w:szCs w:val="21"/>
              </w:rPr>
            </w:pPr>
            <w:r>
              <w:rPr>
                <w:rFonts w:ascii="宋体" w:hAnsi="宋体"/>
                <w:color w:val="auto"/>
                <w:szCs w:val="21"/>
              </w:rPr>
              <w:t>3</w:t>
            </w:r>
          </w:p>
        </w:tc>
        <w:tc>
          <w:tcPr>
            <w:tcW w:w="4412" w:type="dxa"/>
            <w:gridSpan w:val="4"/>
            <w:vAlign w:val="center"/>
          </w:tcPr>
          <w:p>
            <w:pPr>
              <w:spacing w:line="240" w:lineRule="exact"/>
              <w:jc w:val="center"/>
              <w:rPr>
                <w:rFonts w:ascii="宋体" w:hAnsi="宋体"/>
                <w:color w:val="auto"/>
                <w:szCs w:val="21"/>
              </w:rPr>
            </w:pPr>
            <w:r>
              <w:rPr>
                <w:rFonts w:hint="eastAsia" w:ascii="宋体" w:hAnsi="宋体"/>
                <w:color w:val="auto"/>
                <w:szCs w:val="21"/>
              </w:rPr>
              <w:t>商务需求</w:t>
            </w:r>
          </w:p>
        </w:tc>
        <w:tc>
          <w:tcPr>
            <w:tcW w:w="3321" w:type="dxa"/>
            <w:vAlign w:val="center"/>
          </w:tcPr>
          <w:p>
            <w:pPr>
              <w:spacing w:line="2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1" w:type="dxa"/>
            <w:vMerge w:val="restart"/>
            <w:vAlign w:val="center"/>
          </w:tcPr>
          <w:p>
            <w:pPr>
              <w:keepNext/>
              <w:keepLines/>
              <w:spacing w:before="340" w:after="330" w:line="240" w:lineRule="exact"/>
              <w:jc w:val="center"/>
              <w:outlineLvl w:val="0"/>
              <w:rPr>
                <w:rFonts w:ascii="宋体" w:hAnsi="宋体"/>
                <w:color w:val="auto"/>
                <w:szCs w:val="21"/>
              </w:rPr>
            </w:pPr>
          </w:p>
        </w:tc>
        <w:tc>
          <w:tcPr>
            <w:tcW w:w="483" w:type="dxa"/>
            <w:vAlign w:val="center"/>
          </w:tcPr>
          <w:p>
            <w:pPr>
              <w:spacing w:line="240" w:lineRule="exact"/>
              <w:jc w:val="center"/>
              <w:rPr>
                <w:rFonts w:ascii="宋体" w:hAnsi="宋体"/>
                <w:color w:val="auto"/>
                <w:szCs w:val="21"/>
              </w:rPr>
            </w:pPr>
            <w:r>
              <w:rPr>
                <w:rFonts w:hint="eastAsia" w:ascii="宋体" w:hAnsi="宋体"/>
                <w:color w:val="auto"/>
                <w:szCs w:val="21"/>
              </w:rPr>
              <w:t>序号</w:t>
            </w:r>
          </w:p>
        </w:tc>
        <w:tc>
          <w:tcPr>
            <w:tcW w:w="1843" w:type="dxa"/>
            <w:vAlign w:val="center"/>
          </w:tcPr>
          <w:p>
            <w:pPr>
              <w:spacing w:line="240" w:lineRule="exact"/>
              <w:jc w:val="center"/>
              <w:rPr>
                <w:rFonts w:ascii="宋体" w:hAnsi="宋体"/>
                <w:color w:val="auto"/>
                <w:szCs w:val="21"/>
              </w:rPr>
            </w:pPr>
            <w:r>
              <w:rPr>
                <w:rFonts w:hint="eastAsia" w:ascii="宋体" w:hAnsi="宋体"/>
                <w:color w:val="auto"/>
                <w:szCs w:val="21"/>
              </w:rPr>
              <w:t>评分因素</w:t>
            </w:r>
          </w:p>
        </w:tc>
        <w:tc>
          <w:tcPr>
            <w:tcW w:w="897" w:type="dxa"/>
            <w:vAlign w:val="center"/>
          </w:tcPr>
          <w:p>
            <w:pPr>
              <w:spacing w:line="240" w:lineRule="exact"/>
              <w:jc w:val="center"/>
              <w:rPr>
                <w:rFonts w:ascii="宋体" w:hAnsi="宋体"/>
                <w:color w:val="auto"/>
                <w:szCs w:val="21"/>
              </w:rPr>
            </w:pPr>
            <w:r>
              <w:rPr>
                <w:rFonts w:hint="eastAsia" w:ascii="宋体" w:hAnsi="宋体"/>
                <w:color w:val="auto"/>
                <w:szCs w:val="21"/>
              </w:rPr>
              <w:t>权重</w:t>
            </w:r>
          </w:p>
        </w:tc>
        <w:tc>
          <w:tcPr>
            <w:tcW w:w="1189" w:type="dxa"/>
            <w:vAlign w:val="center"/>
          </w:tcPr>
          <w:p>
            <w:pPr>
              <w:spacing w:line="240" w:lineRule="exact"/>
              <w:jc w:val="center"/>
              <w:rPr>
                <w:rFonts w:ascii="宋体" w:hAnsi="宋体"/>
                <w:color w:val="auto"/>
                <w:szCs w:val="21"/>
              </w:rPr>
            </w:pPr>
            <w:r>
              <w:rPr>
                <w:rFonts w:hint="eastAsia" w:ascii="宋体" w:hAnsi="宋体"/>
                <w:color w:val="auto"/>
                <w:szCs w:val="21"/>
              </w:rPr>
              <w:t>评分方式</w:t>
            </w:r>
          </w:p>
        </w:tc>
        <w:tc>
          <w:tcPr>
            <w:tcW w:w="3321" w:type="dxa"/>
            <w:vAlign w:val="center"/>
          </w:tcPr>
          <w:p>
            <w:pPr>
              <w:spacing w:line="240" w:lineRule="exact"/>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1" w:type="dxa"/>
            <w:vMerge w:val="continue"/>
            <w:vAlign w:val="center"/>
          </w:tcPr>
          <w:p>
            <w:pPr>
              <w:keepNext/>
              <w:keepLines/>
              <w:spacing w:before="340" w:after="330" w:line="240" w:lineRule="exact"/>
              <w:jc w:val="center"/>
              <w:outlineLvl w:val="0"/>
              <w:rPr>
                <w:rFonts w:ascii="宋体" w:hAnsi="宋体"/>
                <w:color w:val="auto"/>
                <w:szCs w:val="21"/>
              </w:rPr>
            </w:pPr>
          </w:p>
        </w:tc>
        <w:tc>
          <w:tcPr>
            <w:tcW w:w="483" w:type="dxa"/>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1</w:t>
            </w:r>
          </w:p>
        </w:tc>
        <w:tc>
          <w:tcPr>
            <w:tcW w:w="1843" w:type="dxa"/>
            <w:vAlign w:val="center"/>
          </w:tcPr>
          <w:p>
            <w:pPr>
              <w:spacing w:line="240" w:lineRule="exact"/>
              <w:jc w:val="center"/>
              <w:rPr>
                <w:rFonts w:hint="eastAsia" w:ascii="宋体" w:hAnsi="宋体"/>
                <w:color w:val="auto"/>
                <w:szCs w:val="21"/>
                <w:lang w:val="en-US" w:eastAsia="zh-CN"/>
              </w:rPr>
            </w:pPr>
            <w:r>
              <w:rPr>
                <w:rFonts w:hint="eastAsia" w:ascii="新宋体" w:hAnsi="新宋体" w:eastAsia="新宋体"/>
                <w:color w:val="auto"/>
                <w:szCs w:val="21"/>
              </w:rPr>
              <w:t>项目实施方案</w:t>
            </w:r>
          </w:p>
        </w:tc>
        <w:tc>
          <w:tcPr>
            <w:tcW w:w="897" w:type="dxa"/>
            <w:vAlign w:val="center"/>
          </w:tcPr>
          <w:p>
            <w:pPr>
              <w:spacing w:line="2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3</w:t>
            </w:r>
          </w:p>
        </w:tc>
        <w:tc>
          <w:tcPr>
            <w:tcW w:w="1189" w:type="dxa"/>
            <w:vAlign w:val="center"/>
          </w:tcPr>
          <w:p>
            <w:pPr>
              <w:spacing w:line="240" w:lineRule="exact"/>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专家评分</w:t>
            </w:r>
          </w:p>
        </w:tc>
        <w:tc>
          <w:tcPr>
            <w:tcW w:w="3321" w:type="dxa"/>
            <w:vAlign w:val="center"/>
          </w:tcPr>
          <w:p>
            <w:pPr>
              <w:rPr>
                <w:rFonts w:ascii="新宋体" w:hAnsi="新宋体" w:eastAsia="新宋体"/>
                <w:b/>
                <w:bCs/>
                <w:color w:val="auto"/>
                <w:spacing w:val="-1"/>
                <w:szCs w:val="21"/>
              </w:rPr>
            </w:pPr>
            <w:r>
              <w:rPr>
                <w:rFonts w:hint="eastAsia" w:ascii="新宋体" w:hAnsi="新宋体" w:eastAsia="新宋体"/>
                <w:b/>
                <w:bCs/>
                <w:color w:val="auto"/>
                <w:spacing w:val="-1"/>
                <w:szCs w:val="21"/>
              </w:rPr>
              <w:t>评审内容：</w:t>
            </w:r>
          </w:p>
          <w:p>
            <w:pPr>
              <w:rPr>
                <w:rFonts w:ascii="新宋体" w:hAnsi="新宋体" w:eastAsia="新宋体"/>
                <w:color w:val="auto"/>
                <w:szCs w:val="21"/>
              </w:rPr>
            </w:pPr>
            <w:r>
              <w:rPr>
                <w:rFonts w:hint="eastAsia" w:ascii="新宋体" w:hAnsi="新宋体" w:eastAsia="新宋体"/>
                <w:color w:val="auto"/>
                <w:spacing w:val="-1"/>
                <w:szCs w:val="21"/>
              </w:rPr>
              <w:t>在投标文件中详细说明技术保障措施</w:t>
            </w:r>
            <w:r>
              <w:rPr>
                <w:rFonts w:hint="eastAsia" w:ascii="新宋体" w:hAnsi="新宋体" w:eastAsia="新宋体"/>
                <w:color w:val="auto"/>
                <w:szCs w:val="21"/>
              </w:rPr>
              <w:t>（提供技术团队情况、工期保证、现场的安全管理措施、突发事故应急保障措施等</w:t>
            </w:r>
            <w:r>
              <w:rPr>
                <w:rFonts w:hint="eastAsia" w:ascii="新宋体" w:hAnsi="新宋体" w:eastAsia="新宋体"/>
                <w:color w:val="auto"/>
                <w:w w:val="95"/>
                <w:szCs w:val="21"/>
              </w:rPr>
              <w:t>）</w:t>
            </w:r>
            <w:r>
              <w:rPr>
                <w:rFonts w:hint="eastAsia" w:ascii="新宋体" w:hAnsi="新宋体" w:eastAsia="新宋体"/>
                <w:color w:val="auto"/>
                <w:spacing w:val="-1"/>
                <w:szCs w:val="21"/>
              </w:rPr>
              <w:t>与安全保障措施。</w:t>
            </w:r>
            <w:r>
              <w:rPr>
                <w:rFonts w:ascii="新宋体" w:hAnsi="新宋体" w:eastAsia="新宋体"/>
                <w:color w:val="auto"/>
                <w:szCs w:val="21"/>
              </w:rPr>
              <w:t xml:space="preserve"> </w:t>
            </w:r>
          </w:p>
          <w:p>
            <w:pPr>
              <w:rPr>
                <w:rFonts w:ascii="新宋体" w:hAnsi="新宋体" w:eastAsia="新宋体" w:cs="宋体"/>
                <w:b/>
                <w:bCs/>
                <w:color w:val="auto"/>
                <w:szCs w:val="21"/>
              </w:rPr>
            </w:pPr>
            <w:r>
              <w:rPr>
                <w:rFonts w:hint="eastAsia" w:ascii="新宋体" w:hAnsi="新宋体" w:eastAsia="新宋体" w:cs="宋体"/>
                <w:b/>
                <w:bCs/>
                <w:color w:val="auto"/>
                <w:szCs w:val="21"/>
              </w:rPr>
              <w:t>评审标准：</w:t>
            </w:r>
          </w:p>
          <w:p>
            <w:pPr>
              <w:rPr>
                <w:rFonts w:ascii="新宋体" w:hAnsi="新宋体" w:eastAsia="新宋体" w:cs="宋体"/>
                <w:color w:val="auto"/>
                <w:szCs w:val="21"/>
              </w:rPr>
            </w:pPr>
            <w:r>
              <w:rPr>
                <w:rFonts w:hint="eastAsia" w:ascii="新宋体" w:hAnsi="新宋体" w:eastAsia="新宋体" w:cs="宋体"/>
                <w:color w:val="auto"/>
                <w:szCs w:val="21"/>
              </w:rPr>
              <w:t>（1）技术保障措施（包括技术团队、工期保证、现场安全、技术方案等）与安全保障措施详细而全面的，安排合理的，可操作性强的，得</w:t>
            </w:r>
            <w:r>
              <w:rPr>
                <w:rFonts w:hint="eastAsia" w:ascii="新宋体" w:hAnsi="新宋体" w:eastAsia="新宋体" w:cs="宋体"/>
                <w:color w:val="auto"/>
                <w:szCs w:val="21"/>
                <w:lang w:val="en-US" w:eastAsia="zh-CN"/>
              </w:rPr>
              <w:t>100%</w:t>
            </w:r>
            <w:r>
              <w:rPr>
                <w:rFonts w:hint="eastAsia" w:ascii="新宋体" w:hAnsi="新宋体" w:eastAsia="新宋体" w:cs="宋体"/>
                <w:color w:val="auto"/>
                <w:szCs w:val="21"/>
              </w:rPr>
              <w:t>分；</w:t>
            </w:r>
          </w:p>
          <w:p>
            <w:pPr>
              <w:rPr>
                <w:rFonts w:ascii="新宋体" w:hAnsi="新宋体" w:eastAsia="新宋体" w:cs="宋体"/>
                <w:color w:val="auto"/>
                <w:szCs w:val="21"/>
              </w:rPr>
            </w:pPr>
            <w:r>
              <w:rPr>
                <w:rFonts w:hint="eastAsia" w:ascii="新宋体" w:hAnsi="新宋体" w:eastAsia="新宋体" w:cs="宋体"/>
                <w:color w:val="auto"/>
                <w:szCs w:val="21"/>
              </w:rPr>
              <w:t>（2）技术保障措施（包括技术团队、工期保证、现场安全、技术方案等）与安全保障措施较为详细的，安排较为合理的，有可操作性的，得</w:t>
            </w:r>
            <w:r>
              <w:rPr>
                <w:rFonts w:hint="eastAsia" w:ascii="新宋体" w:hAnsi="新宋体" w:eastAsia="新宋体" w:cs="宋体"/>
                <w:color w:val="auto"/>
                <w:szCs w:val="21"/>
                <w:lang w:val="en-US" w:eastAsia="zh-CN"/>
              </w:rPr>
              <w:t>80%</w:t>
            </w:r>
            <w:r>
              <w:rPr>
                <w:rFonts w:hint="eastAsia" w:ascii="新宋体" w:hAnsi="新宋体" w:eastAsia="新宋体" w:cs="宋体"/>
                <w:color w:val="auto"/>
                <w:szCs w:val="21"/>
              </w:rPr>
              <w:t>分；</w:t>
            </w:r>
          </w:p>
          <w:p>
            <w:pPr>
              <w:rPr>
                <w:rFonts w:ascii="新宋体" w:hAnsi="新宋体" w:eastAsia="新宋体" w:cs="宋体"/>
                <w:color w:val="auto"/>
                <w:szCs w:val="21"/>
              </w:rPr>
            </w:pPr>
            <w:r>
              <w:rPr>
                <w:rFonts w:hint="eastAsia" w:ascii="新宋体" w:hAnsi="新宋体" w:eastAsia="新宋体" w:cs="宋体"/>
                <w:color w:val="auto"/>
                <w:szCs w:val="21"/>
              </w:rPr>
              <w:t>（3）技术保障措施（包括技术团队、工期保证、现场安全、技术方案等）与安全保障措施一般的，安排一般的，可操作性一般的，得</w:t>
            </w:r>
            <w:r>
              <w:rPr>
                <w:rFonts w:hint="eastAsia" w:ascii="新宋体" w:hAnsi="新宋体" w:eastAsia="新宋体" w:cs="宋体"/>
                <w:color w:val="auto"/>
                <w:szCs w:val="21"/>
                <w:lang w:val="en-US" w:eastAsia="zh-CN"/>
              </w:rPr>
              <w:t>50%</w:t>
            </w:r>
            <w:r>
              <w:rPr>
                <w:rFonts w:hint="eastAsia" w:ascii="新宋体" w:hAnsi="新宋体" w:eastAsia="新宋体" w:cs="宋体"/>
                <w:color w:val="auto"/>
                <w:szCs w:val="21"/>
              </w:rPr>
              <w:t>分；</w:t>
            </w:r>
          </w:p>
          <w:p>
            <w:pPr>
              <w:rPr>
                <w:rFonts w:hint="eastAsia" w:ascii="新宋体" w:hAnsi="新宋体" w:eastAsia="新宋体" w:cs="宋体"/>
                <w:color w:val="auto"/>
                <w:kern w:val="2"/>
                <w:sz w:val="21"/>
                <w:szCs w:val="21"/>
                <w:lang w:val="en-US" w:eastAsia="zh-CN" w:bidi="ar-SA"/>
              </w:rPr>
            </w:pPr>
            <w:r>
              <w:rPr>
                <w:rFonts w:hint="eastAsia" w:ascii="新宋体" w:hAnsi="新宋体" w:eastAsia="新宋体" w:cs="宋体"/>
                <w:color w:val="auto"/>
                <w:szCs w:val="21"/>
              </w:rPr>
              <w:t>（4）技术保障措施（包括技术团队、工期保证、现场安全、技术方案等）与安全保障措施差，安排合理性差的，可操作性差的，</w:t>
            </w:r>
            <w:r>
              <w:rPr>
                <w:rFonts w:hint="eastAsia" w:ascii="新宋体" w:hAnsi="新宋体" w:eastAsia="新宋体" w:cs="宋体"/>
                <w:color w:val="auto"/>
                <w:szCs w:val="21"/>
                <w:lang w:val="en-US" w:eastAsia="zh-CN"/>
              </w:rPr>
              <w:t>未提供项目实施方案的不</w:t>
            </w:r>
            <w:r>
              <w:rPr>
                <w:rFonts w:hint="eastAsia" w:ascii="新宋体" w:hAnsi="新宋体" w:eastAsia="新宋体" w:cs="宋体"/>
                <w:color w:val="auto"/>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1" w:type="dxa"/>
            <w:vMerge w:val="continue"/>
            <w:vAlign w:val="center"/>
          </w:tcPr>
          <w:p>
            <w:pPr>
              <w:keepNext/>
              <w:keepLines/>
              <w:spacing w:before="260" w:after="260" w:line="240" w:lineRule="exact"/>
              <w:jc w:val="center"/>
              <w:outlineLvl w:val="2"/>
              <w:rPr>
                <w:rFonts w:ascii="宋体" w:hAnsi="宋体"/>
                <w:color w:val="auto"/>
                <w:szCs w:val="21"/>
              </w:rPr>
            </w:pPr>
          </w:p>
        </w:tc>
        <w:tc>
          <w:tcPr>
            <w:tcW w:w="483" w:type="dxa"/>
            <w:vAlign w:val="center"/>
          </w:tcPr>
          <w:p>
            <w:pPr>
              <w:spacing w:line="2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2</w:t>
            </w:r>
          </w:p>
        </w:tc>
        <w:tc>
          <w:tcPr>
            <w:tcW w:w="1843" w:type="dxa"/>
            <w:vAlign w:val="center"/>
          </w:tcPr>
          <w:p>
            <w:pPr>
              <w:spacing w:line="240" w:lineRule="exact"/>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现场踏勘</w:t>
            </w:r>
          </w:p>
        </w:tc>
        <w:tc>
          <w:tcPr>
            <w:tcW w:w="897" w:type="dxa"/>
            <w:vAlign w:val="center"/>
          </w:tcPr>
          <w:p>
            <w:pPr>
              <w:spacing w:line="240" w:lineRule="exact"/>
              <w:jc w:val="center"/>
              <w:rPr>
                <w:rFonts w:hint="default"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5</w:t>
            </w:r>
          </w:p>
        </w:tc>
        <w:tc>
          <w:tcPr>
            <w:tcW w:w="1189" w:type="dxa"/>
            <w:vAlign w:val="center"/>
          </w:tcPr>
          <w:p>
            <w:pPr>
              <w:spacing w:line="240" w:lineRule="exact"/>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专家评分</w:t>
            </w:r>
          </w:p>
        </w:tc>
        <w:tc>
          <w:tcPr>
            <w:tcW w:w="3321" w:type="dxa"/>
            <w:vAlign w:val="top"/>
          </w:tcPr>
          <w:p>
            <w:pPr>
              <w:spacing w:line="240" w:lineRule="exact"/>
              <w:jc w:val="left"/>
              <w:rPr>
                <w:rFonts w:hint="eastAsia" w:ascii="宋体" w:hAnsi="宋体"/>
                <w:b/>
                <w:bCs/>
                <w:color w:val="auto"/>
                <w:szCs w:val="21"/>
                <w:lang w:val="en-US" w:eastAsia="zh-CN"/>
              </w:rPr>
            </w:pPr>
            <w:r>
              <w:rPr>
                <w:rFonts w:hint="eastAsia" w:ascii="宋体" w:hAnsi="宋体"/>
                <w:b/>
                <w:bCs/>
                <w:color w:val="auto"/>
                <w:szCs w:val="21"/>
                <w:lang w:val="en-US" w:eastAsia="zh-CN"/>
              </w:rPr>
              <w:t>评审内容：</w:t>
            </w:r>
          </w:p>
          <w:p>
            <w:pPr>
              <w:spacing w:line="240" w:lineRule="exact"/>
              <w:jc w:val="left"/>
              <w:rPr>
                <w:rFonts w:hint="eastAsia" w:ascii="新宋体" w:hAnsi="新宋体" w:eastAsia="新宋体"/>
                <w:color w:val="auto"/>
                <w:szCs w:val="21"/>
              </w:rPr>
            </w:pPr>
            <w:r>
              <w:rPr>
                <w:rFonts w:hint="eastAsia" w:ascii="宋体" w:hAnsi="宋体"/>
                <w:color w:val="auto"/>
                <w:szCs w:val="21"/>
                <w:lang w:val="en-US" w:eastAsia="zh-CN"/>
              </w:rPr>
              <w:t>由于此项目安装点位多，大多物件需要根据现场实际尺寸和需求订做，</w:t>
            </w:r>
            <w:r>
              <w:rPr>
                <w:rFonts w:hint="eastAsia" w:ascii="新宋体" w:hAnsi="新宋体" w:eastAsia="新宋体"/>
                <w:color w:val="auto"/>
                <w:szCs w:val="21"/>
              </w:rPr>
              <w:t>投标人须进行现场踏勘，充分了解服务需求。</w:t>
            </w:r>
          </w:p>
          <w:p>
            <w:pPr>
              <w:spacing w:line="240" w:lineRule="exact"/>
              <w:jc w:val="left"/>
              <w:rPr>
                <w:rFonts w:hint="eastAsia" w:ascii="新宋体" w:hAnsi="新宋体" w:eastAsia="新宋体"/>
                <w:b/>
                <w:bCs/>
                <w:color w:val="auto"/>
                <w:szCs w:val="21"/>
                <w:lang w:val="en-US" w:eastAsia="zh-CN"/>
              </w:rPr>
            </w:pPr>
            <w:r>
              <w:rPr>
                <w:rFonts w:hint="eastAsia" w:ascii="新宋体" w:hAnsi="新宋体" w:eastAsia="新宋体"/>
                <w:b/>
                <w:bCs/>
                <w:color w:val="auto"/>
                <w:szCs w:val="21"/>
                <w:lang w:val="en-US" w:eastAsia="zh-CN"/>
              </w:rPr>
              <w:t>评审标准：</w:t>
            </w:r>
          </w:p>
          <w:p>
            <w:pPr>
              <w:jc w:val="left"/>
              <w:rPr>
                <w:rFonts w:hint="default"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1.</w:t>
            </w:r>
            <w:r>
              <w:rPr>
                <w:rFonts w:hint="eastAsia" w:ascii="宋体" w:hAnsi="宋体"/>
                <w:color w:val="auto"/>
                <w:szCs w:val="21"/>
              </w:rPr>
              <w:t>提供使用单位出具的现场勘察证明盖章件及施工现场3张照片,位置需与实际情况相符，得100%分，否则不得分。</w:t>
            </w:r>
            <w:r>
              <w:rPr>
                <w:rFonts w:hint="eastAsia" w:ascii="宋体" w:hAnsi="宋体"/>
                <w:color w:val="auto"/>
                <w:szCs w:val="21"/>
              </w:rPr>
              <w:br w:type="textWrapping"/>
            </w:r>
            <w:r>
              <w:rPr>
                <w:rFonts w:hint="eastAsia" w:ascii="宋体" w:hAnsi="宋体"/>
                <w:color w:val="auto"/>
                <w:szCs w:val="21"/>
                <w:lang w:val="en-US" w:eastAsia="zh-CN"/>
              </w:rPr>
              <w:t>2.</w:t>
            </w:r>
            <w:r>
              <w:rPr>
                <w:rFonts w:hint="eastAsia" w:ascii="新宋体" w:hAnsi="新宋体" w:eastAsia="新宋体"/>
                <w:color w:val="auto"/>
                <w:szCs w:val="21"/>
              </w:rPr>
              <w:t>现场勘查时间:2</w:t>
            </w:r>
            <w:r>
              <w:rPr>
                <w:rFonts w:ascii="新宋体" w:hAnsi="新宋体" w:eastAsia="新宋体"/>
                <w:color w:val="auto"/>
                <w:szCs w:val="21"/>
              </w:rPr>
              <w:t>021</w:t>
            </w:r>
            <w:r>
              <w:rPr>
                <w:rFonts w:hint="eastAsia" w:ascii="新宋体" w:hAnsi="新宋体" w:eastAsia="新宋体"/>
                <w:color w:val="auto"/>
                <w:szCs w:val="21"/>
              </w:rPr>
              <w:t>年</w:t>
            </w:r>
            <w:r>
              <w:rPr>
                <w:rFonts w:hint="eastAsia" w:ascii="新宋体" w:hAnsi="新宋体" w:eastAsia="新宋体"/>
                <w:color w:val="auto"/>
                <w:szCs w:val="21"/>
                <w:lang w:val="en-US" w:eastAsia="zh-CN"/>
              </w:rPr>
              <w:t>08</w:t>
            </w:r>
            <w:r>
              <w:rPr>
                <w:rFonts w:hint="eastAsia" w:ascii="新宋体" w:hAnsi="新宋体" w:eastAsia="新宋体"/>
                <w:color w:val="auto"/>
                <w:szCs w:val="21"/>
              </w:rPr>
              <w:t>月</w:t>
            </w:r>
            <w:r>
              <w:rPr>
                <w:rFonts w:hint="eastAsia" w:ascii="新宋体" w:hAnsi="新宋体" w:eastAsia="新宋体"/>
                <w:color w:val="auto"/>
                <w:szCs w:val="21"/>
                <w:lang w:val="en-US" w:eastAsia="zh-CN"/>
              </w:rPr>
              <w:t>11</w:t>
            </w:r>
            <w:r>
              <w:rPr>
                <w:rFonts w:hint="eastAsia" w:ascii="新宋体" w:hAnsi="新宋体" w:eastAsia="新宋体"/>
                <w:color w:val="auto"/>
                <w:szCs w:val="21"/>
              </w:rPr>
              <w:t>日下午15:00（北京时间）到达深圳市南山区</w:t>
            </w:r>
            <w:r>
              <w:rPr>
                <w:rFonts w:hint="eastAsia" w:ascii="新宋体" w:hAnsi="新宋体" w:eastAsia="新宋体"/>
                <w:color w:val="auto"/>
                <w:szCs w:val="21"/>
                <w:lang w:val="en-US" w:eastAsia="zh-CN"/>
              </w:rPr>
              <w:t>前海</w:t>
            </w:r>
            <w:r>
              <w:rPr>
                <w:rFonts w:hint="eastAsia" w:ascii="新宋体" w:hAnsi="新宋体" w:eastAsia="新宋体"/>
                <w:color w:val="auto"/>
                <w:szCs w:val="21"/>
              </w:rPr>
              <w:t>学</w:t>
            </w:r>
            <w:r>
              <w:rPr>
                <w:rFonts w:hint="eastAsia" w:ascii="新宋体" w:hAnsi="新宋体" w:eastAsia="新宋体"/>
                <w:color w:val="auto"/>
                <w:szCs w:val="21"/>
                <w:lang w:val="en-US" w:eastAsia="zh-CN"/>
              </w:rPr>
              <w:t>校</w:t>
            </w:r>
            <w:r>
              <w:rPr>
                <w:rFonts w:hint="eastAsia" w:ascii="新宋体" w:hAnsi="新宋体" w:eastAsia="新宋体"/>
                <w:color w:val="auto"/>
                <w:szCs w:val="21"/>
              </w:rPr>
              <w:t>进行统一勘探，逾期或迟到未达到的投标人，视为放弃勘探</w:t>
            </w:r>
            <w:r>
              <w:rPr>
                <w:rFonts w:hint="eastAsia" w:ascii="新宋体" w:hAnsi="新宋体" w:eastAsia="新宋体"/>
                <w:color w:val="auto"/>
                <w:szCs w:val="21"/>
                <w:lang w:eastAsia="zh-CN"/>
              </w:rPr>
              <w:t>；</w:t>
            </w:r>
            <w:r>
              <w:rPr>
                <w:rFonts w:hint="eastAsia" w:ascii="宋体" w:hAnsi="宋体"/>
                <w:color w:val="auto"/>
                <w:szCs w:val="21"/>
              </w:rPr>
              <w:t>未按要求提</w:t>
            </w:r>
            <w:r>
              <w:rPr>
                <w:rFonts w:hint="eastAsia" w:ascii="宋体" w:hAnsi="宋体" w:cs="宋体"/>
                <w:color w:val="auto"/>
              </w:rPr>
              <w:t>供不得分</w:t>
            </w:r>
            <w:r>
              <w:rPr>
                <w:rFonts w:hint="eastAsia" w:ascii="宋体" w:hAnsi="宋体" w:cs="宋体"/>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1" w:type="dxa"/>
            <w:vMerge w:val="continue"/>
            <w:vAlign w:val="center"/>
          </w:tcPr>
          <w:p>
            <w:pPr>
              <w:keepNext/>
              <w:keepLines/>
              <w:spacing w:before="260" w:after="260" w:line="240" w:lineRule="exact"/>
              <w:jc w:val="center"/>
              <w:outlineLvl w:val="2"/>
              <w:rPr>
                <w:rFonts w:ascii="宋体" w:hAnsi="宋体"/>
                <w:color w:val="auto"/>
                <w:szCs w:val="21"/>
              </w:rPr>
            </w:pPr>
          </w:p>
        </w:tc>
        <w:tc>
          <w:tcPr>
            <w:tcW w:w="483" w:type="dxa"/>
            <w:vAlign w:val="center"/>
          </w:tcPr>
          <w:p>
            <w:pPr>
              <w:spacing w:line="2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3</w:t>
            </w:r>
          </w:p>
        </w:tc>
        <w:tc>
          <w:tcPr>
            <w:tcW w:w="1843" w:type="dxa"/>
            <w:vAlign w:val="center"/>
          </w:tcPr>
          <w:p>
            <w:pPr>
              <w:spacing w:line="240" w:lineRule="exact"/>
              <w:jc w:val="center"/>
              <w:rPr>
                <w:rFonts w:ascii="宋体" w:hAnsi="宋体" w:eastAsia="宋体" w:cs="Times New Roman"/>
                <w:color w:val="auto"/>
                <w:kern w:val="2"/>
                <w:sz w:val="21"/>
                <w:szCs w:val="21"/>
                <w:lang w:val="en-US" w:eastAsia="zh-CN" w:bidi="ar-SA"/>
              </w:rPr>
            </w:pPr>
            <w:r>
              <w:rPr>
                <w:rFonts w:hint="eastAsia" w:ascii="宋体" w:hAnsi="宋体"/>
                <w:color w:val="auto"/>
                <w:szCs w:val="21"/>
                <w:lang w:eastAsia="zh-CN"/>
              </w:rPr>
              <w:t>免费保修期内售后服务要求、</w:t>
            </w:r>
            <w:r>
              <w:rPr>
                <w:rFonts w:hint="eastAsia" w:ascii="宋体" w:hAnsi="宋体"/>
                <w:color w:val="auto"/>
                <w:szCs w:val="21"/>
                <w:lang w:val="en-US" w:eastAsia="zh-CN"/>
              </w:rPr>
              <w:t>其他商务要求</w:t>
            </w:r>
            <w:r>
              <w:rPr>
                <w:rFonts w:hint="eastAsia" w:ascii="宋体" w:hAnsi="宋体"/>
                <w:color w:val="auto"/>
                <w:szCs w:val="21"/>
              </w:rPr>
              <w:t>偏离情况</w:t>
            </w:r>
          </w:p>
        </w:tc>
        <w:tc>
          <w:tcPr>
            <w:tcW w:w="897" w:type="dxa"/>
            <w:vAlign w:val="center"/>
          </w:tcPr>
          <w:p>
            <w:pPr>
              <w:spacing w:line="240" w:lineRule="exact"/>
              <w:jc w:val="center"/>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lang w:val="en-US" w:eastAsia="zh-CN"/>
              </w:rPr>
              <w:t>5</w:t>
            </w:r>
          </w:p>
        </w:tc>
        <w:tc>
          <w:tcPr>
            <w:tcW w:w="1189" w:type="dxa"/>
            <w:vAlign w:val="center"/>
          </w:tcPr>
          <w:p>
            <w:pPr>
              <w:spacing w:line="240" w:lineRule="exact"/>
              <w:jc w:val="center"/>
              <w:rPr>
                <w:rFonts w:ascii="宋体" w:hAnsi="宋体" w:eastAsia="宋体" w:cs="Times New Roman"/>
                <w:color w:val="auto"/>
                <w:kern w:val="2"/>
                <w:sz w:val="21"/>
                <w:szCs w:val="21"/>
                <w:lang w:val="en-US" w:eastAsia="zh-CN" w:bidi="ar-SA"/>
              </w:rPr>
            </w:pPr>
            <w:r>
              <w:rPr>
                <w:rFonts w:hint="eastAsia" w:ascii="宋体" w:hAnsi="宋体"/>
                <w:color w:val="auto"/>
                <w:szCs w:val="21"/>
              </w:rPr>
              <w:t>专家评分</w:t>
            </w:r>
          </w:p>
        </w:tc>
        <w:tc>
          <w:tcPr>
            <w:tcW w:w="3321" w:type="dxa"/>
            <w:vAlign w:val="center"/>
          </w:tcPr>
          <w:p>
            <w:pPr>
              <w:rPr>
                <w:rFonts w:hint="default" w:ascii="Times New Roman" w:hAnsi="Times New Roman" w:eastAsia="宋体" w:cs="宋体"/>
                <w:color w:val="auto"/>
                <w:kern w:val="2"/>
                <w:sz w:val="21"/>
                <w:szCs w:val="21"/>
                <w:lang w:val="en-US" w:eastAsia="zh-CN" w:bidi="ar-SA"/>
              </w:rPr>
            </w:pPr>
            <w:r>
              <w:rPr>
                <w:rFonts w:hint="eastAsia" w:cs="宋体"/>
                <w:color w:val="auto"/>
                <w:szCs w:val="21"/>
              </w:rPr>
              <w:t>投标人应如实填写《</w:t>
            </w:r>
            <w:r>
              <w:rPr>
                <w:rFonts w:hint="eastAsia" w:ascii="新宋体" w:hAnsi="新宋体" w:eastAsia="新宋体"/>
                <w:b w:val="0"/>
                <w:bCs w:val="0"/>
                <w:color w:val="auto"/>
                <w:sz w:val="21"/>
                <w:szCs w:val="21"/>
              </w:rPr>
              <w:t>商务需求偏离表</w:t>
            </w:r>
            <w:r>
              <w:rPr>
                <w:rFonts w:hint="eastAsia" w:cs="宋体"/>
                <w:color w:val="auto"/>
                <w:szCs w:val="21"/>
              </w:rPr>
              <w:t>》，评审委员会根据响应情况进行打分，全部满足要求的得</w:t>
            </w:r>
            <w:r>
              <w:rPr>
                <w:color w:val="auto"/>
                <w:szCs w:val="21"/>
              </w:rPr>
              <w:t>100</w:t>
            </w:r>
            <w:r>
              <w:rPr>
                <w:rFonts w:hint="eastAsia"/>
                <w:color w:val="auto"/>
                <w:szCs w:val="21"/>
                <w:lang w:val="en-US" w:eastAsia="zh-CN"/>
              </w:rPr>
              <w:t>%</w:t>
            </w:r>
            <w:r>
              <w:rPr>
                <w:rFonts w:hint="eastAsia" w:cs="宋体"/>
                <w:color w:val="auto"/>
                <w:szCs w:val="21"/>
              </w:rPr>
              <w:t>分，</w:t>
            </w:r>
            <w:r>
              <w:rPr>
                <w:rFonts w:hint="eastAsia" w:cs="宋体"/>
                <w:color w:val="auto"/>
                <w:szCs w:val="21"/>
                <w:lang w:val="en-US" w:eastAsia="zh-CN"/>
              </w:rPr>
              <w:t>除★条款外的商务需求</w:t>
            </w:r>
            <w:r>
              <w:rPr>
                <w:rFonts w:hint="eastAsia" w:cs="宋体"/>
                <w:color w:val="auto"/>
                <w:szCs w:val="21"/>
              </w:rPr>
              <w:t>每负偏离一项扣</w:t>
            </w:r>
            <w:r>
              <w:rPr>
                <w:rFonts w:hint="eastAsia" w:cs="宋体"/>
                <w:color w:val="auto"/>
                <w:szCs w:val="21"/>
                <w:lang w:val="en-US" w:eastAsia="zh-CN"/>
              </w:rPr>
              <w:t>50%</w:t>
            </w:r>
            <w:r>
              <w:rPr>
                <w:rFonts w:hint="eastAsia" w:cs="宋体"/>
                <w:color w:val="auto"/>
                <w:szCs w:val="21"/>
              </w:rPr>
              <w:t>分</w:t>
            </w:r>
            <w:r>
              <w:rPr>
                <w:rFonts w:hint="eastAsia" w:cs="宋体"/>
                <w:color w:val="auto"/>
                <w:szCs w:val="21"/>
                <w:lang w:eastAsia="zh-CN"/>
              </w:rPr>
              <w:t>；</w:t>
            </w:r>
            <w:r>
              <w:rPr>
                <w:rFonts w:hint="eastAsia" w:cs="宋体"/>
                <w:color w:val="auto"/>
                <w:szCs w:val="21"/>
                <w:lang w:val="en-US"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1" w:type="dxa"/>
            <w:vAlign w:val="center"/>
          </w:tcPr>
          <w:p>
            <w:pPr>
              <w:spacing w:line="240" w:lineRule="exact"/>
              <w:jc w:val="center"/>
              <w:rPr>
                <w:rFonts w:ascii="宋体" w:hAnsi="宋体"/>
                <w:color w:val="auto"/>
                <w:szCs w:val="21"/>
              </w:rPr>
            </w:pPr>
            <w:r>
              <w:rPr>
                <w:rFonts w:hint="eastAsia" w:ascii="宋体" w:hAnsi="宋体"/>
                <w:color w:val="auto"/>
                <w:szCs w:val="21"/>
              </w:rPr>
              <w:t>4</w:t>
            </w:r>
          </w:p>
        </w:tc>
        <w:tc>
          <w:tcPr>
            <w:tcW w:w="4412" w:type="dxa"/>
            <w:gridSpan w:val="4"/>
            <w:vAlign w:val="center"/>
          </w:tcPr>
          <w:p>
            <w:pPr>
              <w:spacing w:line="240" w:lineRule="exact"/>
              <w:jc w:val="center"/>
              <w:rPr>
                <w:rFonts w:ascii="宋体" w:hAnsi="宋体"/>
                <w:color w:val="auto"/>
                <w:szCs w:val="21"/>
              </w:rPr>
            </w:pPr>
            <w:r>
              <w:rPr>
                <w:rFonts w:hint="eastAsia" w:ascii="宋体" w:hAnsi="宋体"/>
                <w:color w:val="auto"/>
                <w:szCs w:val="21"/>
              </w:rPr>
              <w:t>诚信情况</w:t>
            </w:r>
          </w:p>
        </w:tc>
        <w:tc>
          <w:tcPr>
            <w:tcW w:w="3321" w:type="dxa"/>
            <w:vAlign w:val="center"/>
          </w:tcPr>
          <w:p>
            <w:pPr>
              <w:pStyle w:val="28"/>
              <w:pBdr>
                <w:bottom w:val="none" w:color="auto" w:sz="0" w:space="0"/>
              </w:pBdr>
              <w:tabs>
                <w:tab w:val="clear" w:pos="4153"/>
                <w:tab w:val="clear" w:pos="8306"/>
              </w:tabs>
              <w:spacing w:line="300" w:lineRule="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1" w:type="dxa"/>
            <w:vMerge w:val="restart"/>
            <w:vAlign w:val="center"/>
          </w:tcPr>
          <w:p>
            <w:pPr>
              <w:spacing w:line="240" w:lineRule="exact"/>
              <w:jc w:val="center"/>
              <w:rPr>
                <w:rFonts w:ascii="宋体" w:hAnsi="宋体"/>
                <w:color w:val="auto"/>
                <w:szCs w:val="21"/>
              </w:rPr>
            </w:pPr>
          </w:p>
        </w:tc>
        <w:tc>
          <w:tcPr>
            <w:tcW w:w="483" w:type="dxa"/>
            <w:vAlign w:val="center"/>
          </w:tcPr>
          <w:p>
            <w:pPr>
              <w:spacing w:line="240" w:lineRule="exact"/>
              <w:jc w:val="center"/>
              <w:rPr>
                <w:rFonts w:ascii="宋体" w:hAnsi="宋体"/>
                <w:color w:val="auto"/>
                <w:szCs w:val="21"/>
              </w:rPr>
            </w:pPr>
            <w:r>
              <w:rPr>
                <w:rFonts w:hint="eastAsia" w:ascii="宋体" w:hAnsi="宋体"/>
                <w:color w:val="auto"/>
                <w:szCs w:val="21"/>
              </w:rPr>
              <w:t>序号</w:t>
            </w:r>
          </w:p>
        </w:tc>
        <w:tc>
          <w:tcPr>
            <w:tcW w:w="1843" w:type="dxa"/>
            <w:vAlign w:val="center"/>
          </w:tcPr>
          <w:p>
            <w:pPr>
              <w:spacing w:line="240" w:lineRule="exact"/>
              <w:jc w:val="center"/>
              <w:rPr>
                <w:rFonts w:ascii="宋体" w:hAnsi="宋体"/>
                <w:color w:val="auto"/>
                <w:szCs w:val="21"/>
              </w:rPr>
            </w:pPr>
            <w:r>
              <w:rPr>
                <w:rFonts w:hint="eastAsia" w:ascii="宋体" w:hAnsi="宋体"/>
                <w:color w:val="auto"/>
                <w:szCs w:val="21"/>
              </w:rPr>
              <w:t>评分因素</w:t>
            </w:r>
          </w:p>
        </w:tc>
        <w:tc>
          <w:tcPr>
            <w:tcW w:w="897" w:type="dxa"/>
            <w:vAlign w:val="center"/>
          </w:tcPr>
          <w:p>
            <w:pPr>
              <w:spacing w:line="240" w:lineRule="exact"/>
              <w:jc w:val="center"/>
              <w:rPr>
                <w:rFonts w:ascii="宋体" w:hAnsi="宋体"/>
                <w:color w:val="auto"/>
                <w:szCs w:val="21"/>
              </w:rPr>
            </w:pPr>
            <w:r>
              <w:rPr>
                <w:rFonts w:hint="eastAsia" w:ascii="宋体" w:hAnsi="宋体"/>
                <w:color w:val="auto"/>
                <w:szCs w:val="21"/>
              </w:rPr>
              <w:t>权重</w:t>
            </w:r>
          </w:p>
        </w:tc>
        <w:tc>
          <w:tcPr>
            <w:tcW w:w="1189" w:type="dxa"/>
            <w:vAlign w:val="center"/>
          </w:tcPr>
          <w:p>
            <w:pPr>
              <w:spacing w:line="240" w:lineRule="exact"/>
              <w:jc w:val="center"/>
              <w:rPr>
                <w:rFonts w:ascii="宋体" w:hAnsi="宋体"/>
                <w:color w:val="auto"/>
                <w:szCs w:val="21"/>
              </w:rPr>
            </w:pPr>
            <w:r>
              <w:rPr>
                <w:rFonts w:hint="eastAsia" w:ascii="宋体" w:hAnsi="宋体"/>
                <w:color w:val="auto"/>
                <w:szCs w:val="21"/>
              </w:rPr>
              <w:t>评分方式</w:t>
            </w:r>
          </w:p>
        </w:tc>
        <w:tc>
          <w:tcPr>
            <w:tcW w:w="3321" w:type="dxa"/>
            <w:vAlign w:val="center"/>
          </w:tcPr>
          <w:p>
            <w:pPr>
              <w:spacing w:line="240" w:lineRule="exact"/>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1" w:type="dxa"/>
            <w:vMerge w:val="continue"/>
            <w:vAlign w:val="center"/>
          </w:tcPr>
          <w:p>
            <w:pPr>
              <w:keepNext/>
              <w:keepLines/>
              <w:spacing w:before="340" w:after="330" w:line="240" w:lineRule="exact"/>
              <w:jc w:val="center"/>
              <w:outlineLvl w:val="0"/>
              <w:rPr>
                <w:rFonts w:ascii="宋体" w:hAnsi="宋体"/>
                <w:color w:val="auto"/>
                <w:szCs w:val="21"/>
              </w:rPr>
            </w:pPr>
          </w:p>
        </w:tc>
        <w:tc>
          <w:tcPr>
            <w:tcW w:w="483" w:type="dxa"/>
            <w:vAlign w:val="center"/>
          </w:tcPr>
          <w:p>
            <w:pPr>
              <w:spacing w:line="240" w:lineRule="exact"/>
              <w:jc w:val="center"/>
              <w:rPr>
                <w:rFonts w:ascii="宋体" w:hAnsi="宋体"/>
                <w:color w:val="auto"/>
                <w:szCs w:val="21"/>
              </w:rPr>
            </w:pPr>
            <w:r>
              <w:rPr>
                <w:rFonts w:ascii="宋体" w:hAnsi="宋体"/>
                <w:color w:val="auto"/>
                <w:szCs w:val="21"/>
              </w:rPr>
              <w:t>1</w:t>
            </w:r>
          </w:p>
        </w:tc>
        <w:tc>
          <w:tcPr>
            <w:tcW w:w="1843" w:type="dxa"/>
            <w:vAlign w:val="center"/>
          </w:tcPr>
          <w:p>
            <w:pPr>
              <w:spacing w:line="240" w:lineRule="exact"/>
              <w:jc w:val="center"/>
              <w:rPr>
                <w:rFonts w:ascii="宋体" w:hAnsi="宋体"/>
                <w:color w:val="auto"/>
                <w:szCs w:val="21"/>
              </w:rPr>
            </w:pPr>
            <w:r>
              <w:rPr>
                <w:rFonts w:hint="eastAsia" w:ascii="宋体" w:hAnsi="宋体"/>
                <w:color w:val="auto"/>
                <w:szCs w:val="21"/>
              </w:rPr>
              <w:t>诚信</w:t>
            </w:r>
          </w:p>
        </w:tc>
        <w:tc>
          <w:tcPr>
            <w:tcW w:w="897" w:type="dxa"/>
            <w:vAlign w:val="center"/>
          </w:tcPr>
          <w:p>
            <w:pPr>
              <w:spacing w:line="2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3</w:t>
            </w:r>
          </w:p>
        </w:tc>
        <w:tc>
          <w:tcPr>
            <w:tcW w:w="1189" w:type="dxa"/>
            <w:vAlign w:val="center"/>
          </w:tcPr>
          <w:p>
            <w:pPr>
              <w:spacing w:line="240" w:lineRule="exact"/>
              <w:jc w:val="center"/>
              <w:rPr>
                <w:rFonts w:ascii="宋体" w:hAnsi="宋体"/>
                <w:color w:val="auto"/>
                <w:szCs w:val="21"/>
              </w:rPr>
            </w:pPr>
            <w:r>
              <w:rPr>
                <w:rFonts w:hint="eastAsia" w:ascii="宋体" w:hAnsi="宋体"/>
                <w:color w:val="auto"/>
                <w:szCs w:val="21"/>
              </w:rPr>
              <w:t>专家评分</w:t>
            </w:r>
          </w:p>
        </w:tc>
        <w:tc>
          <w:tcPr>
            <w:tcW w:w="3321" w:type="dxa"/>
          </w:tcPr>
          <w:p>
            <w:pPr>
              <w:rPr>
                <w:rFonts w:ascii="宋体" w:hAnsi="宋体"/>
                <w:color w:val="auto"/>
                <w:szCs w:val="21"/>
              </w:rPr>
            </w:pPr>
            <w:r>
              <w:rPr>
                <w:rFonts w:hint="eastAsia" w:ascii="新宋体" w:hAnsi="新宋体" w:eastAsia="新宋体" w:cs="新宋体"/>
                <w:color w:val="auto"/>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pPr>
        <w:rPr>
          <w:color w:val="auto"/>
        </w:rPr>
      </w:pPr>
    </w:p>
    <w:p>
      <w:pPr>
        <w:rPr>
          <w:color w:val="auto"/>
        </w:rPr>
      </w:pPr>
    </w:p>
    <w:p>
      <w:pPr>
        <w:rPr>
          <w:color w:val="auto"/>
        </w:rPr>
      </w:pPr>
    </w:p>
    <w:p>
      <w:pPr>
        <w:rPr>
          <w:color w:val="auto"/>
        </w:rPr>
      </w:pP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pPr>
        <w:pStyle w:val="5"/>
        <w:jc w:val="center"/>
        <w:rPr>
          <w:rFonts w:ascii="宋体" w:hAnsi="宋体" w:eastAsia="宋体"/>
          <w:color w:val="auto"/>
          <w:szCs w:val="32"/>
        </w:rPr>
      </w:pPr>
      <w:r>
        <w:rPr>
          <w:rFonts w:hint="eastAsia" w:ascii="宋体" w:hAnsi="宋体" w:eastAsia="宋体"/>
          <w:color w:val="auto"/>
          <w:szCs w:val="32"/>
        </w:rPr>
        <w:t xml:space="preserve"> 其它关键信息</w:t>
      </w:r>
    </w:p>
    <w:p>
      <w:pPr>
        <w:ind w:firstLine="3268" w:firstLineChars="1550"/>
        <w:rPr>
          <w:b/>
          <w:color w:val="auto"/>
        </w:rPr>
      </w:pPr>
      <w:r>
        <w:rPr>
          <w:rFonts w:hint="eastAsia"/>
          <w:b/>
          <w:color w:val="auto"/>
        </w:rPr>
        <w:t xml:space="preserve"> 一、评标定标信息</w:t>
      </w:r>
    </w:p>
    <w:p>
      <w:pPr>
        <w:rPr>
          <w:color w:val="auto"/>
        </w:rPr>
      </w:pPr>
    </w:p>
    <w:p>
      <w:pPr>
        <w:rPr>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w:t>
      </w:r>
      <w:r>
        <w:rPr>
          <w:rFonts w:hint="eastAsia"/>
          <w:b/>
          <w:color w:val="auto"/>
        </w:rPr>
        <w:t>非评定分离项目</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rPr>
                <w:color w:val="auto"/>
              </w:rPr>
            </w:pPr>
            <w:r>
              <w:rPr>
                <w:rFonts w:hint="eastAsia"/>
                <w:color w:val="auto"/>
              </w:rPr>
              <w:t>评标方法</w:t>
            </w:r>
          </w:p>
        </w:tc>
        <w:tc>
          <w:tcPr>
            <w:tcW w:w="4265" w:type="dxa"/>
          </w:tcPr>
          <w:p>
            <w:pPr>
              <w:jc w:val="center"/>
              <w:rPr>
                <w:rFonts w:hint="default" w:eastAsia="宋体"/>
                <w:color w:val="auto"/>
                <w:lang w:val="en-US" w:eastAsia="zh-CN"/>
              </w:rPr>
            </w:pPr>
            <w:r>
              <w:rPr>
                <w:rFonts w:hint="eastAsia"/>
                <w:color w:val="auto"/>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rPr>
                <w:color w:val="auto"/>
              </w:rPr>
            </w:pPr>
            <w:r>
              <w:rPr>
                <w:rFonts w:hint="eastAsia"/>
                <w:color w:val="auto"/>
              </w:rPr>
              <w:t>中标供应商家数</w:t>
            </w:r>
          </w:p>
        </w:tc>
        <w:tc>
          <w:tcPr>
            <w:tcW w:w="4265" w:type="dxa"/>
          </w:tcPr>
          <w:p>
            <w:pPr>
              <w:jc w:val="center"/>
              <w:rPr>
                <w:rFonts w:hint="eastAsia" w:eastAsia="宋体"/>
                <w:color w:val="auto"/>
                <w:lang w:val="en-US" w:eastAsia="zh-CN"/>
              </w:rPr>
            </w:pPr>
            <w:r>
              <w:rPr>
                <w:rFonts w:hint="eastAsia"/>
                <w:color w:val="auto"/>
                <w:lang w:val="en-US" w:eastAsia="zh-CN"/>
              </w:rPr>
              <w:t>1</w:t>
            </w:r>
          </w:p>
        </w:tc>
      </w:tr>
    </w:tbl>
    <w:p>
      <w:pPr>
        <w:rPr>
          <w:color w:val="auto"/>
        </w:rPr>
      </w:pPr>
    </w:p>
    <w:p>
      <w:pPr>
        <w:spacing w:line="360" w:lineRule="auto"/>
        <w:rPr>
          <w:rFonts w:ascii="新宋体" w:hAnsi="新宋体" w:eastAsia="新宋体"/>
          <w:color w:val="auto"/>
        </w:rPr>
      </w:pPr>
    </w:p>
    <w:p>
      <w:pPr>
        <w:spacing w:line="360" w:lineRule="auto"/>
        <w:rPr>
          <w:rFonts w:ascii="新宋体" w:hAnsi="新宋体" w:eastAsia="新宋体"/>
          <w:b/>
          <w:color w:val="auto"/>
        </w:rPr>
      </w:pPr>
      <w:r>
        <w:rPr>
          <w:rFonts w:hint="eastAsia" w:ascii="新宋体" w:hAnsi="新宋体" w:eastAsia="新宋体"/>
          <w:color w:val="auto"/>
        </w:rPr>
        <w:t xml:space="preserve"> </w:t>
      </w:r>
      <w:r>
        <w:rPr>
          <w:rFonts w:hint="eastAsia" w:ascii="新宋体" w:hAnsi="新宋体" w:eastAsia="新宋体"/>
          <w:b/>
          <w:color w:val="auto"/>
        </w:rPr>
        <w:t xml:space="preserve">                  二、关于享受优惠政策的主体及价格扣除比例</w:t>
      </w:r>
    </w:p>
    <w:p>
      <w:pPr>
        <w:spacing w:line="360" w:lineRule="auto"/>
        <w:ind w:firstLine="420" w:firstLineChars="200"/>
        <w:rPr>
          <w:rFonts w:ascii="新宋体" w:hAnsi="新宋体" w:eastAsia="新宋体"/>
          <w:color w:val="auto"/>
        </w:rPr>
      </w:pPr>
      <w:r>
        <w:rPr>
          <w:rFonts w:hint="eastAsia" w:ascii="新宋体" w:hAnsi="新宋体" w:eastAsia="新宋体"/>
          <w:color w:val="auto"/>
        </w:rPr>
        <w:t>（一）小型企业、微型企业、监狱企业、残疾人福利性单位提供本企业制造的货物，或</w:t>
      </w:r>
      <w:r>
        <w:rPr>
          <w:rFonts w:hint="eastAsia" w:ascii="新宋体" w:hAnsi="新宋体" w:eastAsia="新宋体"/>
          <w:color w:val="auto"/>
          <w:highlight w:val="none"/>
        </w:rPr>
        <w:t>者提供其他符合优惠主体资格条件企业制造的货物，</w:t>
      </w:r>
      <w:r>
        <w:rPr>
          <w:rFonts w:hint="eastAsia" w:ascii="新宋体" w:hAnsi="新宋体" w:eastAsia="新宋体"/>
          <w:b/>
          <w:color w:val="auto"/>
          <w:highlight w:val="none"/>
        </w:rPr>
        <w:t>以及非小微企业提供（代理销售）小微企业制造的货物，</w:t>
      </w:r>
      <w:r>
        <w:rPr>
          <w:rFonts w:hint="eastAsia" w:ascii="新宋体" w:hAnsi="新宋体" w:eastAsia="新宋体"/>
          <w:color w:val="auto"/>
          <w:highlight w:val="none"/>
        </w:rPr>
        <w:t>对其所投产品的价格给予</w:t>
      </w:r>
      <w:r>
        <w:rPr>
          <w:rFonts w:hint="eastAsia" w:ascii="新宋体" w:hAnsi="新宋体" w:eastAsia="新宋体"/>
          <w:b/>
          <w:bCs/>
          <w:color w:val="auto"/>
          <w:highlight w:val="none"/>
          <w:u w:val="single"/>
          <w:lang w:val="en-US" w:eastAsia="zh-CN"/>
        </w:rPr>
        <w:t>6</w:t>
      </w:r>
      <w:r>
        <w:rPr>
          <w:rFonts w:ascii="新宋体" w:hAnsi="新宋体" w:eastAsia="新宋体"/>
          <w:b/>
          <w:bCs/>
          <w:color w:val="auto"/>
          <w:highlight w:val="none"/>
        </w:rPr>
        <w:t>%</w:t>
      </w:r>
      <w:r>
        <w:rPr>
          <w:rFonts w:hint="eastAsia" w:ascii="新宋体" w:hAnsi="新宋体" w:eastAsia="新宋体"/>
          <w:color w:val="auto"/>
          <w:highlight w:val="none"/>
        </w:rPr>
        <w:t>的扣除，用扣除后的价格参与评审。满足多项优惠政策的企业，不重复享受多项价格扣除政策。（以上所提货物，是</w:t>
      </w:r>
      <w:r>
        <w:rPr>
          <w:rFonts w:hint="eastAsia" w:ascii="新宋体" w:hAnsi="新宋体" w:eastAsia="新宋体"/>
          <w:color w:val="auto"/>
        </w:rPr>
        <w:t>指单一产品采购项目中的货物，或者非单一产品采购项目中的核心产品（货物），不包括使用大型企业注册商标的货物。）</w:t>
      </w:r>
    </w:p>
    <w:p>
      <w:pPr>
        <w:spacing w:line="360" w:lineRule="auto"/>
        <w:ind w:firstLine="420" w:firstLineChars="200"/>
        <w:rPr>
          <w:rFonts w:ascii="新宋体" w:hAnsi="新宋体" w:eastAsia="新宋体"/>
          <w:color w:val="auto"/>
        </w:rPr>
      </w:pPr>
      <w:r>
        <w:rPr>
          <w:rFonts w:hint="eastAsia" w:ascii="新宋体" w:hAnsi="新宋体" w:eastAsia="新宋体"/>
          <w:color w:val="auto"/>
        </w:rPr>
        <w:t>（二）优惠主体资格的认定资料为《中小企业声明函》、《残疾人福利性单位声明函》以及《监狱企业声明函》等承诺性质的资料（声明函样式见本招标文件第一册第三章“投标文件格式、附件”中“四、投标人情况介绍”章节提供的格式）；监狱企业或者代理提供监狱企业货物的供应商如须享受优惠政策，除上述资料外，还须提供省级以上监狱管理局、戒毒管理局出具的监狱企业证明文件。</w:t>
      </w:r>
    </w:p>
    <w:p>
      <w:pPr>
        <w:spacing w:line="360" w:lineRule="auto"/>
        <w:jc w:val="center"/>
        <w:rPr>
          <w:rFonts w:ascii="新宋体" w:hAnsi="新宋体" w:eastAsia="新宋体"/>
          <w:b/>
          <w:color w:val="auto"/>
        </w:rPr>
      </w:pPr>
      <w:r>
        <w:rPr>
          <w:rFonts w:hint="eastAsia" w:ascii="新宋体" w:hAnsi="新宋体" w:eastAsia="新宋体"/>
          <w:b/>
          <w:color w:val="auto"/>
        </w:rPr>
        <w:t>三、关于失信供应商的价格上浮</w:t>
      </w:r>
    </w:p>
    <w:p>
      <w:pPr>
        <w:spacing w:line="360" w:lineRule="auto"/>
        <w:ind w:firstLine="420" w:firstLineChars="200"/>
        <w:rPr>
          <w:rFonts w:ascii="新宋体" w:hAnsi="新宋体" w:eastAsia="新宋体"/>
          <w:color w:val="auto"/>
        </w:rPr>
      </w:pPr>
      <w:r>
        <w:rPr>
          <w:rFonts w:hint="eastAsia" w:ascii="新宋体" w:hAnsi="新宋体" w:eastAsia="新宋体"/>
          <w:color w:val="auto"/>
        </w:rPr>
        <w:t>根据《深圳市财政委员会关于印发〈深圳市政府采购供应商诚信管理暂行办法操作细则〉的通知》（深财购〔</w:t>
      </w:r>
      <w:r>
        <w:rPr>
          <w:rFonts w:ascii="新宋体" w:hAnsi="新宋体" w:eastAsia="新宋体"/>
          <w:color w:val="auto"/>
        </w:rPr>
        <w:t>2017</w:t>
      </w:r>
      <w:r>
        <w:rPr>
          <w:rFonts w:hint="eastAsia" w:ascii="新宋体" w:hAnsi="新宋体" w:eastAsia="新宋体"/>
          <w:color w:val="auto"/>
        </w:rPr>
        <w:t>〕</w:t>
      </w:r>
      <w:r>
        <w:rPr>
          <w:rFonts w:ascii="新宋体" w:hAnsi="新宋体" w:eastAsia="新宋体"/>
          <w:color w:val="auto"/>
        </w:rPr>
        <w:t xml:space="preserve">42 </w:t>
      </w:r>
      <w:r>
        <w:rPr>
          <w:rFonts w:hint="eastAsia" w:ascii="新宋体" w:hAnsi="新宋体" w:eastAsia="新宋体"/>
          <w:color w:val="auto"/>
        </w:rPr>
        <w:t>号）的规定，采取价格评比法（比如最低价法）的项目，因违法违规行为被记入诚信档案的失信供应商最终报价在该企业最后一轮报价的基础上上浮</w:t>
      </w:r>
      <w:r>
        <w:rPr>
          <w:rFonts w:ascii="新宋体" w:hAnsi="新宋体" w:eastAsia="新宋体"/>
          <w:color w:val="auto"/>
        </w:rPr>
        <w:t>10%</w:t>
      </w:r>
      <w:r>
        <w:rPr>
          <w:rFonts w:hint="eastAsia" w:ascii="新宋体" w:hAnsi="新宋体" w:eastAsia="新宋体"/>
          <w:color w:val="auto"/>
        </w:rPr>
        <w:t>。失信供应商符合优惠主体资格的，价格扣除和价格上浮一并执行。</w:t>
      </w:r>
    </w:p>
    <w:p>
      <w:pPr>
        <w:spacing w:line="360" w:lineRule="auto"/>
        <w:jc w:val="center"/>
        <w:rPr>
          <w:rFonts w:ascii="新宋体" w:hAnsi="新宋体" w:eastAsia="新宋体"/>
          <w:b/>
          <w:color w:val="auto"/>
        </w:rPr>
      </w:pPr>
      <w:r>
        <w:rPr>
          <w:rFonts w:hint="eastAsia" w:ascii="新宋体" w:hAnsi="新宋体" w:eastAsia="新宋体"/>
          <w:b/>
          <w:color w:val="auto"/>
        </w:rPr>
        <w:t>四、其他说明</w:t>
      </w:r>
    </w:p>
    <w:p>
      <w:pPr>
        <w:spacing w:line="360" w:lineRule="auto"/>
        <w:ind w:firstLine="435"/>
        <w:jc w:val="left"/>
        <w:rPr>
          <w:rFonts w:ascii="新宋体" w:hAnsi="新宋体" w:eastAsia="新宋体"/>
          <w:color w:val="auto"/>
        </w:rPr>
      </w:pPr>
      <w:r>
        <w:rPr>
          <w:rFonts w:hint="eastAsia" w:ascii="新宋体" w:hAnsi="新宋体" w:eastAsia="新宋体"/>
          <w:color w:val="auto"/>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pPr>
        <w:rPr>
          <w:color w:val="auto"/>
        </w:rPr>
      </w:pPr>
    </w:p>
    <w:p>
      <w:pPr>
        <w:rPr>
          <w:color w:val="auto"/>
        </w:rPr>
      </w:pPr>
    </w:p>
    <w:p>
      <w:pPr>
        <w:rPr>
          <w:color w:val="auto"/>
        </w:rPr>
      </w:pPr>
    </w:p>
    <w:p>
      <w:pPr>
        <w:pStyle w:val="3"/>
        <w:rPr>
          <w:color w:val="auto"/>
        </w:rPr>
      </w:pPr>
      <w:r>
        <w:rPr>
          <w:rFonts w:hint="eastAsia"/>
          <w:color w:val="auto"/>
        </w:rPr>
        <w:t>目   录</w:t>
      </w:r>
    </w:p>
    <w:p>
      <w:pPr>
        <w:spacing w:line="360" w:lineRule="auto"/>
        <w:rPr>
          <w:rFonts w:ascii="新宋体" w:hAnsi="新宋体" w:eastAsia="新宋体"/>
          <w:b/>
          <w:color w:val="auto"/>
          <w:szCs w:val="21"/>
        </w:rPr>
      </w:pPr>
      <w:r>
        <w:rPr>
          <w:rFonts w:hint="eastAsia" w:ascii="新宋体" w:hAnsi="新宋体" w:eastAsia="新宋体"/>
          <w:b/>
          <w:color w:val="auto"/>
          <w:szCs w:val="21"/>
        </w:rPr>
        <w:t>第一册  专用条款</w:t>
      </w:r>
    </w:p>
    <w:p>
      <w:pPr>
        <w:spacing w:line="360" w:lineRule="auto"/>
        <w:rPr>
          <w:rFonts w:ascii="新宋体" w:hAnsi="新宋体" w:eastAsia="新宋体"/>
          <w:color w:val="auto"/>
          <w:szCs w:val="21"/>
        </w:rPr>
      </w:pPr>
      <w:r>
        <w:rPr>
          <w:rFonts w:hint="eastAsia" w:ascii="新宋体" w:hAnsi="新宋体" w:eastAsia="新宋体"/>
          <w:color w:val="auto"/>
          <w:szCs w:val="21"/>
        </w:rPr>
        <w:t xml:space="preserve">          关键信息</w:t>
      </w:r>
    </w:p>
    <w:p>
      <w:pPr>
        <w:spacing w:line="360" w:lineRule="auto"/>
        <w:ind w:left="630" w:leftChars="300" w:firstLine="630" w:firstLineChars="300"/>
        <w:rPr>
          <w:rFonts w:ascii="新宋体" w:hAnsi="新宋体" w:eastAsia="新宋体"/>
          <w:color w:val="auto"/>
          <w:szCs w:val="21"/>
        </w:rPr>
      </w:pPr>
      <w:r>
        <w:rPr>
          <w:rFonts w:hint="eastAsia" w:ascii="新宋体" w:hAnsi="新宋体" w:eastAsia="新宋体"/>
          <w:color w:val="auto"/>
          <w:szCs w:val="21"/>
        </w:rPr>
        <w:t>第一章  招标公告</w:t>
      </w:r>
    </w:p>
    <w:p>
      <w:pPr>
        <w:spacing w:line="360" w:lineRule="auto"/>
        <w:ind w:left="630" w:leftChars="300" w:firstLine="630" w:firstLineChars="300"/>
        <w:rPr>
          <w:rFonts w:ascii="新宋体" w:hAnsi="新宋体" w:eastAsia="新宋体"/>
          <w:color w:val="auto"/>
          <w:szCs w:val="21"/>
        </w:rPr>
      </w:pPr>
      <w:r>
        <w:rPr>
          <w:rFonts w:hint="eastAsia" w:ascii="新宋体" w:hAnsi="新宋体" w:eastAsia="新宋体"/>
          <w:color w:val="auto"/>
          <w:szCs w:val="21"/>
        </w:rPr>
        <w:t>第二章  招标项目需求</w:t>
      </w:r>
    </w:p>
    <w:p>
      <w:pPr>
        <w:spacing w:line="360" w:lineRule="auto"/>
        <w:ind w:left="630" w:leftChars="300" w:firstLine="630" w:firstLineChars="300"/>
        <w:rPr>
          <w:rFonts w:ascii="新宋体" w:hAnsi="新宋体" w:eastAsia="新宋体"/>
          <w:color w:val="auto"/>
          <w:szCs w:val="21"/>
        </w:rPr>
      </w:pPr>
      <w:r>
        <w:rPr>
          <w:rFonts w:hint="eastAsia" w:ascii="新宋体" w:hAnsi="新宋体" w:eastAsia="新宋体"/>
          <w:color w:val="auto"/>
          <w:szCs w:val="21"/>
        </w:rPr>
        <w:t>第三章  投标文件格式、附件</w:t>
      </w:r>
    </w:p>
    <w:p>
      <w:pPr>
        <w:spacing w:line="360" w:lineRule="auto"/>
        <w:ind w:left="630" w:leftChars="300" w:firstLine="630" w:firstLineChars="300"/>
        <w:rPr>
          <w:rFonts w:ascii="新宋体" w:hAnsi="新宋体" w:eastAsia="新宋体"/>
          <w:color w:val="auto"/>
          <w:szCs w:val="21"/>
        </w:rPr>
      </w:pPr>
      <w:r>
        <w:rPr>
          <w:rFonts w:hint="eastAsia" w:ascii="新宋体" w:hAnsi="新宋体" w:eastAsia="新宋体"/>
          <w:color w:val="auto"/>
          <w:szCs w:val="21"/>
        </w:rPr>
        <w:t>第四章  政府采购合同的签订、履行及验收</w:t>
      </w:r>
    </w:p>
    <w:p>
      <w:pPr>
        <w:spacing w:line="360" w:lineRule="auto"/>
        <w:rPr>
          <w:rFonts w:ascii="新宋体" w:hAnsi="新宋体" w:eastAsia="新宋体"/>
          <w:b/>
          <w:color w:val="auto"/>
          <w:szCs w:val="21"/>
        </w:rPr>
      </w:pPr>
    </w:p>
    <w:p>
      <w:pPr>
        <w:spacing w:line="360" w:lineRule="auto"/>
        <w:rPr>
          <w:rFonts w:ascii="新宋体" w:hAnsi="新宋体" w:eastAsia="新宋体"/>
          <w:b/>
          <w:color w:val="auto"/>
          <w:szCs w:val="21"/>
        </w:rPr>
      </w:pPr>
      <w:r>
        <w:rPr>
          <w:rFonts w:hint="eastAsia" w:ascii="新宋体" w:hAnsi="新宋体" w:eastAsia="新宋体"/>
          <w:b/>
          <w:color w:val="auto"/>
          <w:szCs w:val="21"/>
        </w:rPr>
        <w:t>第二册  通用条款</w:t>
      </w:r>
    </w:p>
    <w:p>
      <w:pPr>
        <w:spacing w:line="360" w:lineRule="auto"/>
        <w:ind w:firstLine="420" w:firstLineChars="200"/>
        <w:rPr>
          <w:rFonts w:ascii="新宋体" w:hAnsi="新宋体" w:eastAsia="新宋体"/>
          <w:color w:val="auto"/>
          <w:szCs w:val="21"/>
        </w:rPr>
      </w:pPr>
      <w:r>
        <w:rPr>
          <w:rFonts w:hint="eastAsia" w:ascii="新宋体" w:hAnsi="新宋体" w:eastAsia="新宋体"/>
          <w:color w:val="auto"/>
          <w:szCs w:val="21"/>
        </w:rPr>
        <w:t>通用条款内容可在深圳公共资源交易中心网站（</w:t>
      </w:r>
      <w:r>
        <w:rPr>
          <w:rFonts w:ascii="新宋体" w:hAnsi="新宋体" w:eastAsia="新宋体"/>
          <w:color w:val="auto"/>
          <w:szCs w:val="21"/>
        </w:rPr>
        <w:t>www.szzfcg.cn</w:t>
      </w:r>
      <w:r>
        <w:rPr>
          <w:rFonts w:hint="eastAsia" w:ascii="新宋体" w:hAnsi="新宋体" w:eastAsia="新宋体"/>
          <w:color w:val="auto"/>
          <w:szCs w:val="21"/>
        </w:rPr>
        <w:t>）以下栏目中查看（两处均可）：</w:t>
      </w:r>
    </w:p>
    <w:p>
      <w:pPr>
        <w:spacing w:line="360" w:lineRule="auto"/>
        <w:rPr>
          <w:rFonts w:ascii="新宋体" w:hAnsi="新宋体" w:eastAsia="新宋体"/>
          <w:color w:val="auto"/>
          <w:szCs w:val="21"/>
        </w:rPr>
      </w:pPr>
      <w:r>
        <w:rPr>
          <w:rFonts w:hint="eastAsia" w:ascii="新宋体" w:hAnsi="新宋体" w:eastAsia="新宋体"/>
          <w:color w:val="auto"/>
          <w:szCs w:val="21"/>
        </w:rPr>
        <w:t xml:space="preserve">     </w:t>
      </w:r>
      <w:r>
        <w:rPr>
          <w:rFonts w:ascii="新宋体" w:hAnsi="新宋体" w:eastAsia="新宋体"/>
          <w:color w:val="auto"/>
          <w:szCs w:val="21"/>
        </w:rPr>
        <w:fldChar w:fldCharType="begin"/>
      </w:r>
      <w:r>
        <w:rPr>
          <w:rFonts w:ascii="新宋体" w:hAnsi="新宋体" w:eastAsia="新宋体"/>
          <w:color w:val="auto"/>
          <w:szCs w:val="21"/>
        </w:rPr>
        <w:instrText xml:space="preserve"> </w:instrText>
      </w:r>
      <w:r>
        <w:rPr>
          <w:rFonts w:hint="eastAsia" w:ascii="新宋体" w:hAnsi="新宋体" w:eastAsia="新宋体"/>
          <w:color w:val="auto"/>
          <w:szCs w:val="21"/>
        </w:rPr>
        <w:instrText xml:space="preserve">eq \o\ac(</w:instrText>
      </w:r>
      <w:r>
        <w:rPr>
          <w:rFonts w:hint="eastAsia" w:ascii="新宋体" w:hAnsi="新宋体" w:eastAsia="新宋体"/>
          <w:color w:val="auto"/>
          <w:position w:val="-4"/>
          <w:szCs w:val="21"/>
        </w:rPr>
        <w:instrText xml:space="preserve">○</w:instrText>
      </w:r>
      <w:r>
        <w:rPr>
          <w:rFonts w:hint="eastAsia" w:ascii="新宋体" w:hAnsi="新宋体" w:eastAsia="新宋体"/>
          <w:color w:val="auto"/>
          <w:szCs w:val="21"/>
        </w:rPr>
        <w:instrText xml:space="preserve">,1)</w:instrText>
      </w:r>
      <w:r>
        <w:rPr>
          <w:rFonts w:ascii="新宋体" w:hAnsi="新宋体" w:eastAsia="新宋体"/>
          <w:color w:val="auto"/>
          <w:szCs w:val="21"/>
        </w:rPr>
        <w:fldChar w:fldCharType="end"/>
      </w:r>
      <w:r>
        <w:rPr>
          <w:rFonts w:hint="eastAsia" w:ascii="新宋体" w:hAnsi="新宋体" w:eastAsia="新宋体"/>
          <w:color w:val="auto"/>
          <w:szCs w:val="21"/>
        </w:rPr>
        <w:t>“业务服务”—“面向供应商”—“采购文件模板”；</w:t>
      </w:r>
    </w:p>
    <w:p>
      <w:pPr>
        <w:spacing w:line="360" w:lineRule="auto"/>
        <w:rPr>
          <w:rFonts w:ascii="新宋体" w:hAnsi="新宋体" w:eastAsia="新宋体"/>
          <w:color w:val="auto"/>
          <w:szCs w:val="21"/>
        </w:rPr>
      </w:pPr>
      <w:r>
        <w:rPr>
          <w:rFonts w:hint="eastAsia" w:ascii="新宋体" w:hAnsi="新宋体" w:eastAsia="新宋体"/>
          <w:color w:val="auto"/>
          <w:szCs w:val="21"/>
        </w:rPr>
        <w:t xml:space="preserve">     </w:t>
      </w:r>
      <w:r>
        <w:rPr>
          <w:rFonts w:ascii="新宋体" w:hAnsi="新宋体" w:eastAsia="新宋体"/>
          <w:color w:val="auto"/>
          <w:szCs w:val="21"/>
        </w:rPr>
        <w:fldChar w:fldCharType="begin"/>
      </w:r>
      <w:r>
        <w:rPr>
          <w:rFonts w:ascii="新宋体" w:hAnsi="新宋体" w:eastAsia="新宋体"/>
          <w:color w:val="auto"/>
          <w:szCs w:val="21"/>
        </w:rPr>
        <w:instrText xml:space="preserve"> </w:instrText>
      </w:r>
      <w:r>
        <w:rPr>
          <w:rFonts w:hint="eastAsia" w:ascii="新宋体" w:hAnsi="新宋体" w:eastAsia="新宋体"/>
          <w:color w:val="auto"/>
          <w:szCs w:val="21"/>
        </w:rPr>
        <w:instrText xml:space="preserve">eq \o\ac(</w:instrText>
      </w:r>
      <w:r>
        <w:rPr>
          <w:rFonts w:hint="eastAsia" w:ascii="新宋体" w:hAnsi="新宋体" w:eastAsia="新宋体"/>
          <w:color w:val="auto"/>
          <w:position w:val="-4"/>
          <w:szCs w:val="21"/>
        </w:rPr>
        <w:instrText xml:space="preserve">○</w:instrText>
      </w:r>
      <w:r>
        <w:rPr>
          <w:rFonts w:hint="eastAsia" w:ascii="新宋体" w:hAnsi="新宋体" w:eastAsia="新宋体"/>
          <w:color w:val="auto"/>
          <w:szCs w:val="21"/>
        </w:rPr>
        <w:instrText xml:space="preserve">,2)</w:instrText>
      </w:r>
      <w:r>
        <w:rPr>
          <w:rFonts w:ascii="新宋体" w:hAnsi="新宋体" w:eastAsia="新宋体"/>
          <w:color w:val="auto"/>
          <w:szCs w:val="21"/>
        </w:rPr>
        <w:fldChar w:fldCharType="end"/>
      </w:r>
      <w:r>
        <w:rPr>
          <w:rFonts w:hint="eastAsia" w:ascii="新宋体" w:hAnsi="新宋体" w:eastAsia="新宋体"/>
          <w:color w:val="auto"/>
          <w:szCs w:val="21"/>
        </w:rPr>
        <w:t>“业务服务”—“面向采购人”—“采购文件模板”。</w:t>
      </w:r>
    </w:p>
    <w:p>
      <w:pPr>
        <w:spacing w:line="360" w:lineRule="auto"/>
        <w:rPr>
          <w:rFonts w:ascii="新宋体" w:hAnsi="新宋体" w:eastAsia="新宋体"/>
          <w:b/>
          <w:color w:val="auto"/>
          <w:szCs w:val="21"/>
        </w:rPr>
      </w:pPr>
      <w:r>
        <w:rPr>
          <w:rFonts w:hint="eastAsia" w:ascii="新宋体" w:hAnsi="新宋体" w:eastAsia="新宋体"/>
          <w:b/>
          <w:color w:val="auto"/>
          <w:szCs w:val="21"/>
        </w:rPr>
        <w:t>备注：</w:t>
      </w:r>
    </w:p>
    <w:p>
      <w:pPr>
        <w:spacing w:line="360" w:lineRule="auto"/>
        <w:ind w:firstLine="420" w:firstLineChars="200"/>
        <w:rPr>
          <w:rFonts w:ascii="新宋体" w:hAnsi="新宋体" w:eastAsia="新宋体"/>
          <w:b/>
          <w:color w:val="auto"/>
          <w:szCs w:val="21"/>
        </w:rPr>
      </w:pPr>
      <w:r>
        <w:rPr>
          <w:rFonts w:hint="eastAsia" w:ascii="新宋体" w:hAnsi="新宋体" w:eastAsia="新宋体"/>
          <w:color w:val="auto"/>
          <w:szCs w:val="21"/>
        </w:rPr>
        <w:t>1.本招标文件分为第一册“专用条款”和第二册“通用条款”。</w:t>
      </w:r>
    </w:p>
    <w:p>
      <w:pPr>
        <w:spacing w:line="360" w:lineRule="auto"/>
        <w:ind w:firstLine="420" w:firstLineChars="200"/>
        <w:jc w:val="left"/>
        <w:rPr>
          <w:rFonts w:ascii="新宋体" w:hAnsi="新宋体" w:eastAsia="新宋体"/>
          <w:color w:val="auto"/>
          <w:szCs w:val="21"/>
        </w:rPr>
      </w:pPr>
      <w:r>
        <w:rPr>
          <w:rFonts w:hint="eastAsia" w:ascii="新宋体" w:hAnsi="新宋体" w:eastAsia="新宋体"/>
          <w:color w:val="auto"/>
          <w:szCs w:val="21"/>
        </w:rPr>
        <w:t>2.“专用条款”是对本次采购项目的具体要求，包含招标公告、招标项目需求、投标文件格式、合同条款及格式、附件等内容。</w:t>
      </w:r>
    </w:p>
    <w:p>
      <w:pPr>
        <w:spacing w:line="360" w:lineRule="auto"/>
        <w:ind w:firstLine="420" w:firstLineChars="200"/>
        <w:jc w:val="left"/>
        <w:rPr>
          <w:rFonts w:ascii="新宋体" w:hAnsi="新宋体" w:eastAsia="新宋体"/>
          <w:color w:val="auto"/>
          <w:szCs w:val="21"/>
        </w:rPr>
      </w:pPr>
      <w:r>
        <w:rPr>
          <w:rFonts w:hint="eastAsia" w:ascii="新宋体" w:hAnsi="新宋体" w:eastAsia="新宋体"/>
          <w:color w:val="auto"/>
          <w:szCs w:val="21"/>
        </w:rPr>
        <w:t>3.“通用条款”是通用于政府采购项目的基础性条款，具有普遍性和通用性。</w:t>
      </w:r>
    </w:p>
    <w:p>
      <w:pPr>
        <w:spacing w:line="360" w:lineRule="auto"/>
        <w:ind w:firstLine="420" w:firstLineChars="200"/>
        <w:jc w:val="left"/>
        <w:rPr>
          <w:rFonts w:ascii="新宋体" w:hAnsi="新宋体" w:eastAsia="新宋体"/>
          <w:color w:val="auto"/>
          <w:szCs w:val="21"/>
        </w:rPr>
      </w:pPr>
      <w:r>
        <w:rPr>
          <w:rFonts w:hint="eastAsia" w:ascii="新宋体" w:hAnsi="新宋体" w:eastAsia="新宋体"/>
          <w:color w:val="auto"/>
          <w:szCs w:val="21"/>
        </w:rPr>
        <w:t>4.当出现“专用条款”和“通用条款”表述不一致或有冲突时，以“专用条款”为准。</w:t>
      </w:r>
    </w:p>
    <w:p>
      <w:pPr>
        <w:pStyle w:val="3"/>
        <w:rPr>
          <w:color w:val="auto"/>
          <w:sz w:val="24"/>
        </w:rPr>
      </w:pPr>
      <w:r>
        <w:rPr>
          <w:color w:val="auto"/>
        </w:rPr>
        <w:br w:type="page"/>
      </w:r>
      <w:bookmarkStart w:id="0" w:name="bt投标报价汇总表"/>
      <w:bookmarkEnd w:id="0"/>
      <w:bookmarkStart w:id="1" w:name="bt说明"/>
      <w:bookmarkEnd w:id="1"/>
      <w:bookmarkStart w:id="2" w:name="bt合同条款及格式"/>
      <w:bookmarkEnd w:id="2"/>
      <w:bookmarkStart w:id="3" w:name="bt投标文件签署授权委托书"/>
      <w:bookmarkEnd w:id="3"/>
      <w:bookmarkStart w:id="4" w:name="bt投标函"/>
      <w:bookmarkEnd w:id="4"/>
      <w:bookmarkStart w:id="5" w:name="bt合同条款"/>
      <w:bookmarkEnd w:id="5"/>
      <w:bookmarkStart w:id="6" w:name="bt技术标投标文件格式"/>
      <w:bookmarkEnd w:id="6"/>
      <w:bookmarkStart w:id="7" w:name="bt项目管理班子配备情况"/>
      <w:bookmarkEnd w:id="7"/>
      <w:bookmarkStart w:id="8" w:name="bt商务标投标文件格式"/>
      <w:bookmarkEnd w:id="8"/>
      <w:bookmarkStart w:id="9" w:name="bt其他资料由投标人自定"/>
      <w:bookmarkEnd w:id="9"/>
      <w:bookmarkStart w:id="10" w:name="合同格式"/>
      <w:bookmarkEnd w:id="10"/>
      <w:bookmarkStart w:id="11" w:name="bt投标人须知"/>
      <w:bookmarkEnd w:id="11"/>
      <w:bookmarkStart w:id="12" w:name="bt合同格式"/>
      <w:bookmarkEnd w:id="12"/>
      <w:bookmarkStart w:id="13" w:name="bt本工程承诺书"/>
      <w:bookmarkEnd w:id="13"/>
      <w:bookmarkStart w:id="14" w:name="bt开标一览表"/>
      <w:bookmarkEnd w:id="14"/>
      <w:bookmarkStart w:id="15" w:name="bt其他资料2"/>
      <w:bookmarkEnd w:id="15"/>
      <w:bookmarkStart w:id="16" w:name="bt投标人情况介绍"/>
      <w:bookmarkEnd w:id="16"/>
      <w:r>
        <w:rPr>
          <w:rFonts w:hint="eastAsia"/>
          <w:color w:val="auto"/>
        </w:rPr>
        <w:t>第一册  专用条款</w:t>
      </w:r>
    </w:p>
    <w:p>
      <w:pPr>
        <w:pStyle w:val="6"/>
        <w:rPr>
          <w:color w:val="auto"/>
        </w:rPr>
      </w:pPr>
      <w:r>
        <w:rPr>
          <w:rFonts w:hint="eastAsia"/>
          <w:color w:val="auto"/>
        </w:rPr>
        <w:t>第一章  招标公告</w:t>
      </w:r>
    </w:p>
    <w:p>
      <w:pPr>
        <w:pStyle w:val="38"/>
        <w:rPr>
          <w:color w:val="auto"/>
        </w:rPr>
      </w:pPr>
    </w:p>
    <w:tbl>
      <w:tblPr>
        <w:tblStyle w:val="43"/>
        <w:tblW w:w="8890" w:type="dxa"/>
        <w:jc w:val="center"/>
        <w:tblCellSpacing w:w="0" w:type="dxa"/>
        <w:tblLayout w:type="fixed"/>
        <w:tblCellMar>
          <w:top w:w="0" w:type="dxa"/>
          <w:left w:w="0" w:type="dxa"/>
          <w:bottom w:w="0" w:type="dxa"/>
          <w:right w:w="0" w:type="dxa"/>
        </w:tblCellMar>
      </w:tblPr>
      <w:tblGrid>
        <w:gridCol w:w="8890"/>
      </w:tblGrid>
      <w:tr>
        <w:tblPrEx>
          <w:tblCellMar>
            <w:top w:w="0" w:type="dxa"/>
            <w:left w:w="0" w:type="dxa"/>
            <w:bottom w:w="0" w:type="dxa"/>
            <w:right w:w="0" w:type="dxa"/>
          </w:tblCellMar>
        </w:tblPrEx>
        <w:trPr>
          <w:tblCellSpacing w:w="0" w:type="dxa"/>
          <w:jc w:val="center"/>
        </w:trPr>
        <w:tc>
          <w:tcPr>
            <w:tcW w:w="8890" w:type="dxa"/>
            <w:vAlign w:val="center"/>
          </w:tcPr>
          <w:tbl>
            <w:tblPr>
              <w:tblStyle w:val="43"/>
              <w:tblW w:w="8712" w:type="dxa"/>
              <w:jc w:val="center"/>
              <w:tblCellSpacing w:w="0" w:type="dxa"/>
              <w:tblLayout w:type="fixed"/>
              <w:tblCellMar>
                <w:top w:w="0" w:type="dxa"/>
                <w:left w:w="0" w:type="dxa"/>
                <w:bottom w:w="0" w:type="dxa"/>
                <w:right w:w="0" w:type="dxa"/>
              </w:tblCellMar>
            </w:tblPr>
            <w:tblGrid>
              <w:gridCol w:w="8712"/>
            </w:tblGrid>
            <w:tr>
              <w:trPr>
                <w:tblCellSpacing w:w="0" w:type="dxa"/>
                <w:jc w:val="center"/>
              </w:trPr>
              <w:tc>
                <w:tcPr>
                  <w:tcW w:w="8712" w:type="dxa"/>
                  <w:vAlign w:val="center"/>
                </w:tcPr>
                <w:p>
                  <w:pPr>
                    <w:spacing w:line="360" w:lineRule="auto"/>
                    <w:rPr>
                      <w:rFonts w:ascii="新宋体" w:hAnsi="新宋体" w:eastAsia="新宋体"/>
                      <w:color w:val="auto"/>
                      <w:szCs w:val="21"/>
                    </w:rPr>
                  </w:pPr>
                  <w:r>
                    <w:rPr>
                      <w:rFonts w:ascii="新宋体" w:hAnsi="新宋体" w:eastAsia="新宋体"/>
                      <w:color w:val="auto"/>
                      <w:szCs w:val="21"/>
                    </w:rPr>
                    <w:t>根据《深圳经济特区政府采购条例》、《深圳经济特区政府采购条例实施细则》和《深圳网上政府采购管理暂行办法》的有关规定，</w:t>
                  </w:r>
                  <w:r>
                    <w:rPr>
                      <w:rFonts w:hint="eastAsia" w:ascii="新宋体" w:hAnsi="新宋体" w:eastAsia="新宋体"/>
                      <w:color w:val="auto"/>
                      <w:szCs w:val="21"/>
                    </w:rPr>
                    <w:t>深圳市瑞凝信招标咨询有限公司</w:t>
                  </w:r>
                  <w:r>
                    <w:rPr>
                      <w:rFonts w:ascii="新宋体" w:hAnsi="新宋体" w:eastAsia="新宋体"/>
                      <w:color w:val="auto"/>
                      <w:szCs w:val="21"/>
                    </w:rPr>
                    <w:t>就</w:t>
                  </w:r>
                  <w:r>
                    <w:rPr>
                      <w:rFonts w:hint="eastAsia" w:ascii="新宋体" w:hAnsi="新宋体" w:eastAsia="新宋体"/>
                      <w:color w:val="auto"/>
                      <w:szCs w:val="21"/>
                      <w:u w:val="single"/>
                    </w:rPr>
                    <w:t>海洋生态园地设备采购</w:t>
                  </w:r>
                  <w:r>
                    <w:rPr>
                      <w:rFonts w:ascii="新宋体" w:hAnsi="新宋体" w:eastAsia="新宋体"/>
                      <w:color w:val="auto"/>
                      <w:szCs w:val="21"/>
                    </w:rPr>
                    <w:t xml:space="preserve">项目，采用公开招标的方式，欢迎符合资格的供应商参加投标。 </w:t>
                  </w:r>
                </w:p>
                <w:p>
                  <w:pPr>
                    <w:keepNext/>
                    <w:keepLines/>
                    <w:spacing w:before="260" w:after="260" w:line="360" w:lineRule="auto"/>
                    <w:outlineLvl w:val="2"/>
                    <w:rPr>
                      <w:rFonts w:ascii="新宋体" w:hAnsi="新宋体" w:eastAsia="新宋体"/>
                      <w:b w:val="0"/>
                      <w:bCs w:val="0"/>
                      <w:color w:val="auto"/>
                      <w:szCs w:val="21"/>
                    </w:rPr>
                  </w:pPr>
                  <w:r>
                    <w:rPr>
                      <w:rFonts w:ascii="新宋体" w:hAnsi="新宋体" w:eastAsia="新宋体"/>
                      <w:b/>
                      <w:bCs/>
                      <w:color w:val="auto"/>
                      <w:szCs w:val="21"/>
                    </w:rPr>
                    <w:t>一、项目编号：</w:t>
                  </w:r>
                  <w:r>
                    <w:rPr>
                      <w:rFonts w:hint="eastAsia" w:ascii="新宋体" w:hAnsi="新宋体" w:eastAsia="新宋体"/>
                      <w:b w:val="0"/>
                      <w:bCs w:val="0"/>
                      <w:color w:val="auto"/>
                      <w:szCs w:val="21"/>
                    </w:rPr>
                    <w:t>NSDL2021197548</w:t>
                  </w:r>
                </w:p>
                <w:p>
                  <w:pPr>
                    <w:keepNext/>
                    <w:keepLines/>
                    <w:spacing w:before="260" w:after="260" w:line="360" w:lineRule="auto"/>
                    <w:outlineLvl w:val="2"/>
                    <w:rPr>
                      <w:rFonts w:ascii="新宋体" w:hAnsi="新宋体" w:eastAsia="新宋体"/>
                      <w:bCs/>
                      <w:color w:val="auto"/>
                      <w:szCs w:val="21"/>
                    </w:rPr>
                  </w:pPr>
                  <w:r>
                    <w:rPr>
                      <w:rFonts w:ascii="新宋体" w:hAnsi="新宋体" w:eastAsia="新宋体"/>
                      <w:b/>
                      <w:bCs/>
                      <w:color w:val="auto"/>
                      <w:szCs w:val="21"/>
                    </w:rPr>
                    <w:t>二、项目名称：</w:t>
                  </w:r>
                  <w:r>
                    <w:rPr>
                      <w:rFonts w:hint="eastAsia" w:ascii="新宋体" w:hAnsi="新宋体" w:eastAsia="新宋体"/>
                      <w:b w:val="0"/>
                      <w:bCs w:val="0"/>
                      <w:color w:val="auto"/>
                      <w:szCs w:val="21"/>
                    </w:rPr>
                    <w:t>海洋生态园地设备采购</w:t>
                  </w:r>
                </w:p>
                <w:p>
                  <w:pPr>
                    <w:spacing w:before="60" w:beforeLines="25" w:after="60" w:afterLines="25" w:line="360" w:lineRule="auto"/>
                    <w:rPr>
                      <w:rFonts w:ascii="新宋体" w:hAnsi="新宋体" w:eastAsia="新宋体"/>
                      <w:color w:val="auto"/>
                      <w:szCs w:val="21"/>
                    </w:rPr>
                  </w:pPr>
                  <w:r>
                    <w:rPr>
                      <w:rFonts w:ascii="新宋体" w:hAnsi="新宋体" w:eastAsia="新宋体"/>
                      <w:b/>
                      <w:color w:val="auto"/>
                      <w:szCs w:val="21"/>
                    </w:rPr>
                    <w:t>三、项目概况：</w:t>
                  </w:r>
                  <w:r>
                    <w:rPr>
                      <w:rFonts w:hint="eastAsia" w:ascii="新宋体" w:hAnsi="新宋体" w:eastAsia="新宋体"/>
                      <w:color w:val="auto"/>
                      <w:szCs w:val="21"/>
                    </w:rPr>
                    <w:t>海洋生态园地设备采购</w:t>
                  </w:r>
                </w:p>
                <w:tbl>
                  <w:tblPr>
                    <w:tblStyle w:val="43"/>
                    <w:tblW w:w="8538" w:type="dxa"/>
                    <w:jc w:val="center"/>
                    <w:tblCellSpacing w:w="0" w:type="dxa"/>
                    <w:tblLayout w:type="fixed"/>
                    <w:tblCellMar>
                      <w:top w:w="0" w:type="dxa"/>
                      <w:left w:w="0" w:type="dxa"/>
                      <w:bottom w:w="0" w:type="dxa"/>
                      <w:right w:w="0" w:type="dxa"/>
                    </w:tblCellMar>
                  </w:tblPr>
                  <w:tblGrid>
                    <w:gridCol w:w="8538"/>
                  </w:tblGrid>
                  <w:tr>
                    <w:tblPrEx>
                      <w:tblCellMar>
                        <w:top w:w="0" w:type="dxa"/>
                        <w:left w:w="0" w:type="dxa"/>
                        <w:bottom w:w="0" w:type="dxa"/>
                        <w:right w:w="0" w:type="dxa"/>
                      </w:tblCellMar>
                    </w:tblPrEx>
                    <w:trPr>
                      <w:tblCellSpacing w:w="0" w:type="dxa"/>
                      <w:jc w:val="center"/>
                    </w:trPr>
                    <w:tc>
                      <w:tcPr>
                        <w:tcW w:w="8538" w:type="dxa"/>
                        <w:vAlign w:val="center"/>
                      </w:tcPr>
                      <w:p>
                        <w:pPr>
                          <w:spacing w:line="360" w:lineRule="auto"/>
                          <w:ind w:left="-1" w:leftChars="-1" w:hanging="1"/>
                          <w:jc w:val="left"/>
                          <w:rPr>
                            <w:rFonts w:ascii="新宋体" w:hAnsi="新宋体" w:eastAsia="新宋体"/>
                            <w:color w:val="auto"/>
                            <w:szCs w:val="21"/>
                          </w:rPr>
                        </w:pPr>
                        <w:r>
                          <w:rPr>
                            <w:rFonts w:hint="eastAsia" w:ascii="新宋体" w:hAnsi="新宋体" w:eastAsia="新宋体"/>
                            <w:color w:val="auto"/>
                            <w:szCs w:val="21"/>
                          </w:rPr>
                          <w:t>四、投标人资格要求：</w:t>
                        </w:r>
                      </w:p>
                      <w:p>
                        <w:pPr>
                          <w:spacing w:before="60" w:beforeLines="25" w:after="60" w:afterLines="25" w:line="360" w:lineRule="auto"/>
                          <w:ind w:firstLine="392" w:firstLineChars="187"/>
                          <w:rPr>
                            <w:rFonts w:ascii="新宋体" w:hAnsi="新宋体" w:eastAsia="新宋体"/>
                            <w:color w:val="auto"/>
                            <w:szCs w:val="21"/>
                          </w:rPr>
                        </w:pPr>
                        <w:r>
                          <w:rPr>
                            <w:rFonts w:hint="eastAsia" w:ascii="新宋体" w:hAnsi="新宋体" w:eastAsia="新宋体"/>
                            <w:color w:val="auto"/>
                            <w:szCs w:val="21"/>
                          </w:rPr>
                          <w:t>（1）具有独立法人资格或具有独立承担民事责任的能力的其它组织（提供营业执照或事业单位法人证等法人证明扫描件，原件备查）。</w:t>
                        </w:r>
                      </w:p>
                      <w:p>
                        <w:pPr>
                          <w:spacing w:before="60" w:beforeLines="25" w:after="60" w:afterLines="25" w:line="360" w:lineRule="auto"/>
                          <w:ind w:firstLine="392" w:firstLineChars="187"/>
                          <w:rPr>
                            <w:rFonts w:ascii="新宋体" w:hAnsi="新宋体" w:eastAsia="新宋体"/>
                            <w:color w:val="auto"/>
                            <w:szCs w:val="21"/>
                          </w:rPr>
                        </w:pPr>
                        <w:r>
                          <w:rPr>
                            <w:rFonts w:hint="eastAsia" w:ascii="新宋体" w:hAnsi="新宋体" w:eastAsia="新宋体"/>
                            <w:color w:val="auto"/>
                            <w:szCs w:val="21"/>
                          </w:rPr>
                          <w:t>（2）本项目不接受联合体投标，不接受投标人选用进口产品参与投标。</w:t>
                        </w:r>
                      </w:p>
                      <w:p>
                        <w:pPr>
                          <w:spacing w:before="60" w:beforeLines="25" w:after="60" w:afterLines="25" w:line="360" w:lineRule="auto"/>
                          <w:ind w:firstLine="392" w:firstLineChars="187"/>
                          <w:rPr>
                            <w:rFonts w:ascii="新宋体" w:hAnsi="新宋体" w:eastAsia="新宋体"/>
                            <w:color w:val="auto"/>
                            <w:szCs w:val="21"/>
                          </w:rPr>
                        </w:pPr>
                        <w:r>
                          <w:rPr>
                            <w:rFonts w:hint="eastAsia" w:ascii="新宋体" w:hAnsi="新宋体" w:eastAsia="新宋体"/>
                            <w:color w:val="auto"/>
                            <w:szCs w:val="21"/>
                          </w:rPr>
                          <w:t>（3）参与本项目投标前三年内，在经营活动中没有重大违法记录（由供应商在《政府采购投标及履约承诺函》中作出声明）。</w:t>
                        </w:r>
                      </w:p>
                      <w:p>
                        <w:pPr>
                          <w:spacing w:before="60" w:beforeLines="25" w:after="60" w:afterLines="25" w:line="360" w:lineRule="auto"/>
                          <w:ind w:firstLine="392" w:firstLineChars="187"/>
                          <w:rPr>
                            <w:rFonts w:ascii="新宋体" w:hAnsi="新宋体" w:eastAsia="新宋体"/>
                            <w:color w:val="auto"/>
                            <w:szCs w:val="21"/>
                          </w:rPr>
                        </w:pPr>
                        <w:r>
                          <w:rPr>
                            <w:rFonts w:hint="eastAsia" w:ascii="新宋体" w:hAnsi="新宋体" w:eastAsia="新宋体"/>
                            <w:color w:val="auto"/>
                            <w:szCs w:val="21"/>
                          </w:rPr>
                          <w:t>（4）参与本项目政府采购活动时不存在被有关部门禁止参与政府采购活动且在有效期内的情况（由供应商在《政府采购投标及履约承诺函》中作出声明）。</w:t>
                        </w:r>
                      </w:p>
                      <w:p>
                        <w:pPr>
                          <w:spacing w:before="60" w:beforeLines="25" w:after="60" w:afterLines="25" w:line="360" w:lineRule="auto"/>
                          <w:ind w:firstLine="392" w:firstLineChars="187"/>
                          <w:rPr>
                            <w:rFonts w:ascii="新宋体" w:hAnsi="新宋体" w:eastAsia="新宋体"/>
                            <w:color w:val="auto"/>
                            <w:szCs w:val="21"/>
                          </w:rPr>
                        </w:pPr>
                        <w:r>
                          <w:rPr>
                            <w:rFonts w:hint="eastAsia" w:ascii="新宋体" w:hAnsi="新宋体" w:eastAsia="新宋体"/>
                            <w:color w:val="auto"/>
                            <w:szCs w:val="21"/>
                          </w:rPr>
                          <w:t>（5）具备《中华人民共和国政府采购法》第二十二条第一款的条件（由供应商在《政府采购投标及履约承诺函》中作出声明）。</w:t>
                        </w:r>
                      </w:p>
                      <w:p>
                        <w:pPr>
                          <w:spacing w:before="60" w:beforeLines="25" w:after="60" w:afterLines="25" w:line="360" w:lineRule="auto"/>
                          <w:ind w:firstLine="392" w:firstLineChars="187"/>
                          <w:rPr>
                            <w:rFonts w:ascii="新宋体" w:hAnsi="新宋体" w:eastAsia="新宋体"/>
                            <w:color w:val="auto"/>
                            <w:szCs w:val="21"/>
                          </w:rPr>
                        </w:pPr>
                        <w:r>
                          <w:rPr>
                            <w:rFonts w:hint="eastAsia" w:ascii="新宋体" w:hAnsi="新宋体" w:eastAsia="新宋体"/>
                            <w:color w:val="auto"/>
                            <w:szCs w:val="21"/>
                          </w:rPr>
                          <w:t>（6）未被列入失信被执行人、重大税收违法案件当事人名单、政府采购严重违法失信行为记录名单（由供应商在《政府采购投标及履约承诺函》中作出声明）。</w:t>
                        </w:r>
                      </w:p>
                      <w:p>
                        <w:pPr>
                          <w:spacing w:before="60" w:beforeLines="25" w:after="60" w:afterLines="25" w:line="360" w:lineRule="auto"/>
                          <w:rPr>
                            <w:rFonts w:ascii="新宋体" w:hAnsi="新宋体" w:eastAsia="新宋体"/>
                            <w:color w:val="auto"/>
                            <w:szCs w:val="21"/>
                          </w:rPr>
                        </w:pPr>
                        <w:r>
                          <w:rPr>
                            <w:rFonts w:hint="eastAsia" w:ascii="新宋体" w:hAnsi="新宋体" w:eastAsia="新宋体"/>
                            <w:color w:val="auto"/>
                            <w:szCs w:val="21"/>
                          </w:rPr>
                          <w:t xml:space="preserve">    注：“信用中国”、“中国政府采购网”以及“深圳市政府采购监管网”为供应商信用信息的查询渠道，相关信息以中标通知书发出前的查询结果为准。 </w:t>
                        </w:r>
                      </w:p>
                      <w:p>
                        <w:pPr>
                          <w:spacing w:before="60" w:beforeLines="25" w:after="60" w:afterLines="25" w:line="360" w:lineRule="auto"/>
                          <w:rPr>
                            <w:rFonts w:ascii="新宋体" w:hAnsi="新宋体" w:eastAsia="新宋体"/>
                            <w:color w:val="auto"/>
                            <w:szCs w:val="21"/>
                          </w:rPr>
                        </w:pPr>
                        <w:r>
                          <w:rPr>
                            <w:rFonts w:hint="eastAsia" w:ascii="新宋体" w:hAnsi="新宋体" w:eastAsia="新宋体"/>
                            <w:color w:val="auto"/>
                            <w:szCs w:val="21"/>
                          </w:rPr>
                          <w:t xml:space="preserve">   备注：如联合体投标，投标人还必须提供《联合体投标协议》（格式自定），《联合体投标协议》须明确牵头人，并载明联合体各方承担的工作和义务。</w:t>
                        </w:r>
                      </w:p>
                      <w:p>
                        <w:pPr>
                          <w:spacing w:before="60" w:beforeLines="25" w:after="60" w:afterLines="25" w:line="360" w:lineRule="auto"/>
                          <w:ind w:firstLine="420" w:firstLineChars="200"/>
                          <w:rPr>
                            <w:rFonts w:ascii="新宋体" w:hAnsi="新宋体" w:eastAsia="新宋体"/>
                            <w:color w:val="auto"/>
                            <w:szCs w:val="21"/>
                          </w:rPr>
                        </w:pPr>
                        <w:r>
                          <w:rPr>
                            <w:rFonts w:hint="eastAsia" w:ascii="新宋体" w:hAnsi="新宋体" w:eastAsia="新宋体"/>
                            <w:color w:val="auto"/>
                            <w:szCs w:val="21"/>
                          </w:rPr>
                          <w:t>（7）</w:t>
                        </w:r>
                        <w:r>
                          <w:rPr>
                            <w:rFonts w:hint="eastAsia" w:ascii="宋体" w:hAnsi="宋体"/>
                            <w:color w:val="auto"/>
                            <w:szCs w:val="21"/>
                          </w:rPr>
                          <w:t>投标人必须先行注册为深圳市政府采购中心的供应商（供应商注册网网址：http://www.cgzx.sz.gov.cn/），具有独立法人资格，不接受分公司或者分支机构参与投标</w:t>
                        </w:r>
                        <w:r>
                          <w:rPr>
                            <w:rFonts w:hint="eastAsia" w:ascii="宋体" w:hAnsi="宋体"/>
                            <w:b/>
                            <w:color w:val="auto"/>
                            <w:szCs w:val="21"/>
                          </w:rPr>
                          <w:t>（须提供加盖公章的营业执照复印件及供应商注册信息网页截图或深圳市政府采购供应商注册卡复印件）</w:t>
                        </w:r>
                      </w:p>
                      <w:p>
                        <w:pPr>
                          <w:spacing w:line="360" w:lineRule="auto"/>
                          <w:ind w:firstLine="420" w:firstLineChars="200"/>
                          <w:rPr>
                            <w:color w:val="auto"/>
                          </w:rPr>
                        </w:pPr>
                      </w:p>
                    </w:tc>
                  </w:tr>
                </w:tbl>
                <w:p>
                  <w:pPr>
                    <w:keepNext/>
                    <w:keepLines/>
                    <w:spacing w:before="260" w:after="260" w:line="360" w:lineRule="auto"/>
                    <w:outlineLvl w:val="2"/>
                    <w:rPr>
                      <w:rFonts w:ascii="新宋体" w:hAnsi="新宋体" w:eastAsia="新宋体"/>
                      <w:b/>
                      <w:bCs/>
                      <w:color w:val="auto"/>
                      <w:szCs w:val="21"/>
                    </w:rPr>
                  </w:pPr>
                  <w:r>
                    <w:rPr>
                      <w:rFonts w:ascii="新宋体" w:hAnsi="新宋体" w:eastAsia="新宋体"/>
                      <w:b/>
                      <w:bCs/>
                      <w:color w:val="auto"/>
                      <w:szCs w:val="21"/>
                    </w:rPr>
                    <w:t>五、采购预算：</w:t>
                  </w:r>
                </w:p>
                <w:tbl>
                  <w:tblPr>
                    <w:tblStyle w:val="43"/>
                    <w:tblW w:w="8579" w:type="dxa"/>
                    <w:jc w:val="center"/>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Layout w:type="fixed"/>
                    <w:tblCellMar>
                      <w:top w:w="60" w:type="dxa"/>
                      <w:left w:w="60" w:type="dxa"/>
                      <w:bottom w:w="60" w:type="dxa"/>
                      <w:right w:w="60" w:type="dxa"/>
                    </w:tblCellMar>
                  </w:tblPr>
                  <w:tblGrid>
                    <w:gridCol w:w="1886"/>
                    <w:gridCol w:w="2776"/>
                    <w:gridCol w:w="2327"/>
                    <w:gridCol w:w="850"/>
                    <w:gridCol w:w="740"/>
                  </w:tblGrid>
                  <w:tr>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rPr>
                      <w:jc w:val="center"/>
                    </w:trPr>
                    <w:tc>
                      <w:tcPr>
                        <w:tcW w:w="1886" w:type="dxa"/>
                        <w:tcBorders>
                          <w:top w:val="outset" w:color="AAAAAA" w:sz="6" w:space="0"/>
                          <w:left w:val="outset" w:color="AAAAAA" w:sz="6" w:space="0"/>
                          <w:bottom w:val="outset" w:color="AAAAAA" w:sz="6" w:space="0"/>
                          <w:right w:val="outset" w:color="AAAAAA" w:sz="6" w:space="0"/>
                        </w:tcBorders>
                        <w:shd w:val="clear" w:color="auto" w:fill="ABCDEF"/>
                        <w:vAlign w:val="center"/>
                      </w:tcPr>
                      <w:p>
                        <w:pPr>
                          <w:spacing w:line="360" w:lineRule="auto"/>
                          <w:jc w:val="center"/>
                          <w:rPr>
                            <w:rFonts w:ascii="新宋体" w:hAnsi="新宋体" w:eastAsia="新宋体"/>
                            <w:color w:val="auto"/>
                            <w:szCs w:val="21"/>
                          </w:rPr>
                        </w:pPr>
                        <w:r>
                          <w:rPr>
                            <w:rFonts w:ascii="新宋体" w:hAnsi="新宋体" w:eastAsia="新宋体"/>
                            <w:color w:val="auto"/>
                            <w:szCs w:val="21"/>
                          </w:rPr>
                          <w:t>采购条目流水号</w:t>
                        </w:r>
                      </w:p>
                    </w:tc>
                    <w:tc>
                      <w:tcPr>
                        <w:tcW w:w="2776" w:type="dxa"/>
                        <w:tcBorders>
                          <w:top w:val="outset" w:color="AAAAAA" w:sz="6" w:space="0"/>
                          <w:left w:val="outset" w:color="AAAAAA" w:sz="6" w:space="0"/>
                          <w:bottom w:val="outset" w:color="AAAAAA" w:sz="6" w:space="0"/>
                          <w:right w:val="outset" w:color="AAAAAA" w:sz="6" w:space="0"/>
                        </w:tcBorders>
                        <w:shd w:val="clear" w:color="auto" w:fill="ABCDEF"/>
                        <w:vAlign w:val="center"/>
                      </w:tcPr>
                      <w:p>
                        <w:pPr>
                          <w:spacing w:line="360" w:lineRule="auto"/>
                          <w:jc w:val="center"/>
                          <w:rPr>
                            <w:rFonts w:ascii="新宋体" w:hAnsi="新宋体" w:eastAsia="新宋体"/>
                            <w:color w:val="auto"/>
                            <w:szCs w:val="21"/>
                          </w:rPr>
                        </w:pPr>
                        <w:r>
                          <w:rPr>
                            <w:rFonts w:ascii="新宋体" w:hAnsi="新宋体" w:eastAsia="新宋体"/>
                            <w:color w:val="auto"/>
                            <w:szCs w:val="21"/>
                          </w:rPr>
                          <w:t>采购品名</w:t>
                        </w:r>
                      </w:p>
                    </w:tc>
                    <w:tc>
                      <w:tcPr>
                        <w:tcW w:w="2327" w:type="dxa"/>
                        <w:tcBorders>
                          <w:top w:val="outset" w:color="AAAAAA" w:sz="6" w:space="0"/>
                          <w:left w:val="outset" w:color="AAAAAA" w:sz="6" w:space="0"/>
                          <w:bottom w:val="outset" w:color="AAAAAA" w:sz="6" w:space="0"/>
                          <w:right w:val="outset" w:color="AAAAAA" w:sz="6" w:space="0"/>
                        </w:tcBorders>
                        <w:shd w:val="clear" w:color="auto" w:fill="ABCDEF"/>
                        <w:vAlign w:val="center"/>
                      </w:tcPr>
                      <w:p>
                        <w:pPr>
                          <w:spacing w:line="360" w:lineRule="auto"/>
                          <w:jc w:val="center"/>
                          <w:rPr>
                            <w:rFonts w:ascii="新宋体" w:hAnsi="新宋体" w:eastAsia="新宋体"/>
                            <w:color w:val="auto"/>
                            <w:szCs w:val="21"/>
                          </w:rPr>
                        </w:pPr>
                        <w:r>
                          <w:rPr>
                            <w:rFonts w:ascii="新宋体" w:hAnsi="新宋体" w:eastAsia="新宋体"/>
                            <w:color w:val="auto"/>
                            <w:szCs w:val="21"/>
                          </w:rPr>
                          <w:t>预算金额（单位：元）</w:t>
                        </w:r>
                      </w:p>
                    </w:tc>
                    <w:tc>
                      <w:tcPr>
                        <w:tcW w:w="850" w:type="dxa"/>
                        <w:tcBorders>
                          <w:top w:val="outset" w:color="AAAAAA" w:sz="6" w:space="0"/>
                          <w:left w:val="outset" w:color="AAAAAA" w:sz="6" w:space="0"/>
                          <w:bottom w:val="outset" w:color="AAAAAA" w:sz="6" w:space="0"/>
                          <w:right w:val="outset" w:color="AAAAAA" w:sz="6" w:space="0"/>
                        </w:tcBorders>
                        <w:shd w:val="clear" w:color="auto" w:fill="ABCDEF"/>
                        <w:vAlign w:val="center"/>
                      </w:tcPr>
                      <w:p>
                        <w:pPr>
                          <w:spacing w:line="360" w:lineRule="auto"/>
                          <w:jc w:val="center"/>
                          <w:rPr>
                            <w:rFonts w:ascii="新宋体" w:hAnsi="新宋体" w:eastAsia="新宋体"/>
                            <w:color w:val="auto"/>
                            <w:szCs w:val="21"/>
                          </w:rPr>
                        </w:pPr>
                        <w:r>
                          <w:rPr>
                            <w:rFonts w:ascii="新宋体" w:hAnsi="新宋体" w:eastAsia="新宋体"/>
                            <w:color w:val="auto"/>
                            <w:szCs w:val="21"/>
                          </w:rPr>
                          <w:t>数量</w:t>
                        </w:r>
                      </w:p>
                    </w:tc>
                    <w:tc>
                      <w:tcPr>
                        <w:tcW w:w="740" w:type="dxa"/>
                        <w:tcBorders>
                          <w:top w:val="outset" w:color="AAAAAA" w:sz="6" w:space="0"/>
                          <w:left w:val="outset" w:color="AAAAAA" w:sz="6" w:space="0"/>
                          <w:bottom w:val="outset" w:color="AAAAAA" w:sz="6" w:space="0"/>
                          <w:right w:val="outset" w:color="AAAAAA" w:sz="6" w:space="0"/>
                        </w:tcBorders>
                        <w:shd w:val="clear" w:color="auto" w:fill="ABCDEF"/>
                        <w:vAlign w:val="center"/>
                      </w:tcPr>
                      <w:p>
                        <w:pPr>
                          <w:spacing w:line="360" w:lineRule="auto"/>
                          <w:jc w:val="center"/>
                          <w:rPr>
                            <w:rFonts w:ascii="新宋体" w:hAnsi="新宋体" w:eastAsia="新宋体"/>
                            <w:color w:val="auto"/>
                            <w:szCs w:val="21"/>
                          </w:rPr>
                        </w:pPr>
                        <w:r>
                          <w:rPr>
                            <w:rFonts w:ascii="新宋体" w:hAnsi="新宋体" w:eastAsia="新宋体"/>
                            <w:color w:val="auto"/>
                            <w:szCs w:val="21"/>
                          </w:rPr>
                          <w:t>单位</w:t>
                        </w:r>
                      </w:p>
                    </w:tc>
                  </w:tr>
                  <w:tr>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rPr>
                      <w:jc w:val="center"/>
                    </w:trPr>
                    <w:tc>
                      <w:tcPr>
                        <w:tcW w:w="1886" w:type="dxa"/>
                        <w:tcBorders>
                          <w:top w:val="outset" w:color="AAAAAA" w:sz="6" w:space="0"/>
                          <w:left w:val="outset" w:color="AAAAAA" w:sz="6" w:space="0"/>
                          <w:bottom w:val="outset" w:color="AAAAAA" w:sz="6" w:space="0"/>
                          <w:right w:val="outset" w:color="AAAAAA" w:sz="6" w:space="0"/>
                        </w:tcBorders>
                        <w:vAlign w:val="center"/>
                      </w:tcPr>
                      <w:p>
                        <w:pPr>
                          <w:spacing w:line="360" w:lineRule="auto"/>
                          <w:jc w:val="center"/>
                          <w:rPr>
                            <w:rFonts w:ascii="新宋体" w:hAnsi="新宋体" w:eastAsia="新宋体"/>
                            <w:color w:val="auto"/>
                            <w:szCs w:val="21"/>
                          </w:rPr>
                        </w:pPr>
                        <w:r>
                          <w:rPr>
                            <w:rFonts w:hint="eastAsia" w:ascii="新宋体" w:hAnsi="新宋体" w:eastAsia="新宋体"/>
                            <w:color w:val="auto"/>
                            <w:szCs w:val="21"/>
                          </w:rPr>
                          <w:t>950182874</w:t>
                        </w:r>
                      </w:p>
                    </w:tc>
                    <w:tc>
                      <w:tcPr>
                        <w:tcW w:w="2776" w:type="dxa"/>
                        <w:tcBorders>
                          <w:top w:val="outset" w:color="AAAAAA" w:sz="6" w:space="0"/>
                          <w:left w:val="outset" w:color="AAAAAA" w:sz="6" w:space="0"/>
                          <w:bottom w:val="outset" w:color="AAAAAA" w:sz="6" w:space="0"/>
                          <w:right w:val="outset" w:color="AAAAAA" w:sz="6" w:space="0"/>
                        </w:tcBorders>
                        <w:vAlign w:val="center"/>
                      </w:tcPr>
                      <w:p>
                        <w:pPr>
                          <w:spacing w:line="360" w:lineRule="auto"/>
                          <w:jc w:val="center"/>
                          <w:rPr>
                            <w:rFonts w:ascii="新宋体" w:hAnsi="新宋体" w:eastAsia="新宋体"/>
                            <w:color w:val="auto"/>
                            <w:szCs w:val="21"/>
                          </w:rPr>
                        </w:pPr>
                        <w:r>
                          <w:rPr>
                            <w:rFonts w:hint="eastAsia" w:ascii="新宋体" w:hAnsi="新宋体" w:eastAsia="新宋体"/>
                            <w:color w:val="auto"/>
                            <w:szCs w:val="21"/>
                          </w:rPr>
                          <w:t>海洋生态园地设备采购</w:t>
                        </w:r>
                      </w:p>
                    </w:tc>
                    <w:tc>
                      <w:tcPr>
                        <w:tcW w:w="2327" w:type="dxa"/>
                        <w:tcBorders>
                          <w:top w:val="outset" w:color="AAAAAA" w:sz="6" w:space="0"/>
                          <w:left w:val="outset" w:color="AAAAAA" w:sz="6" w:space="0"/>
                          <w:bottom w:val="outset" w:color="AAAAAA" w:sz="6" w:space="0"/>
                          <w:right w:val="outset" w:color="AAAAAA" w:sz="6" w:space="0"/>
                        </w:tcBorders>
                        <w:vAlign w:val="center"/>
                      </w:tcPr>
                      <w:p>
                        <w:pPr>
                          <w:spacing w:line="360" w:lineRule="auto"/>
                          <w:jc w:val="center"/>
                          <w:rPr>
                            <w:rFonts w:ascii="新宋体" w:hAnsi="新宋体" w:eastAsia="新宋体"/>
                            <w:color w:val="auto"/>
                            <w:szCs w:val="21"/>
                          </w:rPr>
                        </w:pPr>
                        <w:r>
                          <w:rPr>
                            <w:rFonts w:hint="eastAsia" w:ascii="新宋体" w:hAnsi="新宋体" w:eastAsia="新宋体"/>
                            <w:color w:val="auto"/>
                            <w:szCs w:val="21"/>
                          </w:rPr>
                          <w:t>800,000.00</w:t>
                        </w:r>
                      </w:p>
                    </w:tc>
                    <w:tc>
                      <w:tcPr>
                        <w:tcW w:w="850" w:type="dxa"/>
                        <w:tcBorders>
                          <w:top w:val="outset" w:color="AAAAAA" w:sz="6" w:space="0"/>
                          <w:left w:val="outset" w:color="AAAAAA" w:sz="6" w:space="0"/>
                          <w:bottom w:val="outset" w:color="AAAAAA" w:sz="6" w:space="0"/>
                          <w:right w:val="outset" w:color="AAAAAA" w:sz="6" w:space="0"/>
                        </w:tcBorders>
                        <w:vAlign w:val="center"/>
                      </w:tcPr>
                      <w:p>
                        <w:pPr>
                          <w:spacing w:line="360" w:lineRule="auto"/>
                          <w:jc w:val="center"/>
                          <w:rPr>
                            <w:rFonts w:ascii="新宋体" w:hAnsi="新宋体" w:eastAsia="新宋体"/>
                            <w:color w:val="auto"/>
                            <w:szCs w:val="21"/>
                          </w:rPr>
                        </w:pPr>
                        <w:r>
                          <w:rPr>
                            <w:rFonts w:hint="eastAsia" w:ascii="新宋体" w:hAnsi="新宋体" w:eastAsia="新宋体"/>
                            <w:color w:val="auto"/>
                            <w:szCs w:val="21"/>
                          </w:rPr>
                          <w:t>1</w:t>
                        </w:r>
                      </w:p>
                    </w:tc>
                    <w:tc>
                      <w:tcPr>
                        <w:tcW w:w="740" w:type="dxa"/>
                        <w:tcBorders>
                          <w:top w:val="outset" w:color="AAAAAA" w:sz="6" w:space="0"/>
                          <w:left w:val="outset" w:color="AAAAAA" w:sz="6" w:space="0"/>
                          <w:bottom w:val="outset" w:color="AAAAAA" w:sz="6" w:space="0"/>
                          <w:right w:val="outset" w:color="AAAAAA" w:sz="6" w:space="0"/>
                        </w:tcBorders>
                        <w:vAlign w:val="center"/>
                      </w:tcPr>
                      <w:p>
                        <w:pPr>
                          <w:spacing w:line="360" w:lineRule="auto"/>
                          <w:jc w:val="center"/>
                          <w:rPr>
                            <w:rFonts w:ascii="新宋体" w:hAnsi="新宋体" w:eastAsia="新宋体"/>
                            <w:color w:val="auto"/>
                            <w:szCs w:val="21"/>
                          </w:rPr>
                        </w:pPr>
                        <w:r>
                          <w:rPr>
                            <w:rFonts w:hint="eastAsia" w:ascii="新宋体" w:hAnsi="新宋体" w:eastAsia="新宋体"/>
                            <w:color w:val="auto"/>
                            <w:szCs w:val="21"/>
                          </w:rPr>
                          <w:t>项</w:t>
                        </w:r>
                      </w:p>
                    </w:tc>
                  </w:tr>
                  <w:tr>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rPr>
                      <w:jc w:val="center"/>
                    </w:trPr>
                    <w:tc>
                      <w:tcPr>
                        <w:tcW w:w="8579" w:type="dxa"/>
                        <w:gridSpan w:val="5"/>
                        <w:tcBorders>
                          <w:top w:val="outset" w:color="AAAAAA" w:sz="6" w:space="0"/>
                          <w:left w:val="outset" w:color="AAAAAA" w:sz="6" w:space="0"/>
                          <w:bottom w:val="outset" w:color="AAAAAA" w:sz="6" w:space="0"/>
                          <w:right w:val="outset" w:color="AAAAAA" w:sz="6" w:space="0"/>
                        </w:tcBorders>
                        <w:vAlign w:val="center"/>
                      </w:tcPr>
                      <w:p>
                        <w:pPr>
                          <w:spacing w:line="360" w:lineRule="auto"/>
                          <w:rPr>
                            <w:rFonts w:ascii="新宋体" w:hAnsi="新宋体" w:eastAsia="新宋体" w:cs="宋体"/>
                            <w:color w:val="auto"/>
                            <w:szCs w:val="21"/>
                          </w:rPr>
                        </w:pPr>
                        <w:r>
                          <w:rPr>
                            <w:rFonts w:ascii="新宋体" w:hAnsi="新宋体" w:eastAsia="新宋体"/>
                            <w:color w:val="auto"/>
                            <w:szCs w:val="21"/>
                          </w:rPr>
                          <w:t>合计</w:t>
                        </w:r>
                        <w:r>
                          <w:rPr>
                            <w:rFonts w:hint="eastAsia" w:ascii="新宋体" w:hAnsi="新宋体" w:eastAsia="新宋体"/>
                            <w:color w:val="auto"/>
                            <w:szCs w:val="21"/>
                            <w:lang w:eastAsia="zh-CN"/>
                          </w:rPr>
                          <w:t>：</w:t>
                        </w:r>
                        <w:r>
                          <w:rPr>
                            <w:rFonts w:hint="eastAsia" w:ascii="新宋体" w:hAnsi="新宋体" w:eastAsia="新宋体"/>
                            <w:color w:val="auto"/>
                            <w:szCs w:val="21"/>
                            <w:lang w:val="en-US" w:eastAsia="zh-CN"/>
                          </w:rPr>
                          <w:t>人民币捌拾万元</w:t>
                        </w:r>
                        <w:r>
                          <w:rPr>
                            <w:rFonts w:ascii="新宋体" w:hAnsi="新宋体" w:eastAsia="新宋体"/>
                            <w:color w:val="auto"/>
                            <w:szCs w:val="21"/>
                          </w:rPr>
                          <w:t>（单位：</w:t>
                        </w:r>
                        <w:r>
                          <w:rPr>
                            <w:rFonts w:hint="eastAsia" w:ascii="新宋体" w:hAnsi="新宋体" w:eastAsia="新宋体"/>
                            <w:color w:val="auto"/>
                            <w:szCs w:val="21"/>
                            <w:lang w:val="en-US" w:eastAsia="zh-CN"/>
                          </w:rPr>
                          <w:t>8</w:t>
                        </w:r>
                        <w:r>
                          <w:rPr>
                            <w:rFonts w:hint="eastAsia" w:ascii="新宋体" w:hAnsi="新宋体" w:eastAsia="新宋体"/>
                            <w:color w:val="auto"/>
                            <w:szCs w:val="21"/>
                          </w:rPr>
                          <w:t>0</w:t>
                        </w:r>
                        <w:r>
                          <w:rPr>
                            <w:rFonts w:ascii="新宋体" w:hAnsi="新宋体" w:eastAsia="新宋体"/>
                            <w:color w:val="auto"/>
                            <w:szCs w:val="21"/>
                          </w:rPr>
                          <w:t>0</w:t>
                        </w:r>
                        <w:r>
                          <w:rPr>
                            <w:rFonts w:hint="eastAsia" w:ascii="新宋体" w:hAnsi="新宋体" w:eastAsia="新宋体"/>
                            <w:color w:val="auto"/>
                            <w:szCs w:val="21"/>
                          </w:rPr>
                          <w:t>,</w:t>
                        </w:r>
                        <w:r>
                          <w:rPr>
                            <w:rFonts w:ascii="新宋体" w:hAnsi="新宋体" w:eastAsia="新宋体"/>
                            <w:color w:val="auto"/>
                            <w:szCs w:val="21"/>
                          </w:rPr>
                          <w:t>000</w:t>
                        </w:r>
                        <w:r>
                          <w:rPr>
                            <w:rFonts w:hint="eastAsia" w:ascii="新宋体" w:hAnsi="新宋体" w:eastAsia="新宋体"/>
                            <w:color w:val="auto"/>
                            <w:szCs w:val="21"/>
                          </w:rPr>
                          <w:t>.00</w:t>
                        </w:r>
                        <w:r>
                          <w:rPr>
                            <w:rFonts w:ascii="新宋体" w:hAnsi="新宋体" w:eastAsia="新宋体"/>
                            <w:color w:val="auto"/>
                            <w:szCs w:val="21"/>
                          </w:rPr>
                          <w:t>元）</w:t>
                        </w:r>
                      </w:p>
                    </w:tc>
                  </w:tr>
                </w:tbl>
                <w:p>
                  <w:pPr>
                    <w:keepNext/>
                    <w:keepLines/>
                    <w:spacing w:before="260" w:after="260" w:line="360" w:lineRule="auto"/>
                    <w:outlineLvl w:val="2"/>
                    <w:rPr>
                      <w:rFonts w:ascii="新宋体" w:hAnsi="新宋体" w:eastAsia="新宋体"/>
                      <w:b/>
                      <w:bCs/>
                      <w:color w:val="auto"/>
                      <w:szCs w:val="21"/>
                    </w:rPr>
                  </w:pPr>
                  <w:r>
                    <w:rPr>
                      <w:rFonts w:ascii="新宋体" w:hAnsi="新宋体" w:eastAsia="新宋体"/>
                      <w:b/>
                      <w:bCs/>
                      <w:color w:val="auto"/>
                      <w:szCs w:val="21"/>
                    </w:rPr>
                    <w:t>六、采购项目需要落实的政府采购政策：</w:t>
                  </w:r>
                  <w:r>
                    <w:rPr>
                      <w:rFonts w:hint="eastAsia" w:ascii="新宋体" w:hAnsi="新宋体" w:eastAsia="新宋体"/>
                      <w:bCs/>
                      <w:color w:val="auto"/>
                      <w:szCs w:val="21"/>
                    </w:rPr>
                    <w:t>根据《政府采购促进中小企业发展管理办法》（财库﹝2020﹞46 号）《关于政府采购支持监狱企业发展有关问题的通知》(财库〔2014〕68号)《关于促进残疾人就业政府采购政策的通知》（财库〔2017〕141号)《关于环境标志产品政府采购实施的意见》（财库〔2006〕90号）《国务院办公厅关于建立政府强制采购节能产品制度的通知》（国办发〔2007〕51号）《节能产品政府采购实施意见》的通知（财库〔2004〕185号）《关于印发节能产品政府采购品目清单的通知》（财库〔2019〕19号）《关于印发环境标志产品政府采购品目清单的通知》（财库〔2019〕18号）《财政部 发展改革委 生态环境部 市场监管总局 关于调整优化节能产品、环境标志产品政府采购机制的通知》（财库〔2019〕9号）。</w:t>
                  </w:r>
                </w:p>
                <w:p>
                  <w:pPr>
                    <w:keepNext/>
                    <w:keepLines/>
                    <w:spacing w:before="260" w:after="260" w:line="360" w:lineRule="auto"/>
                    <w:outlineLvl w:val="2"/>
                    <w:rPr>
                      <w:rFonts w:ascii="新宋体" w:hAnsi="新宋体" w:eastAsia="新宋体"/>
                      <w:b/>
                      <w:bCs/>
                      <w:color w:val="auto"/>
                      <w:szCs w:val="21"/>
                    </w:rPr>
                  </w:pPr>
                  <w:r>
                    <w:rPr>
                      <w:rFonts w:ascii="新宋体" w:hAnsi="新宋体" w:eastAsia="新宋体"/>
                      <w:b/>
                      <w:bCs/>
                      <w:color w:val="auto"/>
                      <w:szCs w:val="21"/>
                    </w:rPr>
                    <w:t>七、投标与开标注意事项：</w:t>
                  </w:r>
                </w:p>
                <w:p>
                  <w:pPr>
                    <w:widowControl/>
                    <w:numPr>
                      <w:ilvl w:val="0"/>
                      <w:numId w:val="7"/>
                    </w:numPr>
                    <w:tabs>
                      <w:tab w:val="left" w:pos="360"/>
                    </w:tabs>
                    <w:spacing w:before="100" w:beforeAutospacing="1" w:after="100" w:afterAutospacing="1" w:line="360" w:lineRule="auto"/>
                    <w:ind w:left="0" w:firstLine="32"/>
                    <w:jc w:val="left"/>
                    <w:rPr>
                      <w:rFonts w:ascii="新宋体" w:hAnsi="新宋体" w:eastAsia="新宋体"/>
                      <w:color w:val="auto"/>
                      <w:szCs w:val="21"/>
                    </w:rPr>
                  </w:pPr>
                  <w:r>
                    <w:rPr>
                      <w:rFonts w:ascii="新宋体" w:hAnsi="新宋体" w:eastAsia="新宋体"/>
                      <w:color w:val="auto"/>
                      <w:szCs w:val="21"/>
                    </w:rPr>
                    <w:t xml:space="preserve">本项目实行网上投标，采用电子投标文件。 </w:t>
                  </w:r>
                </w:p>
                <w:p>
                  <w:pPr>
                    <w:widowControl/>
                    <w:numPr>
                      <w:ilvl w:val="0"/>
                      <w:numId w:val="7"/>
                    </w:numPr>
                    <w:tabs>
                      <w:tab w:val="left" w:pos="360"/>
                    </w:tabs>
                    <w:spacing w:before="100" w:beforeAutospacing="1" w:after="100" w:afterAutospacing="1" w:line="360" w:lineRule="auto"/>
                    <w:ind w:left="426"/>
                    <w:jc w:val="left"/>
                    <w:rPr>
                      <w:rFonts w:ascii="新宋体" w:hAnsi="新宋体" w:eastAsia="新宋体"/>
                      <w:color w:val="auto"/>
                      <w:szCs w:val="21"/>
                    </w:rPr>
                  </w:pPr>
                  <w:r>
                    <w:rPr>
                      <w:rFonts w:ascii="新宋体" w:hAnsi="新宋体" w:eastAsia="新宋体"/>
                      <w:color w:val="auto"/>
                      <w:szCs w:val="21"/>
                    </w:rPr>
                    <w:t xml:space="preserve">标书获得方法 </w:t>
                  </w:r>
                  <w:r>
                    <w:rPr>
                      <w:rFonts w:hint="eastAsia" w:ascii="新宋体" w:hAnsi="新宋体" w:eastAsia="新宋体"/>
                      <w:color w:val="auto"/>
                      <w:szCs w:val="21"/>
                    </w:rPr>
                    <w:t>：凡已注册的深圳市网上政府采购供应商，按照授予的操作权限，可于202</w:t>
                  </w:r>
                  <w:r>
                    <w:rPr>
                      <w:rFonts w:hint="eastAsia" w:ascii="新宋体" w:hAnsi="新宋体" w:eastAsia="新宋体"/>
                      <w:color w:val="auto"/>
                      <w:szCs w:val="21"/>
                      <w:lang w:val="en-US" w:eastAsia="zh-CN"/>
                    </w:rPr>
                    <w:t>1</w:t>
                  </w:r>
                  <w:r>
                    <w:rPr>
                      <w:rFonts w:hint="eastAsia" w:ascii="新宋体" w:hAnsi="新宋体" w:eastAsia="新宋体"/>
                      <w:color w:val="auto"/>
                      <w:szCs w:val="21"/>
                    </w:rPr>
                    <w:t>年</w:t>
                  </w:r>
                  <w:r>
                    <w:rPr>
                      <w:rFonts w:hint="eastAsia" w:ascii="新宋体" w:hAnsi="新宋体" w:eastAsia="新宋体"/>
                      <w:color w:val="auto"/>
                      <w:szCs w:val="21"/>
                      <w:lang w:val="en-US" w:eastAsia="zh-CN"/>
                    </w:rPr>
                    <w:t>08</w:t>
                  </w:r>
                  <w:r>
                    <w:rPr>
                      <w:rFonts w:hint="eastAsia" w:ascii="新宋体" w:hAnsi="新宋体" w:eastAsia="新宋体"/>
                      <w:color w:val="auto"/>
                      <w:szCs w:val="21"/>
                    </w:rPr>
                    <w:t>月</w:t>
                  </w:r>
                  <w:r>
                    <w:rPr>
                      <w:rFonts w:hint="eastAsia" w:ascii="新宋体" w:hAnsi="新宋体" w:eastAsia="新宋体"/>
                      <w:color w:val="auto"/>
                      <w:szCs w:val="21"/>
                      <w:lang w:val="en-US" w:eastAsia="zh-CN"/>
                    </w:rPr>
                    <w:t>04</w:t>
                  </w:r>
                  <w:r>
                    <w:rPr>
                      <w:rFonts w:hint="eastAsia" w:ascii="新宋体" w:hAnsi="新宋体" w:eastAsia="新宋体"/>
                      <w:color w:val="auto"/>
                      <w:szCs w:val="21"/>
                    </w:rPr>
                    <w:t>日 09:00至202</w:t>
                  </w:r>
                  <w:r>
                    <w:rPr>
                      <w:rFonts w:hint="eastAsia" w:ascii="新宋体" w:hAnsi="新宋体" w:eastAsia="新宋体"/>
                      <w:color w:val="auto"/>
                      <w:szCs w:val="21"/>
                      <w:lang w:val="en-US" w:eastAsia="zh-CN"/>
                    </w:rPr>
                    <w:t>1</w:t>
                  </w:r>
                  <w:r>
                    <w:rPr>
                      <w:rFonts w:hint="eastAsia" w:ascii="新宋体" w:hAnsi="新宋体" w:eastAsia="新宋体"/>
                      <w:color w:val="auto"/>
                      <w:szCs w:val="21"/>
                    </w:rPr>
                    <w:t>年</w:t>
                  </w:r>
                  <w:r>
                    <w:rPr>
                      <w:rFonts w:hint="eastAsia" w:ascii="新宋体" w:hAnsi="新宋体" w:eastAsia="新宋体"/>
                      <w:color w:val="auto"/>
                      <w:szCs w:val="21"/>
                      <w:lang w:val="en-US" w:eastAsia="zh-CN"/>
                    </w:rPr>
                    <w:t>08</w:t>
                  </w:r>
                  <w:r>
                    <w:rPr>
                      <w:rFonts w:hint="eastAsia" w:ascii="新宋体" w:hAnsi="新宋体" w:eastAsia="新宋体"/>
                      <w:color w:val="auto"/>
                      <w:szCs w:val="21"/>
                    </w:rPr>
                    <w:t>月</w:t>
                  </w:r>
                  <w:r>
                    <w:rPr>
                      <w:rFonts w:hint="eastAsia" w:ascii="新宋体" w:hAnsi="新宋体" w:eastAsia="新宋体"/>
                      <w:color w:val="auto"/>
                      <w:szCs w:val="21"/>
                      <w:lang w:val="en-US" w:eastAsia="zh-CN"/>
                    </w:rPr>
                    <w:t>15</w:t>
                  </w:r>
                  <w:r>
                    <w:rPr>
                      <w:rFonts w:hint="eastAsia" w:ascii="新宋体" w:hAnsi="新宋体" w:eastAsia="新宋体"/>
                      <w:color w:val="auto"/>
                      <w:szCs w:val="21"/>
                    </w:rPr>
                    <w:t>日17:30时期间登录深圳公共资源交易中心市区政府采购统一平台（www.szzfcg.cn）下载本项目的招标文件。投标人如确定参加投标，首先要在深圳公共资源交易中心网上报名投标，方法为登录深圳公共资源交易中心网后在右上角进入“深圳社会代理机构系统”，点击“应标管理→投标响应”或“应标管理→确认邀请”；如果网上报名后又不参加投标，应再到【应标管理】→【投标响应】功能点中点击“撤销响应”；如果网上报名后上传了投标文件，又不参加投标，应再到【应标管理】→【上传投标文件】功能点中进行“撤标”操作；如果是未注册为深圳政府采购的供应商，请访问深圳公共资源交易中心网站,先办理注册手续，再进行投标报名。在网上报名后，点击“应标管理→下载招标文件”进行招标文件的下载。</w:t>
                  </w:r>
                </w:p>
                <w:p>
                  <w:pPr>
                    <w:widowControl/>
                    <w:numPr>
                      <w:ilvl w:val="0"/>
                      <w:numId w:val="7"/>
                    </w:numPr>
                    <w:tabs>
                      <w:tab w:val="left" w:pos="360"/>
                    </w:tabs>
                    <w:spacing w:before="100" w:beforeAutospacing="1" w:after="100" w:afterAutospacing="1" w:line="360" w:lineRule="auto"/>
                    <w:ind w:left="426"/>
                    <w:jc w:val="left"/>
                    <w:rPr>
                      <w:rFonts w:ascii="新宋体" w:hAnsi="新宋体" w:eastAsia="新宋体"/>
                      <w:color w:val="auto"/>
                      <w:szCs w:val="21"/>
                    </w:rPr>
                  </w:pPr>
                  <w:r>
                    <w:rPr>
                      <w:rFonts w:ascii="新宋体" w:hAnsi="新宋体" w:eastAsia="新宋体"/>
                      <w:color w:val="auto"/>
                      <w:szCs w:val="21"/>
                    </w:rPr>
                    <w:t>答疑事项</w:t>
                  </w:r>
                  <w:r>
                    <w:rPr>
                      <w:rFonts w:hint="eastAsia" w:ascii="新宋体" w:hAnsi="新宋体" w:eastAsia="新宋体"/>
                      <w:color w:val="auto"/>
                      <w:szCs w:val="21"/>
                    </w:rPr>
                    <w:t>：202</w:t>
                  </w:r>
                  <w:r>
                    <w:rPr>
                      <w:rFonts w:hint="eastAsia" w:ascii="新宋体" w:hAnsi="新宋体" w:eastAsia="新宋体"/>
                      <w:color w:val="auto"/>
                      <w:szCs w:val="21"/>
                      <w:lang w:val="en-US" w:eastAsia="zh-CN"/>
                    </w:rPr>
                    <w:t>1</w:t>
                  </w:r>
                  <w:r>
                    <w:rPr>
                      <w:rFonts w:hint="eastAsia" w:ascii="新宋体" w:hAnsi="新宋体" w:eastAsia="新宋体"/>
                      <w:color w:val="auto"/>
                      <w:szCs w:val="21"/>
                    </w:rPr>
                    <w:t>年</w:t>
                  </w:r>
                  <w:r>
                    <w:rPr>
                      <w:rFonts w:hint="eastAsia" w:ascii="新宋体" w:hAnsi="新宋体" w:eastAsia="新宋体"/>
                      <w:color w:val="auto"/>
                      <w:szCs w:val="21"/>
                      <w:lang w:val="en-US" w:eastAsia="zh-CN"/>
                    </w:rPr>
                    <w:t>08</w:t>
                  </w:r>
                  <w:r>
                    <w:rPr>
                      <w:rFonts w:hint="eastAsia" w:ascii="新宋体" w:hAnsi="新宋体" w:eastAsia="新宋体"/>
                      <w:color w:val="auto"/>
                      <w:szCs w:val="21"/>
                    </w:rPr>
                    <w:t>月</w:t>
                  </w:r>
                  <w:r>
                    <w:rPr>
                      <w:rFonts w:hint="eastAsia" w:ascii="新宋体" w:hAnsi="新宋体" w:eastAsia="新宋体"/>
                      <w:color w:val="auto"/>
                      <w:szCs w:val="21"/>
                      <w:lang w:val="en-US" w:eastAsia="zh-CN"/>
                    </w:rPr>
                    <w:t>12</w:t>
                  </w:r>
                  <w:r>
                    <w:rPr>
                      <w:rFonts w:hint="eastAsia" w:ascii="新宋体" w:hAnsi="新宋体" w:eastAsia="新宋体"/>
                      <w:color w:val="auto"/>
                      <w:szCs w:val="21"/>
                    </w:rPr>
                    <w:t>日 00:00时前凡对招标文件有任何疑问的（包括认为招标文件的技术指标或参数存在倾向性或不公正性条款），登录“深圳公共资源交易中心网”后进入“深圳社会代理机构系统”，在“应标管理→提出采购文件澄清要求”中填写疑问，逾期不予受理。</w:t>
                  </w:r>
                  <w:r>
                    <w:rPr>
                      <w:rFonts w:hint="eastAsia" w:ascii="新宋体" w:hAnsi="新宋体" w:eastAsia="新宋体"/>
                      <w:color w:val="auto"/>
                      <w:szCs w:val="21"/>
                      <w:lang w:val="en-US" w:eastAsia="zh-CN"/>
                    </w:rPr>
                    <w:t>代理机构</w:t>
                  </w:r>
                  <w:r>
                    <w:rPr>
                      <w:rFonts w:hint="eastAsia" w:ascii="新宋体" w:hAnsi="新宋体" w:eastAsia="新宋体"/>
                      <w:color w:val="auto"/>
                      <w:szCs w:val="21"/>
                    </w:rPr>
                    <w:t xml:space="preserve">将采购文件澄清/修改情况在“应标管理→采购文件澄清/修改查询”中公布 ，望投标人予以关注。 </w:t>
                  </w:r>
                </w:p>
                <w:p>
                  <w:pPr>
                    <w:widowControl/>
                    <w:numPr>
                      <w:ilvl w:val="0"/>
                      <w:numId w:val="7"/>
                    </w:numPr>
                    <w:tabs>
                      <w:tab w:val="left" w:pos="360"/>
                    </w:tabs>
                    <w:spacing w:before="100" w:beforeAutospacing="1" w:after="100" w:afterAutospacing="1" w:line="360" w:lineRule="auto"/>
                    <w:ind w:left="426"/>
                    <w:jc w:val="left"/>
                    <w:rPr>
                      <w:rFonts w:ascii="新宋体" w:hAnsi="新宋体" w:eastAsia="新宋体"/>
                      <w:color w:val="auto"/>
                      <w:szCs w:val="21"/>
                    </w:rPr>
                  </w:pPr>
                  <w:r>
                    <w:rPr>
                      <w:rFonts w:ascii="新宋体" w:hAnsi="新宋体" w:eastAsia="新宋体"/>
                      <w:color w:val="auto"/>
                      <w:szCs w:val="21"/>
                    </w:rPr>
                    <w:t xml:space="preserve">投标截止时间 </w:t>
                  </w:r>
                  <w:r>
                    <w:rPr>
                      <w:rFonts w:hint="eastAsia" w:ascii="新宋体" w:hAnsi="新宋体" w:eastAsia="新宋体"/>
                      <w:color w:val="auto"/>
                      <w:szCs w:val="21"/>
                    </w:rPr>
                    <w:t>：所有投标文件应于202</w:t>
                  </w:r>
                  <w:r>
                    <w:rPr>
                      <w:rFonts w:hint="eastAsia" w:ascii="新宋体" w:hAnsi="新宋体" w:eastAsia="新宋体"/>
                      <w:color w:val="auto"/>
                      <w:szCs w:val="21"/>
                      <w:lang w:val="en-US" w:eastAsia="zh-CN"/>
                    </w:rPr>
                    <w:t>1</w:t>
                  </w:r>
                  <w:r>
                    <w:rPr>
                      <w:rFonts w:hint="eastAsia" w:ascii="新宋体" w:hAnsi="新宋体" w:eastAsia="新宋体"/>
                      <w:color w:val="auto"/>
                      <w:szCs w:val="21"/>
                    </w:rPr>
                    <w:t>年</w:t>
                  </w:r>
                  <w:r>
                    <w:rPr>
                      <w:rFonts w:hint="eastAsia" w:ascii="新宋体" w:hAnsi="新宋体" w:eastAsia="新宋体"/>
                      <w:color w:val="auto"/>
                      <w:szCs w:val="21"/>
                      <w:lang w:val="en-US" w:eastAsia="zh-CN"/>
                    </w:rPr>
                    <w:t>08</w:t>
                  </w:r>
                  <w:r>
                    <w:rPr>
                      <w:rFonts w:hint="eastAsia" w:ascii="新宋体" w:hAnsi="新宋体" w:eastAsia="新宋体"/>
                      <w:color w:val="auto"/>
                      <w:szCs w:val="21"/>
                    </w:rPr>
                    <w:t>月</w:t>
                  </w:r>
                  <w:r>
                    <w:rPr>
                      <w:rFonts w:hint="eastAsia" w:ascii="新宋体" w:hAnsi="新宋体" w:eastAsia="新宋体"/>
                      <w:color w:val="auto"/>
                      <w:szCs w:val="21"/>
                      <w:lang w:val="en-US" w:eastAsia="zh-CN"/>
                    </w:rPr>
                    <w:t>16</w:t>
                  </w:r>
                  <w:r>
                    <w:rPr>
                      <w:rFonts w:hint="eastAsia" w:ascii="新宋体" w:hAnsi="新宋体" w:eastAsia="新宋体"/>
                      <w:color w:val="auto"/>
                      <w:szCs w:val="21"/>
                    </w:rPr>
                    <w:t xml:space="preserve">日 </w:t>
                  </w:r>
                  <w:r>
                    <w:rPr>
                      <w:rFonts w:hint="eastAsia" w:ascii="新宋体" w:hAnsi="新宋体" w:eastAsia="新宋体"/>
                      <w:color w:val="auto"/>
                      <w:szCs w:val="21"/>
                      <w:lang w:val="en-US" w:eastAsia="zh-CN"/>
                    </w:rPr>
                    <w:t>14</w:t>
                  </w:r>
                  <w:r>
                    <w:rPr>
                      <w:rFonts w:hint="eastAsia" w:ascii="新宋体" w:hAnsi="新宋体" w:eastAsia="新宋体"/>
                      <w:color w:val="auto"/>
                      <w:szCs w:val="21"/>
                    </w:rPr>
                    <w:t>:30时之前上传到深圳公共资源交易中心网站。具体操作为登录“深圳公共资源交易中心网”后进入“深圳社会代理机构系统”，用“应标管理→上传投标文件”功能点上传投标文件。本项目电子投标文件最大容量为100MB，超过此容量的文件将被拒绝</w:t>
                  </w:r>
                  <w:r>
                    <w:rPr>
                      <w:rFonts w:ascii="新宋体" w:hAnsi="新宋体" w:eastAsia="新宋体"/>
                      <w:color w:val="auto"/>
                      <w:szCs w:val="21"/>
                    </w:rPr>
                    <w:t xml:space="preserve">。 </w:t>
                  </w:r>
                </w:p>
                <w:p>
                  <w:pPr>
                    <w:widowControl/>
                    <w:numPr>
                      <w:ilvl w:val="0"/>
                      <w:numId w:val="7"/>
                    </w:numPr>
                    <w:tabs>
                      <w:tab w:val="left" w:pos="360"/>
                      <w:tab w:val="left" w:pos="426"/>
                    </w:tabs>
                    <w:spacing w:before="100" w:beforeAutospacing="1" w:after="100" w:afterAutospacing="1" w:line="360" w:lineRule="auto"/>
                    <w:ind w:left="426"/>
                    <w:jc w:val="left"/>
                    <w:rPr>
                      <w:rFonts w:ascii="新宋体" w:hAnsi="新宋体" w:eastAsia="新宋体"/>
                      <w:color w:val="auto"/>
                      <w:szCs w:val="21"/>
                    </w:rPr>
                  </w:pPr>
                  <w:r>
                    <w:rPr>
                      <w:rFonts w:ascii="新宋体" w:hAnsi="新宋体" w:eastAsia="新宋体"/>
                      <w:color w:val="auto"/>
                      <w:szCs w:val="21"/>
                    </w:rPr>
                    <w:t xml:space="preserve">开标时间和地点 </w:t>
                  </w:r>
                  <w:r>
                    <w:rPr>
                      <w:rFonts w:hint="eastAsia" w:ascii="新宋体" w:hAnsi="新宋体" w:eastAsia="新宋体"/>
                      <w:color w:val="auto"/>
                      <w:szCs w:val="21"/>
                    </w:rPr>
                    <w:t>：定于202</w:t>
                  </w:r>
                  <w:r>
                    <w:rPr>
                      <w:rFonts w:hint="eastAsia" w:ascii="新宋体" w:hAnsi="新宋体" w:eastAsia="新宋体"/>
                      <w:color w:val="auto"/>
                      <w:szCs w:val="21"/>
                      <w:lang w:val="en-US" w:eastAsia="zh-CN"/>
                    </w:rPr>
                    <w:t>1</w:t>
                  </w:r>
                  <w:r>
                    <w:rPr>
                      <w:rFonts w:hint="eastAsia" w:ascii="新宋体" w:hAnsi="新宋体" w:eastAsia="新宋体"/>
                      <w:color w:val="auto"/>
                      <w:szCs w:val="21"/>
                    </w:rPr>
                    <w:t>年</w:t>
                  </w:r>
                  <w:r>
                    <w:rPr>
                      <w:rFonts w:hint="eastAsia" w:ascii="新宋体" w:hAnsi="新宋体" w:eastAsia="新宋体"/>
                      <w:color w:val="auto"/>
                      <w:szCs w:val="21"/>
                      <w:lang w:val="en-US" w:eastAsia="zh-CN"/>
                    </w:rPr>
                    <w:t>08</w:t>
                  </w:r>
                  <w:r>
                    <w:rPr>
                      <w:rFonts w:hint="eastAsia" w:ascii="新宋体" w:hAnsi="新宋体" w:eastAsia="新宋体"/>
                      <w:color w:val="auto"/>
                      <w:szCs w:val="21"/>
                    </w:rPr>
                    <w:t>月</w:t>
                  </w:r>
                  <w:r>
                    <w:rPr>
                      <w:rFonts w:hint="eastAsia" w:ascii="新宋体" w:hAnsi="新宋体" w:eastAsia="新宋体"/>
                      <w:color w:val="auto"/>
                      <w:szCs w:val="21"/>
                      <w:lang w:val="en-US" w:eastAsia="zh-CN"/>
                    </w:rPr>
                    <w:t>16</w:t>
                  </w:r>
                  <w:r>
                    <w:rPr>
                      <w:rFonts w:hint="eastAsia" w:ascii="新宋体" w:hAnsi="新宋体" w:eastAsia="新宋体"/>
                      <w:color w:val="auto"/>
                      <w:szCs w:val="21"/>
                    </w:rPr>
                    <w:t xml:space="preserve">日 </w:t>
                  </w:r>
                  <w:r>
                    <w:rPr>
                      <w:rFonts w:hint="eastAsia" w:ascii="新宋体" w:hAnsi="新宋体" w:eastAsia="新宋体"/>
                      <w:color w:val="auto"/>
                      <w:szCs w:val="21"/>
                      <w:lang w:val="en-US" w:eastAsia="zh-CN"/>
                    </w:rPr>
                    <w:t>14</w:t>
                  </w:r>
                  <w:r>
                    <w:rPr>
                      <w:rFonts w:hint="eastAsia" w:ascii="新宋体" w:hAnsi="新宋体" w:eastAsia="新宋体"/>
                      <w:color w:val="auto"/>
                      <w:szCs w:val="21"/>
                    </w:rPr>
                    <w:t>:30时，在深圳市瑞凝信招标咨询有限公司公开开标。供应商可以登录“深圳公共资源交易中心”后进入“深圳社会代理机构系统”，用“采购实施→查看开标一览表”功能点查询开标情况。</w:t>
                  </w:r>
                </w:p>
                <w:p>
                  <w:pPr>
                    <w:keepNext/>
                    <w:keepLines/>
                    <w:spacing w:before="260" w:after="260" w:line="360" w:lineRule="auto"/>
                    <w:outlineLvl w:val="2"/>
                    <w:rPr>
                      <w:rFonts w:ascii="新宋体" w:hAnsi="新宋体" w:eastAsia="新宋体"/>
                      <w:b/>
                      <w:bCs/>
                      <w:color w:val="auto"/>
                      <w:szCs w:val="21"/>
                    </w:rPr>
                  </w:pPr>
                  <w:r>
                    <w:rPr>
                      <w:rFonts w:ascii="新宋体" w:hAnsi="新宋体" w:eastAsia="新宋体"/>
                      <w:b/>
                      <w:bCs/>
                      <w:color w:val="auto"/>
                      <w:szCs w:val="21"/>
                    </w:rPr>
                    <w:t>八、重要提示：</w:t>
                  </w:r>
                </w:p>
                <w:p>
                  <w:pPr>
                    <w:widowControl/>
                    <w:numPr>
                      <w:ilvl w:val="0"/>
                      <w:numId w:val="8"/>
                    </w:numPr>
                    <w:tabs>
                      <w:tab w:val="left" w:pos="360"/>
                    </w:tabs>
                    <w:spacing w:before="100" w:beforeAutospacing="1" w:after="100" w:afterAutospacing="1" w:line="360" w:lineRule="auto"/>
                    <w:ind w:left="32" w:hanging="32"/>
                    <w:jc w:val="left"/>
                    <w:rPr>
                      <w:rFonts w:ascii="新宋体" w:hAnsi="新宋体" w:eastAsia="新宋体"/>
                      <w:color w:val="auto"/>
                      <w:szCs w:val="21"/>
                    </w:rPr>
                  </w:pPr>
                  <w:r>
                    <w:rPr>
                      <w:rFonts w:ascii="新宋体" w:hAnsi="新宋体" w:eastAsia="新宋体"/>
                      <w:color w:val="auto"/>
                      <w:szCs w:val="21"/>
                    </w:rPr>
                    <w:t xml:space="preserve">深圳市瑞凝信招标咨询有限公司有权对中标供应商就本项目资格条款要求提供的相关证明资料（原件）进行审查。供应商提供虚假资料被查实的，则可能面临被取消本项目中标资格、列入不良行为记录名单和三年内禁止参与深圳市政府采购活动的风险。 </w:t>
                  </w:r>
                </w:p>
                <w:p>
                  <w:pPr>
                    <w:widowControl/>
                    <w:numPr>
                      <w:ilvl w:val="0"/>
                      <w:numId w:val="8"/>
                    </w:numPr>
                    <w:tabs>
                      <w:tab w:val="left" w:pos="360"/>
                    </w:tabs>
                    <w:spacing w:before="100" w:beforeAutospacing="1" w:after="100" w:afterAutospacing="1" w:line="360" w:lineRule="auto"/>
                    <w:ind w:left="32" w:hanging="32"/>
                    <w:jc w:val="left"/>
                    <w:rPr>
                      <w:rFonts w:ascii="新宋体" w:hAnsi="新宋体" w:eastAsia="新宋体"/>
                      <w:color w:val="auto"/>
                      <w:szCs w:val="21"/>
                    </w:rPr>
                  </w:pPr>
                  <w:r>
                    <w:rPr>
                      <w:rFonts w:ascii="新宋体" w:hAnsi="新宋体" w:eastAsia="新宋体"/>
                      <w:color w:val="auto"/>
                      <w:szCs w:val="21"/>
                    </w:rPr>
                    <w:t>本招标公告及本项目招标文件所涉及的时间一律为北京时间。投标人有义务在招标活动期间浏览</w:t>
                  </w:r>
                  <w:r>
                    <w:rPr>
                      <w:rFonts w:hint="eastAsia" w:ascii="新宋体" w:hAnsi="新宋体" w:eastAsia="新宋体"/>
                      <w:color w:val="auto"/>
                      <w:szCs w:val="21"/>
                    </w:rPr>
                    <w:t>深圳公共资源交易中心</w:t>
                  </w:r>
                  <w:r>
                    <w:rPr>
                      <w:rFonts w:ascii="新宋体" w:hAnsi="新宋体" w:eastAsia="新宋体"/>
                      <w:color w:val="auto"/>
                      <w:szCs w:val="21"/>
                    </w:rPr>
                    <w:t>（</w:t>
                  </w:r>
                  <w:r>
                    <w:rPr>
                      <w:rFonts w:hint="eastAsia" w:ascii="新宋体" w:hAnsi="新宋体" w:eastAsia="新宋体" w:cs="新宋体"/>
                      <w:color w:val="auto"/>
                      <w:szCs w:val="21"/>
                    </w:rPr>
                    <w:t>www.szzfcg.cn</w:t>
                  </w:r>
                  <w:r>
                    <w:rPr>
                      <w:rFonts w:ascii="新宋体" w:hAnsi="新宋体" w:eastAsia="新宋体"/>
                      <w:color w:val="auto"/>
                      <w:szCs w:val="21"/>
                    </w:rPr>
                    <w:t>），在</w:t>
                  </w:r>
                  <w:r>
                    <w:rPr>
                      <w:rFonts w:hint="eastAsia" w:ascii="新宋体" w:hAnsi="新宋体" w:eastAsia="新宋体"/>
                      <w:color w:val="auto"/>
                      <w:szCs w:val="21"/>
                    </w:rPr>
                    <w:t>深圳公共资源交易中心</w:t>
                  </w:r>
                  <w:r>
                    <w:rPr>
                      <w:rFonts w:ascii="新宋体" w:hAnsi="新宋体" w:eastAsia="新宋体"/>
                      <w:color w:val="auto"/>
                      <w:szCs w:val="21"/>
                    </w:rPr>
                    <w:t xml:space="preserve">网上公布的与本次招标项目有关的信息视为已送达各投标人。 </w:t>
                  </w:r>
                </w:p>
                <w:p>
                  <w:pPr>
                    <w:widowControl/>
                    <w:numPr>
                      <w:ilvl w:val="0"/>
                      <w:numId w:val="8"/>
                    </w:numPr>
                    <w:tabs>
                      <w:tab w:val="left" w:pos="360"/>
                    </w:tabs>
                    <w:spacing w:before="100" w:beforeAutospacing="1" w:after="100" w:afterAutospacing="1" w:line="360" w:lineRule="auto"/>
                    <w:ind w:left="32" w:hanging="32"/>
                    <w:jc w:val="left"/>
                    <w:rPr>
                      <w:rFonts w:ascii="新宋体" w:hAnsi="新宋体" w:eastAsia="新宋体"/>
                      <w:color w:val="auto"/>
                      <w:szCs w:val="21"/>
                    </w:rPr>
                  </w:pPr>
                  <w:r>
                    <w:rPr>
                      <w:rFonts w:hint="eastAsia" w:ascii="新宋体" w:hAnsi="新宋体" w:eastAsia="新宋体"/>
                      <w:color w:val="auto"/>
                      <w:szCs w:val="21"/>
                    </w:rPr>
                    <w:t>关于</w:t>
                  </w:r>
                  <w:r>
                    <w:rPr>
                      <w:rFonts w:ascii="新宋体" w:hAnsi="新宋体" w:eastAsia="新宋体"/>
                      <w:color w:val="auto"/>
                      <w:szCs w:val="21"/>
                    </w:rPr>
                    <w:t xml:space="preserve">投标保证金： </w:t>
                  </w:r>
                  <w:r>
                    <w:rPr>
                      <w:rFonts w:ascii="新宋体" w:hAnsi="新宋体" w:eastAsia="新宋体"/>
                      <w:color w:val="auto"/>
                      <w:szCs w:val="21"/>
                    </w:rPr>
                    <w:br w:type="textWrapping"/>
                  </w:r>
                  <w:r>
                    <w:rPr>
                      <w:rFonts w:ascii="新宋体" w:hAnsi="新宋体" w:eastAsia="新宋体"/>
                      <w:color w:val="auto"/>
                      <w:szCs w:val="21"/>
                    </w:rPr>
                    <w:t>（1）</w:t>
                  </w:r>
                  <w:r>
                    <w:rPr>
                      <w:rFonts w:hint="eastAsia" w:ascii="新宋体" w:hAnsi="新宋体" w:eastAsia="新宋体"/>
                      <w:color w:val="auto"/>
                      <w:szCs w:val="21"/>
                    </w:rPr>
                    <w:t>自2019年8月15日起，市政府采购中心所有采购项目停止收取投标保证金，同时将为所有注册供应商（因受到处罚被锁定权限的注册供应商除外）开放投标权限；</w:t>
                  </w:r>
                  <w:r>
                    <w:rPr>
                      <w:rFonts w:ascii="新宋体" w:hAnsi="新宋体" w:eastAsia="新宋体"/>
                      <w:color w:val="auto"/>
                      <w:szCs w:val="21"/>
                    </w:rPr>
                    <w:br w:type="textWrapping"/>
                  </w:r>
                  <w:r>
                    <w:rPr>
                      <w:rFonts w:ascii="新宋体" w:hAnsi="新宋体" w:eastAsia="新宋体"/>
                      <w:color w:val="auto"/>
                      <w:szCs w:val="21"/>
                    </w:rPr>
                    <w:t>（</w:t>
                  </w:r>
                  <w:r>
                    <w:rPr>
                      <w:rFonts w:hint="eastAsia" w:ascii="新宋体" w:hAnsi="新宋体" w:eastAsia="新宋体"/>
                      <w:color w:val="auto"/>
                      <w:szCs w:val="21"/>
                    </w:rPr>
                    <w:t>2</w:t>
                  </w:r>
                  <w:r>
                    <w:rPr>
                      <w:rFonts w:ascii="新宋体" w:hAnsi="新宋体" w:eastAsia="新宋体"/>
                      <w:color w:val="auto"/>
                      <w:szCs w:val="21"/>
                    </w:rPr>
                    <w:t xml:space="preserve">）保证金咨询电话：0755-83948155。 </w:t>
                  </w:r>
                </w:p>
                <w:p>
                  <w:pPr>
                    <w:keepNext/>
                    <w:keepLines/>
                    <w:spacing w:before="260" w:after="260" w:line="360" w:lineRule="auto"/>
                    <w:outlineLvl w:val="2"/>
                    <w:rPr>
                      <w:rFonts w:ascii="新宋体" w:hAnsi="新宋体" w:eastAsia="新宋体"/>
                      <w:b/>
                      <w:bCs/>
                      <w:color w:val="auto"/>
                      <w:szCs w:val="21"/>
                    </w:rPr>
                  </w:pPr>
                  <w:r>
                    <w:rPr>
                      <w:rFonts w:ascii="新宋体" w:hAnsi="新宋体" w:eastAsia="新宋体"/>
                      <w:b/>
                      <w:bCs/>
                      <w:color w:val="auto"/>
                      <w:szCs w:val="21"/>
                    </w:rPr>
                    <w:t>九、联系方式</w:t>
                  </w:r>
                </w:p>
                <w:p>
                  <w:pPr>
                    <w:spacing w:line="360" w:lineRule="auto"/>
                    <w:rPr>
                      <w:color w:val="auto"/>
                    </w:rPr>
                  </w:pPr>
                  <w:r>
                    <w:rPr>
                      <w:rFonts w:hint="eastAsia"/>
                      <w:color w:val="auto"/>
                    </w:rPr>
                    <w:t>1、招标组织机构</w:t>
                  </w:r>
                </w:p>
                <w:p>
                  <w:pPr>
                    <w:spacing w:line="360" w:lineRule="auto"/>
                    <w:rPr>
                      <w:color w:val="auto"/>
                    </w:rPr>
                  </w:pPr>
                  <w:r>
                    <w:rPr>
                      <w:rFonts w:hint="eastAsia"/>
                      <w:color w:val="auto"/>
                    </w:rPr>
                    <w:t>招标代理机构名称：深圳市瑞凝信招标咨询有限公司</w:t>
                  </w:r>
                </w:p>
                <w:p>
                  <w:pPr>
                    <w:spacing w:line="360" w:lineRule="auto"/>
                    <w:rPr>
                      <w:color w:val="auto"/>
                    </w:rPr>
                  </w:pPr>
                  <w:r>
                    <w:rPr>
                      <w:rFonts w:hint="eastAsia"/>
                      <w:color w:val="auto"/>
                    </w:rPr>
                    <w:t xml:space="preserve">招标代理机构地址：深圳市福田区天安数码城创新科技广场一期B座1210 </w:t>
                  </w:r>
                </w:p>
                <w:p>
                  <w:pPr>
                    <w:spacing w:line="360" w:lineRule="auto"/>
                    <w:rPr>
                      <w:color w:val="auto"/>
                    </w:rPr>
                  </w:pPr>
                  <w:r>
                    <w:rPr>
                      <w:rFonts w:hint="eastAsia"/>
                      <w:color w:val="auto"/>
                    </w:rPr>
                    <w:t>联系人：吴小姐   陈先生</w:t>
                  </w:r>
                </w:p>
                <w:p>
                  <w:pPr>
                    <w:spacing w:line="360" w:lineRule="auto"/>
                    <w:rPr>
                      <w:color w:val="auto"/>
                    </w:rPr>
                  </w:pPr>
                  <w:r>
                    <w:rPr>
                      <w:rFonts w:hint="eastAsia"/>
                      <w:color w:val="auto"/>
                    </w:rPr>
                    <w:t>联系电话：0755-</w:t>
                  </w:r>
                  <w:r>
                    <w:rPr>
                      <w:rFonts w:hint="eastAsia"/>
                      <w:color w:val="auto"/>
                      <w:lang w:val="en-US" w:eastAsia="zh-CN"/>
                    </w:rPr>
                    <w:t>83232102</w:t>
                  </w:r>
                  <w:r>
                    <w:rPr>
                      <w:rFonts w:hint="eastAsia"/>
                      <w:color w:val="auto"/>
                    </w:rPr>
                    <w:t xml:space="preserve"> </w:t>
                  </w:r>
                </w:p>
                <w:p>
                  <w:pPr>
                    <w:spacing w:line="360" w:lineRule="auto"/>
                    <w:rPr>
                      <w:color w:val="auto"/>
                    </w:rPr>
                  </w:pPr>
                  <w:r>
                    <w:rPr>
                      <w:rFonts w:hint="eastAsia"/>
                      <w:color w:val="auto"/>
                    </w:rPr>
                    <w:t>网上操作咨询：</w:t>
                  </w:r>
                </w:p>
                <w:p>
                  <w:pPr>
                    <w:spacing w:line="360" w:lineRule="auto"/>
                    <w:rPr>
                      <w:color w:val="auto"/>
                    </w:rPr>
                  </w:pPr>
                  <w:r>
                    <w:rPr>
                      <w:rFonts w:hint="eastAsia"/>
                      <w:color w:val="auto"/>
                    </w:rPr>
                    <w:t xml:space="preserve">采购系统、招投标软件技术支持：张工 / 0755-83203022-805 / 工作QQ：1272422942 </w:t>
                  </w:r>
                </w:p>
                <w:p>
                  <w:pPr>
                    <w:spacing w:line="360" w:lineRule="auto"/>
                    <w:rPr>
                      <w:color w:val="auto"/>
                    </w:rPr>
                  </w:pPr>
                  <w:r>
                    <w:rPr>
                      <w:rFonts w:hint="eastAsia"/>
                      <w:color w:val="auto"/>
                    </w:rPr>
                    <w:t xml:space="preserve">代理机构系统技术支持：温工 / 0755-83203022-808 / 技术支持QQ群：673471913 </w:t>
                  </w:r>
                </w:p>
                <w:p>
                  <w:pPr>
                    <w:spacing w:line="360" w:lineRule="auto"/>
                    <w:rPr>
                      <w:color w:val="auto"/>
                    </w:rPr>
                  </w:pPr>
                  <w:r>
                    <w:rPr>
                      <w:rFonts w:hint="eastAsia"/>
                      <w:color w:val="auto"/>
                    </w:rPr>
                    <w:t xml:space="preserve">注册咨询：83938966 </w:t>
                  </w:r>
                </w:p>
                <w:p>
                  <w:pPr>
                    <w:spacing w:line="360" w:lineRule="auto"/>
                    <w:rPr>
                      <w:color w:val="auto"/>
                    </w:rPr>
                  </w:pPr>
                  <w:r>
                    <w:rPr>
                      <w:rFonts w:hint="eastAsia"/>
                      <w:color w:val="auto"/>
                    </w:rPr>
                    <w:t xml:space="preserve">电子密钥咨询：83948165 4008301330 </w:t>
                  </w:r>
                </w:p>
                <w:p>
                  <w:pPr>
                    <w:spacing w:line="360" w:lineRule="auto"/>
                    <w:rPr>
                      <w:color w:val="auto"/>
                    </w:rPr>
                  </w:pPr>
                </w:p>
                <w:p>
                  <w:pPr>
                    <w:spacing w:line="360" w:lineRule="auto"/>
                    <w:rPr>
                      <w:color w:val="auto"/>
                    </w:rPr>
                  </w:pPr>
                  <w:r>
                    <w:rPr>
                      <w:rFonts w:hint="eastAsia"/>
                      <w:color w:val="auto"/>
                    </w:rPr>
                    <w:t>2、采购单位</w:t>
                  </w:r>
                </w:p>
                <w:p>
                  <w:pPr>
                    <w:spacing w:line="360" w:lineRule="auto"/>
                    <w:rPr>
                      <w:color w:val="auto"/>
                    </w:rPr>
                  </w:pPr>
                  <w:r>
                    <w:rPr>
                      <w:rFonts w:hint="eastAsia"/>
                      <w:color w:val="auto"/>
                    </w:rPr>
                    <w:t>单位名称：深圳市南山区前海学校</w:t>
                  </w:r>
                  <w:r>
                    <w:rPr>
                      <w:color w:val="auto"/>
                    </w:rPr>
                    <w:t xml:space="preserve"> </w:t>
                  </w:r>
                </w:p>
                <w:p>
                  <w:pPr>
                    <w:spacing w:line="360" w:lineRule="auto"/>
                    <w:rPr>
                      <w:color w:val="auto"/>
                    </w:rPr>
                  </w:pPr>
                  <w:r>
                    <w:rPr>
                      <w:rFonts w:hint="eastAsia"/>
                      <w:color w:val="auto"/>
                    </w:rPr>
                    <w:t>详细地址：</w:t>
                  </w:r>
                  <w:r>
                    <w:rPr>
                      <w:rFonts w:hint="eastAsia" w:ascii="新宋体" w:hAnsi="新宋体" w:eastAsia="新宋体" w:cs="新宋体"/>
                      <w:color w:val="auto"/>
                      <w:shd w:val="clear" w:color="auto" w:fill="auto"/>
                    </w:rPr>
                    <w:t>深圳市南山区桃李路1号</w:t>
                  </w:r>
                </w:p>
                <w:p>
                  <w:pPr>
                    <w:spacing w:line="360" w:lineRule="auto"/>
                    <w:rPr>
                      <w:color w:val="auto"/>
                    </w:rPr>
                  </w:pPr>
                  <w:r>
                    <w:rPr>
                      <w:rFonts w:hint="eastAsia"/>
                      <w:color w:val="auto"/>
                    </w:rPr>
                    <w:t>联系方</w:t>
                  </w:r>
                  <w:r>
                    <w:rPr>
                      <w:rFonts w:hint="eastAsia" w:ascii="新宋体" w:hAnsi="新宋体" w:eastAsia="新宋体"/>
                      <w:color w:val="auto"/>
                      <w:szCs w:val="21"/>
                    </w:rPr>
                    <w:t>式：</w:t>
                  </w:r>
                  <w:r>
                    <w:rPr>
                      <w:rFonts w:hint="eastAsia" w:ascii="新宋体" w:hAnsi="新宋体" w:eastAsia="新宋体" w:cs="新宋体"/>
                      <w:color w:val="auto"/>
                      <w:szCs w:val="21"/>
                      <w:shd w:val="clear" w:color="auto" w:fill="auto"/>
                    </w:rPr>
                    <w:t>韩</w:t>
                  </w:r>
                  <w:r>
                    <w:rPr>
                      <w:rFonts w:hint="eastAsia" w:ascii="新宋体" w:hAnsi="新宋体" w:eastAsia="新宋体" w:cs="新宋体"/>
                      <w:color w:val="auto"/>
                      <w:szCs w:val="21"/>
                      <w:shd w:val="clear" w:color="auto" w:fill="auto"/>
                      <w:lang w:val="en-US" w:eastAsia="zh-CN"/>
                    </w:rPr>
                    <w:t>老师 0755-26470861</w:t>
                  </w:r>
                </w:p>
              </w:tc>
            </w:tr>
          </w:tbl>
          <w:p>
            <w:pPr>
              <w:rPr>
                <w:rFonts w:ascii="宋体" w:hAnsi="宋体" w:cs="宋体"/>
                <w:color w:val="auto"/>
                <w:sz w:val="24"/>
              </w:rPr>
            </w:pPr>
          </w:p>
        </w:tc>
      </w:tr>
    </w:tbl>
    <w:p>
      <w:pPr>
        <w:pStyle w:val="8"/>
        <w:spacing w:before="60" w:beforeLines="25" w:after="60" w:afterLines="25"/>
        <w:ind w:firstLine="392" w:firstLineChars="187"/>
        <w:rPr>
          <w:color w:val="auto"/>
        </w:rPr>
      </w:pPr>
    </w:p>
    <w:p>
      <w:pPr>
        <w:pStyle w:val="8"/>
        <w:spacing w:before="60" w:beforeLines="25" w:after="60" w:afterLines="25"/>
        <w:ind w:firstLine="392" w:firstLineChars="187"/>
        <w:rPr>
          <w:color w:val="auto"/>
        </w:rPr>
      </w:pPr>
    </w:p>
    <w:p>
      <w:pPr>
        <w:pStyle w:val="8"/>
        <w:spacing w:before="60" w:beforeLines="25" w:after="60" w:afterLines="25"/>
        <w:ind w:firstLine="392" w:firstLineChars="187"/>
        <w:rPr>
          <w:color w:val="auto"/>
        </w:rPr>
      </w:pPr>
    </w:p>
    <w:p>
      <w:pPr>
        <w:pStyle w:val="8"/>
        <w:spacing w:before="60" w:beforeLines="25" w:after="60" w:afterLines="25"/>
        <w:ind w:firstLine="392" w:firstLineChars="187"/>
        <w:rPr>
          <w:color w:val="auto"/>
        </w:rPr>
      </w:pPr>
    </w:p>
    <w:p>
      <w:pPr>
        <w:pStyle w:val="8"/>
        <w:spacing w:before="60" w:beforeLines="25" w:after="60" w:afterLines="25"/>
        <w:ind w:firstLine="392" w:firstLineChars="187"/>
        <w:rPr>
          <w:color w:val="auto"/>
        </w:rPr>
      </w:pPr>
    </w:p>
    <w:p>
      <w:pPr>
        <w:pStyle w:val="8"/>
        <w:spacing w:before="60" w:beforeLines="25" w:after="60" w:afterLines="25"/>
        <w:ind w:firstLine="392" w:firstLineChars="187"/>
        <w:jc w:val="right"/>
        <w:rPr>
          <w:rFonts w:ascii="宋体" w:hAnsi="宋体"/>
          <w:color w:val="auto"/>
          <w:szCs w:val="21"/>
        </w:rPr>
      </w:pPr>
    </w:p>
    <w:p>
      <w:pPr>
        <w:ind w:firstLine="7200" w:firstLineChars="3000"/>
        <w:rPr>
          <w:color w:val="auto"/>
          <w:sz w:val="24"/>
        </w:rPr>
      </w:pPr>
      <w:r>
        <w:rPr>
          <w:color w:val="auto"/>
          <w:sz w:val="24"/>
        </w:rPr>
        <w:br w:type="page"/>
      </w:r>
    </w:p>
    <w:p>
      <w:pPr>
        <w:pStyle w:val="6"/>
        <w:rPr>
          <w:color w:val="auto"/>
        </w:rPr>
      </w:pPr>
      <w:r>
        <w:rPr>
          <w:rFonts w:hint="eastAsia"/>
          <w:color w:val="auto"/>
        </w:rPr>
        <w:t>第二章  招标项目需求</w:t>
      </w:r>
    </w:p>
    <w:p>
      <w:pPr>
        <w:pStyle w:val="6"/>
        <w:spacing w:before="120" w:beforeLines="50" w:after="120" w:afterLines="50"/>
        <w:rPr>
          <w:color w:val="auto"/>
          <w:sz w:val="28"/>
          <w:szCs w:val="28"/>
        </w:rPr>
      </w:pPr>
      <w:bookmarkStart w:id="17" w:name="_Toc60631620"/>
      <w:bookmarkStart w:id="18" w:name="_Toc100052364"/>
      <w:bookmarkStart w:id="19" w:name="_Toc60560625"/>
      <w:bookmarkStart w:id="20" w:name="_Toc73518117"/>
      <w:bookmarkStart w:id="21" w:name="_Toc73521547"/>
      <w:bookmarkStart w:id="22" w:name="_Toc101074876"/>
      <w:bookmarkStart w:id="23" w:name="_Toc73517639"/>
      <w:bookmarkStart w:id="24" w:name="_Toc73521635"/>
      <w:r>
        <w:rPr>
          <w:rFonts w:hint="eastAsia"/>
          <w:color w:val="auto"/>
          <w:sz w:val="28"/>
          <w:szCs w:val="28"/>
        </w:rPr>
        <w:t>一、对通用条款的补充内容</w:t>
      </w:r>
    </w:p>
    <w:bookmarkEnd w:id="17"/>
    <w:bookmarkEnd w:id="18"/>
    <w:bookmarkEnd w:id="19"/>
    <w:bookmarkEnd w:id="20"/>
    <w:bookmarkEnd w:id="21"/>
    <w:bookmarkEnd w:id="22"/>
    <w:bookmarkEnd w:id="23"/>
    <w:bookmarkEnd w:id="24"/>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b/>
                <w:bCs/>
                <w:color w:val="auto"/>
              </w:rPr>
            </w:pPr>
            <w:r>
              <w:rPr>
                <w:rFonts w:hint="eastAsia" w:ascii="宋体" w:hAnsi="宋体"/>
                <w:b/>
                <w:bCs/>
                <w:color w:val="auto"/>
              </w:rPr>
              <w:t>序号</w:t>
            </w:r>
          </w:p>
        </w:tc>
        <w:tc>
          <w:tcPr>
            <w:tcW w:w="2160" w:type="dxa"/>
            <w:vAlign w:val="center"/>
          </w:tcPr>
          <w:p>
            <w:pPr>
              <w:jc w:val="center"/>
              <w:rPr>
                <w:rFonts w:ascii="宋体" w:hAnsi="宋体"/>
                <w:b/>
                <w:bCs/>
                <w:color w:val="auto"/>
              </w:rPr>
            </w:pPr>
            <w:r>
              <w:rPr>
                <w:rFonts w:hint="eastAsia" w:ascii="宋体" w:hAnsi="宋体"/>
                <w:b/>
                <w:bCs/>
                <w:color w:val="auto"/>
              </w:rPr>
              <w:t>内   容</w:t>
            </w:r>
          </w:p>
        </w:tc>
        <w:tc>
          <w:tcPr>
            <w:tcW w:w="5400" w:type="dxa"/>
            <w:vAlign w:val="center"/>
          </w:tcPr>
          <w:p>
            <w:pPr>
              <w:jc w:val="center"/>
              <w:rPr>
                <w:rFonts w:ascii="宋体" w:hAnsi="宋体"/>
                <w:b/>
                <w:bCs/>
                <w:color w:val="auto"/>
              </w:rPr>
            </w:pPr>
            <w:r>
              <w:rPr>
                <w:rFonts w:hint="eastAsia" w:ascii="宋体" w:hAnsi="宋体"/>
                <w:b/>
                <w:bCs/>
                <w:color w:val="auto"/>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color w:val="auto"/>
              </w:rPr>
            </w:pPr>
            <w:r>
              <w:rPr>
                <w:rFonts w:hint="eastAsia" w:ascii="宋体" w:hAnsi="宋体"/>
                <w:color w:val="auto"/>
              </w:rPr>
              <w:t>1</w:t>
            </w:r>
          </w:p>
        </w:tc>
        <w:tc>
          <w:tcPr>
            <w:tcW w:w="2160" w:type="dxa"/>
            <w:vAlign w:val="center"/>
          </w:tcPr>
          <w:p>
            <w:pPr>
              <w:rPr>
                <w:color w:val="auto"/>
              </w:rPr>
            </w:pPr>
            <w:r>
              <w:rPr>
                <w:rFonts w:hint="eastAsia"/>
                <w:color w:val="auto"/>
              </w:rPr>
              <w:t>联合体投标</w:t>
            </w:r>
          </w:p>
        </w:tc>
        <w:tc>
          <w:tcPr>
            <w:tcW w:w="5400" w:type="dxa"/>
            <w:vAlign w:val="center"/>
          </w:tcPr>
          <w:p>
            <w:pPr>
              <w:rPr>
                <w:rFonts w:ascii="宋体" w:hAnsi="宋体"/>
                <w:snapToGrid w:val="0"/>
                <w:color w:val="auto"/>
                <w:kern w:val="0"/>
                <w:szCs w:val="32"/>
                <w:u w:val="single"/>
                <w:lang w:val="zh-CN"/>
              </w:rPr>
            </w:pPr>
            <w:r>
              <w:rPr>
                <w:rFonts w:hint="eastAsia" w:ascii="宋体" w:hAnsi="宋体"/>
                <w:snapToGrid w:val="0"/>
                <w:color w:val="auto"/>
                <w:kern w:val="0"/>
                <w:szCs w:val="32"/>
                <w:u w:val="single"/>
                <w:lang w:val="zh-CN"/>
              </w:rPr>
              <w:t>见《招标公告》中“投标人资格要求”部分的相关内容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color w:val="auto"/>
              </w:rPr>
            </w:pPr>
            <w:r>
              <w:rPr>
                <w:rFonts w:hint="eastAsia" w:ascii="宋体" w:hAnsi="宋体"/>
                <w:color w:val="auto"/>
              </w:rPr>
              <w:t>2</w:t>
            </w:r>
          </w:p>
        </w:tc>
        <w:tc>
          <w:tcPr>
            <w:tcW w:w="2160" w:type="dxa"/>
            <w:vAlign w:val="center"/>
          </w:tcPr>
          <w:p>
            <w:pPr>
              <w:rPr>
                <w:rFonts w:ascii="宋体" w:hAnsi="宋体"/>
                <w:color w:val="auto"/>
              </w:rPr>
            </w:pPr>
            <w:r>
              <w:rPr>
                <w:rFonts w:hint="eastAsia" w:ascii="宋体" w:hAnsi="宋体"/>
                <w:color w:val="auto"/>
              </w:rPr>
              <w:t>投标有效期</w:t>
            </w:r>
          </w:p>
        </w:tc>
        <w:tc>
          <w:tcPr>
            <w:tcW w:w="5400" w:type="dxa"/>
            <w:vAlign w:val="center"/>
          </w:tcPr>
          <w:p>
            <w:pPr>
              <w:rPr>
                <w:rFonts w:ascii="宋体" w:hAnsi="宋体"/>
                <w:color w:val="auto"/>
              </w:rPr>
            </w:pPr>
            <w:r>
              <w:rPr>
                <w:rFonts w:hint="eastAsia" w:ascii="宋体" w:hAnsi="宋体"/>
                <w:color w:val="auto"/>
                <w:u w:val="single"/>
              </w:rPr>
              <w:t>120</w:t>
            </w:r>
            <w:r>
              <w:rPr>
                <w:rFonts w:ascii="宋体" w:hAnsi="宋体"/>
                <w:color w:val="auto"/>
                <w:u w:val="single"/>
              </w:rPr>
              <w:t>日历天</w:t>
            </w:r>
            <w:r>
              <w:rPr>
                <w:rFonts w:ascii="宋体" w:hAnsi="宋体"/>
                <w:color w:val="auto"/>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color w:val="auto"/>
              </w:rPr>
            </w:pPr>
            <w:r>
              <w:rPr>
                <w:rFonts w:hint="eastAsia" w:ascii="宋体" w:hAnsi="宋体"/>
                <w:color w:val="auto"/>
              </w:rPr>
              <w:t>3</w:t>
            </w:r>
          </w:p>
        </w:tc>
        <w:tc>
          <w:tcPr>
            <w:tcW w:w="2160" w:type="dxa"/>
            <w:vAlign w:val="center"/>
          </w:tcPr>
          <w:p>
            <w:pPr>
              <w:rPr>
                <w:rFonts w:ascii="宋体" w:hAnsi="宋体"/>
                <w:color w:val="auto"/>
              </w:rPr>
            </w:pPr>
            <w:r>
              <w:rPr>
                <w:rFonts w:hint="eastAsia" w:ascii="宋体" w:hAnsi="宋体"/>
                <w:color w:val="auto"/>
              </w:rPr>
              <w:t>投标人的替代方案</w:t>
            </w:r>
          </w:p>
        </w:tc>
        <w:tc>
          <w:tcPr>
            <w:tcW w:w="5400" w:type="dxa"/>
            <w:vAlign w:val="center"/>
          </w:tcPr>
          <w:p>
            <w:pPr>
              <w:rPr>
                <w:rFonts w:ascii="宋体" w:hAnsi="宋体"/>
                <w:color w:val="auto"/>
              </w:rPr>
            </w:pPr>
            <w:r>
              <w:rPr>
                <w:rFonts w:hint="eastAsia" w:ascii="宋体" w:hAnsi="宋体"/>
                <w:color w:val="auto"/>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color w:val="auto"/>
              </w:rPr>
            </w:pPr>
            <w:r>
              <w:rPr>
                <w:rFonts w:hint="eastAsia" w:ascii="宋体" w:hAnsi="宋体"/>
                <w:color w:val="auto"/>
              </w:rPr>
              <w:t>4</w:t>
            </w:r>
          </w:p>
        </w:tc>
        <w:tc>
          <w:tcPr>
            <w:tcW w:w="2160" w:type="dxa"/>
            <w:vAlign w:val="center"/>
          </w:tcPr>
          <w:p>
            <w:pPr>
              <w:rPr>
                <w:rFonts w:ascii="宋体" w:hAnsi="宋体"/>
                <w:color w:val="auto"/>
              </w:rPr>
            </w:pPr>
            <w:r>
              <w:rPr>
                <w:rFonts w:hint="eastAsia" w:ascii="宋体" w:hAnsi="宋体"/>
                <w:color w:val="auto"/>
              </w:rPr>
              <w:t>投标文件的投递</w:t>
            </w:r>
          </w:p>
        </w:tc>
        <w:tc>
          <w:tcPr>
            <w:tcW w:w="5400" w:type="dxa"/>
            <w:vAlign w:val="center"/>
          </w:tcPr>
          <w:p>
            <w:pPr>
              <w:rPr>
                <w:rFonts w:ascii="宋体" w:hAnsi="宋体"/>
                <w:color w:val="auto"/>
              </w:rPr>
            </w:pPr>
            <w:r>
              <w:rPr>
                <w:rFonts w:hint="eastAsia" w:ascii="宋体" w:hAnsi="宋体"/>
                <w:color w:val="auto"/>
              </w:rPr>
              <w:t>本项目实行网上投标，投标人必须在招标文件规定的投标截止时间前登录“深圳市政府采购网”，使用“应标管理</w:t>
            </w:r>
            <w:r>
              <w:rPr>
                <w:rFonts w:ascii="宋体" w:hAnsi="宋体"/>
                <w:color w:val="auto"/>
              </w:rPr>
              <w:t>-&gt;上传投标文件”功能</w:t>
            </w:r>
            <w:r>
              <w:rPr>
                <w:rFonts w:hint="eastAsia" w:ascii="宋体" w:hAnsi="宋体"/>
                <w:color w:val="auto"/>
              </w:rPr>
              <w:t>点，</w:t>
            </w:r>
            <w:r>
              <w:rPr>
                <w:rFonts w:ascii="宋体" w:hAnsi="宋体"/>
                <w:color w:val="auto"/>
              </w:rPr>
              <w:t>将编制好的电子投标文件上传，投标文件大小不得超过</w:t>
            </w:r>
            <w:r>
              <w:rPr>
                <w:rFonts w:hint="eastAsia" w:ascii="宋体" w:hAnsi="宋体"/>
                <w:color w:val="auto"/>
              </w:rPr>
              <w:t>10</w:t>
            </w:r>
            <w:r>
              <w:rPr>
                <w:rFonts w:ascii="宋体" w:hAnsi="宋体"/>
                <w:color w:val="auto"/>
              </w:rPr>
              <w:t>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color w:val="auto"/>
              </w:rPr>
            </w:pPr>
            <w:r>
              <w:rPr>
                <w:rFonts w:hint="eastAsia" w:ascii="宋体" w:hAnsi="宋体"/>
                <w:color w:val="auto"/>
              </w:rPr>
              <w:t>5</w:t>
            </w:r>
          </w:p>
        </w:tc>
        <w:tc>
          <w:tcPr>
            <w:tcW w:w="2160" w:type="dxa"/>
            <w:vAlign w:val="center"/>
          </w:tcPr>
          <w:p>
            <w:pPr>
              <w:rPr>
                <w:rFonts w:ascii="宋体" w:hAnsi="宋体"/>
                <w:color w:val="auto"/>
              </w:rPr>
            </w:pPr>
            <w:r>
              <w:rPr>
                <w:rFonts w:hint="eastAsia" w:ascii="宋体" w:hAnsi="宋体"/>
                <w:color w:val="auto"/>
              </w:rPr>
              <w:t>履约保证金</w:t>
            </w:r>
          </w:p>
        </w:tc>
        <w:tc>
          <w:tcPr>
            <w:tcW w:w="5400" w:type="dxa"/>
            <w:vAlign w:val="center"/>
          </w:tcPr>
          <w:p>
            <w:pPr>
              <w:rPr>
                <w:rFonts w:ascii="宋体" w:hAnsi="宋体"/>
                <w:color w:val="auto"/>
              </w:rPr>
            </w:pPr>
            <w:r>
              <w:rPr>
                <w:rFonts w:hint="eastAsia"/>
                <w:color w:val="auto"/>
              </w:rPr>
              <w:t>_____万元或合同金额的_____%</w:t>
            </w:r>
            <w:r>
              <w:rPr>
                <w:rFonts w:hint="eastAsia"/>
                <w:color w:val="auto"/>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color w:val="auto"/>
              </w:rPr>
            </w:pPr>
            <w:r>
              <w:rPr>
                <w:rFonts w:hint="eastAsia" w:ascii="宋体" w:hAnsi="宋体"/>
                <w:color w:val="auto"/>
              </w:rPr>
              <w:t>6</w:t>
            </w:r>
          </w:p>
        </w:tc>
        <w:tc>
          <w:tcPr>
            <w:tcW w:w="2160" w:type="dxa"/>
            <w:vAlign w:val="center"/>
          </w:tcPr>
          <w:p>
            <w:pPr>
              <w:rPr>
                <w:rFonts w:ascii="宋体" w:hAnsi="宋体"/>
                <w:color w:val="auto"/>
              </w:rPr>
            </w:pPr>
            <w:r>
              <w:rPr>
                <w:rFonts w:hint="eastAsia" w:ascii="新宋体" w:hAnsi="新宋体" w:eastAsia="新宋体"/>
                <w:color w:val="auto"/>
                <w:szCs w:val="21"/>
              </w:rPr>
              <w:t>中标服务费</w:t>
            </w:r>
          </w:p>
        </w:tc>
        <w:tc>
          <w:tcPr>
            <w:tcW w:w="5400" w:type="dxa"/>
            <w:vAlign w:val="center"/>
          </w:tcPr>
          <w:p>
            <w:pPr>
              <w:spacing w:line="276" w:lineRule="auto"/>
              <w:rPr>
                <w:rFonts w:ascii="新宋体" w:hAnsi="新宋体" w:eastAsia="新宋体"/>
                <w:color w:val="auto"/>
                <w:szCs w:val="21"/>
              </w:rPr>
            </w:pPr>
            <w:r>
              <w:rPr>
                <w:rFonts w:hint="eastAsia" w:ascii="新宋体" w:hAnsi="新宋体" w:eastAsia="新宋体"/>
                <w:color w:val="auto"/>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p>
            <w:pPr>
              <w:spacing w:line="276" w:lineRule="auto"/>
              <w:rPr>
                <w:rFonts w:ascii="新宋体" w:hAnsi="新宋体" w:eastAsia="新宋体"/>
                <w:color w:val="auto"/>
                <w:szCs w:val="21"/>
              </w:rPr>
            </w:pPr>
            <w:r>
              <w:rPr>
                <w:rFonts w:hint="eastAsia" w:ascii="新宋体" w:hAnsi="新宋体" w:eastAsia="新宋体"/>
                <w:color w:val="auto"/>
                <w:szCs w:val="21"/>
              </w:rPr>
              <w:t>1、招标代理服务收费按差额定率累进法计算；</w:t>
            </w:r>
          </w:p>
          <w:p>
            <w:pPr>
              <w:rPr>
                <w:rFonts w:hint="eastAsia" w:ascii="新宋体" w:hAnsi="新宋体" w:eastAsia="新宋体"/>
                <w:color w:val="auto"/>
                <w:szCs w:val="21"/>
              </w:rPr>
            </w:pPr>
            <w:r>
              <w:rPr>
                <w:rFonts w:hint="eastAsia" w:ascii="新宋体" w:hAnsi="新宋体" w:eastAsia="新宋体"/>
                <w:color w:val="auto"/>
                <w:szCs w:val="21"/>
              </w:rPr>
              <w:t>2、中标服务费的缴纳形式：向招标代理机构直接缴纳，可用支票、电汇等付款方式；</w:t>
            </w:r>
          </w:p>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w:t>
            </w:r>
            <w:bookmarkStart w:id="25" w:name="_Hlk74670769"/>
            <w:r>
              <w:rPr>
                <w:rFonts w:hint="eastAsia" w:ascii="新宋体" w:hAnsi="新宋体" w:eastAsia="新宋体"/>
                <w:color w:val="auto"/>
                <w:szCs w:val="21"/>
              </w:rPr>
              <w:t>不足陆仟元的按陆仟元收取</w:t>
            </w:r>
            <w:bookmarkEnd w:id="25"/>
            <w:r>
              <w:rPr>
                <w:rFonts w:hint="eastAsia" w:ascii="新宋体" w:hAnsi="新宋体" w:eastAsia="新宋体"/>
                <w:color w:val="auto"/>
                <w:szCs w:val="21"/>
              </w:rPr>
              <w:t>。</w:t>
            </w:r>
          </w:p>
        </w:tc>
      </w:tr>
    </w:tbl>
    <w:p>
      <w:pPr>
        <w:rPr>
          <w:b/>
          <w:color w:val="auto"/>
        </w:rPr>
      </w:pPr>
      <w:r>
        <w:rPr>
          <w:rFonts w:hint="eastAsia"/>
          <w:color w:val="auto"/>
          <w:szCs w:val="21"/>
        </w:rPr>
        <w:t>备注：本表为通用条款相关内容的补充和明确，如与通用条款相冲突的以本表为准。</w:t>
      </w:r>
    </w:p>
    <w:p>
      <w:pPr>
        <w:rPr>
          <w:b/>
          <w:color w:val="auto"/>
        </w:rPr>
      </w:pPr>
    </w:p>
    <w:p>
      <w:pPr>
        <w:rPr>
          <w:color w:val="auto"/>
        </w:rPr>
      </w:pPr>
    </w:p>
    <w:p>
      <w:pPr>
        <w:pStyle w:val="6"/>
        <w:spacing w:before="120" w:beforeLines="50" w:after="120" w:afterLines="50"/>
        <w:rPr>
          <w:color w:val="auto"/>
          <w:sz w:val="28"/>
          <w:szCs w:val="28"/>
        </w:rPr>
      </w:pPr>
      <w:r>
        <w:rPr>
          <w:rFonts w:hint="eastAsia"/>
          <w:color w:val="auto"/>
          <w:sz w:val="28"/>
          <w:szCs w:val="28"/>
        </w:rPr>
        <w:t>二、货物清单</w:t>
      </w:r>
    </w:p>
    <w:p>
      <w:pPr>
        <w:rPr>
          <w:rFonts w:ascii="宋体" w:hAnsi="宋体"/>
          <w:b/>
          <w:color w:val="auto"/>
          <w:szCs w:val="21"/>
        </w:rPr>
      </w:pPr>
      <w:r>
        <w:rPr>
          <w:rFonts w:hint="eastAsia" w:ascii="宋体" w:hAnsi="宋体"/>
          <w:b/>
          <w:color w:val="auto"/>
          <w:szCs w:val="21"/>
        </w:rPr>
        <w:t>（一）货物总清单</w:t>
      </w:r>
    </w:p>
    <w:tbl>
      <w:tblPr>
        <w:tblStyle w:val="43"/>
        <w:tblpPr w:leftFromText="180" w:rightFromText="180" w:vertAnchor="text" w:horzAnchor="margin" w:tblpY="173"/>
        <w:tblW w:w="7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605"/>
        <w:gridCol w:w="1276"/>
        <w:gridCol w:w="709"/>
        <w:gridCol w:w="709"/>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pPr>
              <w:jc w:val="center"/>
              <w:rPr>
                <w:bCs/>
                <w:color w:val="auto"/>
                <w:szCs w:val="21"/>
              </w:rPr>
            </w:pPr>
            <w:r>
              <w:rPr>
                <w:rFonts w:hint="eastAsia"/>
                <w:bCs/>
                <w:color w:val="auto"/>
                <w:szCs w:val="21"/>
              </w:rPr>
              <w:t>序号</w:t>
            </w:r>
          </w:p>
        </w:tc>
        <w:tc>
          <w:tcPr>
            <w:tcW w:w="1605" w:type="dxa"/>
            <w:vAlign w:val="center"/>
          </w:tcPr>
          <w:p>
            <w:pPr>
              <w:jc w:val="center"/>
              <w:rPr>
                <w:bCs/>
                <w:color w:val="auto"/>
                <w:szCs w:val="21"/>
              </w:rPr>
            </w:pPr>
            <w:r>
              <w:rPr>
                <w:rFonts w:hint="eastAsia"/>
                <w:color w:val="auto"/>
                <w:szCs w:val="21"/>
              </w:rPr>
              <w:t>采购计划编号</w:t>
            </w:r>
          </w:p>
        </w:tc>
        <w:tc>
          <w:tcPr>
            <w:tcW w:w="1276" w:type="dxa"/>
            <w:vAlign w:val="center"/>
          </w:tcPr>
          <w:p>
            <w:pPr>
              <w:jc w:val="center"/>
              <w:rPr>
                <w:bCs/>
                <w:color w:val="auto"/>
                <w:szCs w:val="21"/>
              </w:rPr>
            </w:pPr>
            <w:r>
              <w:rPr>
                <w:rFonts w:hint="eastAsia"/>
                <w:bCs/>
                <w:color w:val="auto"/>
                <w:szCs w:val="21"/>
              </w:rPr>
              <w:t>货物名称</w:t>
            </w:r>
          </w:p>
        </w:tc>
        <w:tc>
          <w:tcPr>
            <w:tcW w:w="709" w:type="dxa"/>
            <w:vAlign w:val="center"/>
          </w:tcPr>
          <w:p>
            <w:pPr>
              <w:jc w:val="center"/>
              <w:rPr>
                <w:bCs/>
                <w:color w:val="auto"/>
                <w:szCs w:val="21"/>
              </w:rPr>
            </w:pPr>
            <w:r>
              <w:rPr>
                <w:rFonts w:hint="eastAsia"/>
                <w:bCs/>
                <w:color w:val="auto"/>
                <w:szCs w:val="21"/>
              </w:rPr>
              <w:t>数量</w:t>
            </w:r>
          </w:p>
        </w:tc>
        <w:tc>
          <w:tcPr>
            <w:tcW w:w="709" w:type="dxa"/>
            <w:vAlign w:val="center"/>
          </w:tcPr>
          <w:p>
            <w:pPr>
              <w:jc w:val="center"/>
              <w:rPr>
                <w:bCs/>
                <w:color w:val="auto"/>
                <w:szCs w:val="21"/>
              </w:rPr>
            </w:pPr>
            <w:r>
              <w:rPr>
                <w:rFonts w:hint="eastAsia"/>
                <w:bCs/>
                <w:color w:val="auto"/>
                <w:szCs w:val="21"/>
              </w:rPr>
              <w:t>单位</w:t>
            </w:r>
          </w:p>
        </w:tc>
        <w:tc>
          <w:tcPr>
            <w:tcW w:w="1134" w:type="dxa"/>
            <w:vAlign w:val="center"/>
          </w:tcPr>
          <w:p>
            <w:pPr>
              <w:jc w:val="center"/>
              <w:rPr>
                <w:b/>
                <w:bCs/>
                <w:color w:val="auto"/>
                <w:szCs w:val="21"/>
              </w:rPr>
            </w:pPr>
            <w:r>
              <w:rPr>
                <w:rFonts w:hint="eastAsia"/>
                <w:b/>
                <w:bCs/>
                <w:color w:val="auto"/>
                <w:szCs w:val="21"/>
              </w:rPr>
              <w:t>备注</w:t>
            </w:r>
          </w:p>
        </w:tc>
        <w:tc>
          <w:tcPr>
            <w:tcW w:w="1418" w:type="dxa"/>
            <w:vAlign w:val="center"/>
          </w:tcPr>
          <w:p>
            <w:pPr>
              <w:jc w:val="center"/>
              <w:rPr>
                <w:b/>
                <w:bCs/>
                <w:color w:val="auto"/>
                <w:szCs w:val="21"/>
              </w:rPr>
            </w:pPr>
            <w:r>
              <w:rPr>
                <w:rFonts w:hint="eastAsia"/>
                <w:b/>
                <w:bCs/>
                <w:color w:val="auto"/>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71" w:type="dxa"/>
          </w:tcPr>
          <w:p>
            <w:pPr>
              <w:jc w:val="center"/>
              <w:rPr>
                <w:bCs/>
                <w:color w:val="auto"/>
                <w:szCs w:val="21"/>
              </w:rPr>
            </w:pPr>
            <w:r>
              <w:rPr>
                <w:rFonts w:hint="eastAsia"/>
                <w:bCs/>
                <w:color w:val="auto"/>
                <w:szCs w:val="21"/>
              </w:rPr>
              <w:t>1</w:t>
            </w:r>
          </w:p>
        </w:tc>
        <w:tc>
          <w:tcPr>
            <w:tcW w:w="1605" w:type="dxa"/>
            <w:vMerge w:val="restart"/>
            <w:vAlign w:val="center"/>
          </w:tcPr>
          <w:p>
            <w:pPr>
              <w:jc w:val="center"/>
              <w:rPr>
                <w:bCs/>
                <w:color w:val="auto"/>
                <w:szCs w:val="21"/>
              </w:rPr>
            </w:pPr>
            <w:r>
              <w:rPr>
                <w:rFonts w:hint="eastAsia"/>
                <w:bCs/>
                <w:color w:val="auto"/>
                <w:szCs w:val="21"/>
                <w:lang w:val="en-US" w:eastAsia="zh-CN"/>
              </w:rPr>
              <w:t>PLAN-2021-440305-0502020048-0101</w:t>
            </w:r>
            <w:r>
              <w:rPr>
                <w:rFonts w:hint="eastAsia"/>
                <w:color w:val="auto"/>
              </w:rPr>
              <w:t>2</w:t>
            </w:r>
          </w:p>
        </w:tc>
        <w:tc>
          <w:tcPr>
            <w:tcW w:w="1276" w:type="dxa"/>
          </w:tcPr>
          <w:p>
            <w:pPr>
              <w:jc w:val="center"/>
              <w:rPr>
                <w:bCs/>
                <w:color w:val="auto"/>
                <w:szCs w:val="21"/>
              </w:rPr>
            </w:pPr>
            <w:r>
              <w:rPr>
                <w:rFonts w:hint="eastAsia"/>
                <w:bCs/>
                <w:color w:val="auto"/>
                <w:szCs w:val="21"/>
              </w:rPr>
              <w:t>活体鱼鱼缸</w:t>
            </w:r>
          </w:p>
        </w:tc>
        <w:tc>
          <w:tcPr>
            <w:tcW w:w="709" w:type="dxa"/>
            <w:vMerge w:val="restart"/>
            <w:vAlign w:val="center"/>
          </w:tcPr>
          <w:p>
            <w:pPr>
              <w:jc w:val="center"/>
              <w:rPr>
                <w:rFonts w:hint="default" w:eastAsia="宋体"/>
                <w:bCs/>
                <w:color w:val="auto"/>
                <w:szCs w:val="21"/>
                <w:lang w:val="en-US" w:eastAsia="zh-CN"/>
              </w:rPr>
            </w:pPr>
            <w:r>
              <w:rPr>
                <w:rFonts w:hint="eastAsia"/>
                <w:bCs/>
                <w:color w:val="auto"/>
                <w:szCs w:val="21"/>
                <w:lang w:val="en-US" w:eastAsia="zh-CN"/>
              </w:rPr>
              <w:t>详见货物清单明细</w:t>
            </w:r>
          </w:p>
        </w:tc>
        <w:tc>
          <w:tcPr>
            <w:tcW w:w="709" w:type="dxa"/>
            <w:vMerge w:val="restart"/>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eastAsia"/>
                <w:bCs/>
                <w:color w:val="auto"/>
                <w:szCs w:val="21"/>
                <w:lang w:val="en-US" w:eastAsia="zh-CN"/>
              </w:rPr>
              <w:t>详见货物清单明细</w:t>
            </w:r>
          </w:p>
        </w:tc>
        <w:tc>
          <w:tcPr>
            <w:tcW w:w="1134" w:type="dxa"/>
            <w:vMerge w:val="restart"/>
            <w:vAlign w:val="center"/>
          </w:tcPr>
          <w:p>
            <w:pPr>
              <w:jc w:val="center"/>
              <w:rPr>
                <w:rFonts w:hint="default" w:eastAsia="宋体"/>
                <w:b/>
                <w:bCs/>
                <w:color w:val="auto"/>
                <w:szCs w:val="21"/>
                <w:lang w:val="en-US" w:eastAsia="zh-CN"/>
              </w:rPr>
            </w:pPr>
            <w:r>
              <w:rPr>
                <w:rFonts w:hint="eastAsia"/>
                <w:b/>
                <w:bCs/>
                <w:color w:val="auto"/>
                <w:szCs w:val="21"/>
                <w:lang w:val="en-US" w:eastAsia="zh-CN"/>
              </w:rPr>
              <w:t>不接受进口产品</w:t>
            </w:r>
          </w:p>
        </w:tc>
        <w:tc>
          <w:tcPr>
            <w:tcW w:w="1418" w:type="dxa"/>
            <w:vMerge w:val="restart"/>
            <w:vAlign w:val="center"/>
          </w:tcPr>
          <w:p>
            <w:pPr>
              <w:jc w:val="center"/>
              <w:rPr>
                <w:rFonts w:hint="default" w:eastAsia="宋体"/>
                <w:bCs/>
                <w:color w:val="auto"/>
                <w:szCs w:val="21"/>
                <w:lang w:val="en-US" w:eastAsia="zh-CN"/>
              </w:rPr>
            </w:pPr>
            <w:r>
              <w:rPr>
                <w:rFonts w:hint="default" w:eastAsia="宋体"/>
                <w:bCs/>
                <w:color w:val="auto"/>
                <w:szCs w:val="21"/>
                <w:lang w:val="en-US" w:eastAsia="zh-CN"/>
              </w:rPr>
              <w:t>800,000.00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tcPr>
          <w:p>
            <w:pPr>
              <w:jc w:val="center"/>
              <w:rPr>
                <w:bCs/>
                <w:color w:val="auto"/>
                <w:szCs w:val="21"/>
              </w:rPr>
            </w:pPr>
            <w:r>
              <w:rPr>
                <w:rFonts w:hint="eastAsia"/>
                <w:bCs/>
                <w:color w:val="auto"/>
                <w:szCs w:val="21"/>
              </w:rPr>
              <w:t>2</w:t>
            </w:r>
          </w:p>
        </w:tc>
        <w:tc>
          <w:tcPr>
            <w:tcW w:w="1605" w:type="dxa"/>
            <w:vMerge w:val="continue"/>
            <w:vAlign w:val="center"/>
          </w:tcPr>
          <w:p>
            <w:pPr>
              <w:jc w:val="center"/>
              <w:rPr>
                <w:bCs/>
                <w:color w:val="auto"/>
                <w:szCs w:val="21"/>
              </w:rPr>
            </w:pPr>
          </w:p>
        </w:tc>
        <w:tc>
          <w:tcPr>
            <w:tcW w:w="1276" w:type="dxa"/>
          </w:tcPr>
          <w:p>
            <w:pPr>
              <w:jc w:val="center"/>
              <w:rPr>
                <w:bCs/>
                <w:color w:val="auto"/>
                <w:szCs w:val="21"/>
              </w:rPr>
            </w:pPr>
            <w:r>
              <w:rPr>
                <w:rFonts w:hint="eastAsia"/>
                <w:bCs/>
                <w:color w:val="auto"/>
                <w:szCs w:val="21"/>
              </w:rPr>
              <w:t>标本鱼缸</w:t>
            </w:r>
          </w:p>
        </w:tc>
        <w:tc>
          <w:tcPr>
            <w:tcW w:w="709" w:type="dxa"/>
            <w:vMerge w:val="continue"/>
          </w:tcPr>
          <w:p>
            <w:pPr>
              <w:jc w:val="center"/>
              <w:rPr>
                <w:bCs/>
                <w:color w:val="auto"/>
                <w:szCs w:val="21"/>
              </w:rPr>
            </w:pPr>
          </w:p>
        </w:tc>
        <w:tc>
          <w:tcPr>
            <w:tcW w:w="709" w:type="dxa"/>
            <w:vMerge w:val="continue"/>
          </w:tcPr>
          <w:p>
            <w:pPr>
              <w:jc w:val="center"/>
              <w:rPr>
                <w:bCs/>
                <w:color w:val="auto"/>
                <w:szCs w:val="21"/>
              </w:rPr>
            </w:pPr>
          </w:p>
        </w:tc>
        <w:tc>
          <w:tcPr>
            <w:tcW w:w="1134" w:type="dxa"/>
            <w:vMerge w:val="continue"/>
          </w:tcPr>
          <w:p>
            <w:pPr>
              <w:jc w:val="center"/>
              <w:rPr>
                <w:b/>
                <w:bCs/>
                <w:color w:val="auto"/>
                <w:szCs w:val="21"/>
              </w:rPr>
            </w:pPr>
          </w:p>
        </w:tc>
        <w:tc>
          <w:tcPr>
            <w:tcW w:w="1418" w:type="dxa"/>
            <w:vMerge w:val="continue"/>
          </w:tcPr>
          <w:p>
            <w:pPr>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tcPr>
          <w:p>
            <w:pPr>
              <w:jc w:val="center"/>
              <w:rPr>
                <w:bCs/>
                <w:color w:val="auto"/>
                <w:szCs w:val="21"/>
              </w:rPr>
            </w:pPr>
            <w:r>
              <w:rPr>
                <w:rFonts w:hint="eastAsia"/>
                <w:bCs/>
                <w:color w:val="auto"/>
                <w:szCs w:val="21"/>
              </w:rPr>
              <w:t>3</w:t>
            </w:r>
          </w:p>
        </w:tc>
        <w:tc>
          <w:tcPr>
            <w:tcW w:w="1605" w:type="dxa"/>
            <w:vMerge w:val="continue"/>
            <w:vAlign w:val="center"/>
          </w:tcPr>
          <w:p>
            <w:pPr>
              <w:jc w:val="center"/>
              <w:rPr>
                <w:bCs/>
                <w:color w:val="auto"/>
                <w:szCs w:val="21"/>
              </w:rPr>
            </w:pPr>
          </w:p>
        </w:tc>
        <w:tc>
          <w:tcPr>
            <w:tcW w:w="1276" w:type="dxa"/>
          </w:tcPr>
          <w:p>
            <w:pPr>
              <w:jc w:val="center"/>
              <w:rPr>
                <w:bCs/>
                <w:color w:val="auto"/>
                <w:szCs w:val="21"/>
              </w:rPr>
            </w:pPr>
            <w:r>
              <w:rPr>
                <w:rFonts w:hint="eastAsia"/>
                <w:bCs/>
                <w:color w:val="auto"/>
                <w:szCs w:val="21"/>
              </w:rPr>
              <w:t>活体鱼</w:t>
            </w:r>
          </w:p>
        </w:tc>
        <w:tc>
          <w:tcPr>
            <w:tcW w:w="709" w:type="dxa"/>
            <w:vMerge w:val="continue"/>
          </w:tcPr>
          <w:p>
            <w:pPr>
              <w:jc w:val="center"/>
              <w:rPr>
                <w:bCs/>
                <w:color w:val="auto"/>
                <w:szCs w:val="21"/>
              </w:rPr>
            </w:pPr>
          </w:p>
        </w:tc>
        <w:tc>
          <w:tcPr>
            <w:tcW w:w="709" w:type="dxa"/>
            <w:vMerge w:val="continue"/>
          </w:tcPr>
          <w:p>
            <w:pPr>
              <w:jc w:val="center"/>
              <w:rPr>
                <w:bCs/>
                <w:color w:val="auto"/>
                <w:szCs w:val="21"/>
              </w:rPr>
            </w:pPr>
          </w:p>
        </w:tc>
        <w:tc>
          <w:tcPr>
            <w:tcW w:w="1134" w:type="dxa"/>
            <w:vMerge w:val="continue"/>
          </w:tcPr>
          <w:p>
            <w:pPr>
              <w:jc w:val="center"/>
              <w:rPr>
                <w:b/>
                <w:bCs/>
                <w:color w:val="auto"/>
                <w:szCs w:val="21"/>
              </w:rPr>
            </w:pPr>
          </w:p>
        </w:tc>
        <w:tc>
          <w:tcPr>
            <w:tcW w:w="1418" w:type="dxa"/>
            <w:vMerge w:val="continue"/>
          </w:tcPr>
          <w:p>
            <w:pPr>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tcPr>
          <w:p>
            <w:pPr>
              <w:jc w:val="center"/>
              <w:rPr>
                <w:bCs/>
                <w:color w:val="auto"/>
                <w:szCs w:val="21"/>
              </w:rPr>
            </w:pPr>
            <w:r>
              <w:rPr>
                <w:rFonts w:hint="eastAsia"/>
                <w:bCs/>
                <w:color w:val="auto"/>
                <w:szCs w:val="21"/>
              </w:rPr>
              <w:t>4</w:t>
            </w:r>
          </w:p>
        </w:tc>
        <w:tc>
          <w:tcPr>
            <w:tcW w:w="1605" w:type="dxa"/>
            <w:vMerge w:val="continue"/>
            <w:vAlign w:val="center"/>
          </w:tcPr>
          <w:p>
            <w:pPr>
              <w:jc w:val="center"/>
              <w:rPr>
                <w:bCs/>
                <w:color w:val="auto"/>
                <w:szCs w:val="21"/>
              </w:rPr>
            </w:pPr>
          </w:p>
        </w:tc>
        <w:tc>
          <w:tcPr>
            <w:tcW w:w="1276" w:type="dxa"/>
          </w:tcPr>
          <w:p>
            <w:pPr>
              <w:jc w:val="center"/>
              <w:rPr>
                <w:bCs/>
                <w:color w:val="auto"/>
                <w:szCs w:val="21"/>
              </w:rPr>
            </w:pPr>
            <w:r>
              <w:rPr>
                <w:rFonts w:hint="eastAsia"/>
                <w:bCs/>
                <w:color w:val="auto"/>
                <w:szCs w:val="21"/>
              </w:rPr>
              <w:t>标本鱼</w:t>
            </w:r>
          </w:p>
        </w:tc>
        <w:tc>
          <w:tcPr>
            <w:tcW w:w="709" w:type="dxa"/>
            <w:vMerge w:val="continue"/>
          </w:tcPr>
          <w:p>
            <w:pPr>
              <w:jc w:val="center"/>
              <w:rPr>
                <w:bCs/>
                <w:color w:val="auto"/>
                <w:szCs w:val="21"/>
              </w:rPr>
            </w:pPr>
          </w:p>
        </w:tc>
        <w:tc>
          <w:tcPr>
            <w:tcW w:w="709" w:type="dxa"/>
            <w:vMerge w:val="continue"/>
          </w:tcPr>
          <w:p>
            <w:pPr>
              <w:jc w:val="center"/>
              <w:rPr>
                <w:bCs/>
                <w:color w:val="auto"/>
                <w:szCs w:val="21"/>
              </w:rPr>
            </w:pPr>
          </w:p>
        </w:tc>
        <w:tc>
          <w:tcPr>
            <w:tcW w:w="1134" w:type="dxa"/>
            <w:vMerge w:val="continue"/>
          </w:tcPr>
          <w:p>
            <w:pPr>
              <w:jc w:val="center"/>
              <w:rPr>
                <w:bCs/>
                <w:color w:val="auto"/>
                <w:szCs w:val="21"/>
              </w:rPr>
            </w:pPr>
          </w:p>
        </w:tc>
        <w:tc>
          <w:tcPr>
            <w:tcW w:w="1418" w:type="dxa"/>
            <w:vMerge w:val="continue"/>
          </w:tcPr>
          <w:p>
            <w:pPr>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tcPr>
          <w:p>
            <w:pPr>
              <w:jc w:val="center"/>
              <w:rPr>
                <w:rFonts w:hint="eastAsia" w:eastAsia="宋体"/>
                <w:bCs/>
                <w:color w:val="auto"/>
                <w:szCs w:val="21"/>
                <w:lang w:val="en-US" w:eastAsia="zh-CN"/>
              </w:rPr>
            </w:pPr>
            <w:r>
              <w:rPr>
                <w:rFonts w:hint="eastAsia"/>
                <w:bCs/>
                <w:color w:val="auto"/>
                <w:szCs w:val="21"/>
                <w:lang w:val="en-US" w:eastAsia="zh-CN"/>
              </w:rPr>
              <w:t>5</w:t>
            </w:r>
          </w:p>
        </w:tc>
        <w:tc>
          <w:tcPr>
            <w:tcW w:w="1605" w:type="dxa"/>
            <w:vMerge w:val="continue"/>
            <w:vAlign w:val="center"/>
          </w:tcPr>
          <w:p>
            <w:pPr>
              <w:jc w:val="center"/>
              <w:rPr>
                <w:bCs/>
                <w:color w:val="auto"/>
                <w:szCs w:val="21"/>
              </w:rPr>
            </w:pPr>
          </w:p>
        </w:tc>
        <w:tc>
          <w:tcPr>
            <w:tcW w:w="1276" w:type="dxa"/>
          </w:tcPr>
          <w:p>
            <w:pPr>
              <w:jc w:val="center"/>
              <w:rPr>
                <w:rFonts w:hint="eastAsia"/>
                <w:bCs/>
                <w:color w:val="auto"/>
                <w:szCs w:val="21"/>
              </w:rPr>
            </w:pPr>
            <w:r>
              <w:rPr>
                <w:rFonts w:hint="eastAsia"/>
                <w:bCs/>
                <w:color w:val="auto"/>
                <w:szCs w:val="21"/>
              </w:rPr>
              <w:t>景观船</w:t>
            </w:r>
          </w:p>
        </w:tc>
        <w:tc>
          <w:tcPr>
            <w:tcW w:w="709" w:type="dxa"/>
            <w:vMerge w:val="continue"/>
          </w:tcPr>
          <w:p>
            <w:pPr>
              <w:jc w:val="center"/>
              <w:rPr>
                <w:bCs/>
                <w:color w:val="auto"/>
                <w:szCs w:val="21"/>
              </w:rPr>
            </w:pPr>
          </w:p>
        </w:tc>
        <w:tc>
          <w:tcPr>
            <w:tcW w:w="709" w:type="dxa"/>
            <w:vMerge w:val="continue"/>
          </w:tcPr>
          <w:p>
            <w:pPr>
              <w:jc w:val="center"/>
              <w:rPr>
                <w:bCs/>
                <w:color w:val="auto"/>
                <w:szCs w:val="21"/>
              </w:rPr>
            </w:pPr>
          </w:p>
        </w:tc>
        <w:tc>
          <w:tcPr>
            <w:tcW w:w="1134" w:type="dxa"/>
            <w:vMerge w:val="continue"/>
          </w:tcPr>
          <w:p>
            <w:pPr>
              <w:jc w:val="center"/>
              <w:rPr>
                <w:bCs/>
                <w:color w:val="auto"/>
                <w:szCs w:val="21"/>
              </w:rPr>
            </w:pPr>
          </w:p>
        </w:tc>
        <w:tc>
          <w:tcPr>
            <w:tcW w:w="1418" w:type="dxa"/>
            <w:vMerge w:val="continue"/>
          </w:tcPr>
          <w:p>
            <w:pPr>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tcPr>
          <w:p>
            <w:pPr>
              <w:jc w:val="center"/>
              <w:rPr>
                <w:rFonts w:hint="eastAsia" w:eastAsia="宋体"/>
                <w:bCs/>
                <w:color w:val="auto"/>
                <w:szCs w:val="21"/>
                <w:lang w:val="en-US" w:eastAsia="zh-CN"/>
              </w:rPr>
            </w:pPr>
            <w:r>
              <w:rPr>
                <w:rFonts w:hint="eastAsia"/>
                <w:bCs/>
                <w:color w:val="auto"/>
                <w:szCs w:val="21"/>
                <w:lang w:val="en-US" w:eastAsia="zh-CN"/>
              </w:rPr>
              <w:t>6</w:t>
            </w:r>
          </w:p>
        </w:tc>
        <w:tc>
          <w:tcPr>
            <w:tcW w:w="1605" w:type="dxa"/>
            <w:vMerge w:val="continue"/>
            <w:vAlign w:val="center"/>
          </w:tcPr>
          <w:p>
            <w:pPr>
              <w:jc w:val="center"/>
              <w:rPr>
                <w:bCs/>
                <w:color w:val="auto"/>
                <w:szCs w:val="21"/>
              </w:rPr>
            </w:pPr>
          </w:p>
        </w:tc>
        <w:tc>
          <w:tcPr>
            <w:tcW w:w="1276" w:type="dxa"/>
          </w:tcPr>
          <w:p>
            <w:pPr>
              <w:jc w:val="center"/>
              <w:rPr>
                <w:rFonts w:hint="eastAsia"/>
                <w:bCs/>
                <w:color w:val="auto"/>
                <w:szCs w:val="21"/>
              </w:rPr>
            </w:pPr>
            <w:r>
              <w:rPr>
                <w:rFonts w:hint="eastAsia"/>
                <w:bCs/>
                <w:color w:val="auto"/>
                <w:szCs w:val="21"/>
              </w:rPr>
              <w:t>灯光设备</w:t>
            </w:r>
          </w:p>
        </w:tc>
        <w:tc>
          <w:tcPr>
            <w:tcW w:w="709" w:type="dxa"/>
            <w:vMerge w:val="continue"/>
          </w:tcPr>
          <w:p>
            <w:pPr>
              <w:jc w:val="center"/>
              <w:rPr>
                <w:bCs/>
                <w:color w:val="auto"/>
                <w:szCs w:val="21"/>
              </w:rPr>
            </w:pPr>
          </w:p>
        </w:tc>
        <w:tc>
          <w:tcPr>
            <w:tcW w:w="709" w:type="dxa"/>
            <w:vMerge w:val="continue"/>
          </w:tcPr>
          <w:p>
            <w:pPr>
              <w:jc w:val="center"/>
              <w:rPr>
                <w:bCs/>
                <w:color w:val="auto"/>
                <w:szCs w:val="21"/>
              </w:rPr>
            </w:pPr>
          </w:p>
        </w:tc>
        <w:tc>
          <w:tcPr>
            <w:tcW w:w="1134" w:type="dxa"/>
            <w:vMerge w:val="continue"/>
          </w:tcPr>
          <w:p>
            <w:pPr>
              <w:jc w:val="center"/>
              <w:rPr>
                <w:bCs/>
                <w:color w:val="auto"/>
                <w:szCs w:val="21"/>
              </w:rPr>
            </w:pPr>
          </w:p>
        </w:tc>
        <w:tc>
          <w:tcPr>
            <w:tcW w:w="1418" w:type="dxa"/>
            <w:vMerge w:val="continue"/>
          </w:tcPr>
          <w:p>
            <w:pPr>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tcPr>
          <w:p>
            <w:pPr>
              <w:jc w:val="center"/>
              <w:rPr>
                <w:rFonts w:hint="eastAsia" w:eastAsia="宋体"/>
                <w:bCs/>
                <w:color w:val="auto"/>
                <w:szCs w:val="21"/>
                <w:lang w:val="en-US" w:eastAsia="zh-CN"/>
              </w:rPr>
            </w:pPr>
            <w:r>
              <w:rPr>
                <w:rFonts w:hint="eastAsia"/>
                <w:bCs/>
                <w:color w:val="auto"/>
                <w:szCs w:val="21"/>
                <w:lang w:val="en-US" w:eastAsia="zh-CN"/>
              </w:rPr>
              <w:t>7</w:t>
            </w:r>
          </w:p>
        </w:tc>
        <w:tc>
          <w:tcPr>
            <w:tcW w:w="1605" w:type="dxa"/>
            <w:vMerge w:val="continue"/>
            <w:vAlign w:val="center"/>
          </w:tcPr>
          <w:p>
            <w:pPr>
              <w:jc w:val="center"/>
              <w:rPr>
                <w:bCs/>
                <w:color w:val="auto"/>
                <w:szCs w:val="21"/>
              </w:rPr>
            </w:pPr>
          </w:p>
        </w:tc>
        <w:tc>
          <w:tcPr>
            <w:tcW w:w="1276" w:type="dxa"/>
          </w:tcPr>
          <w:p>
            <w:pPr>
              <w:jc w:val="center"/>
              <w:rPr>
                <w:rFonts w:hint="eastAsia"/>
                <w:bCs/>
                <w:color w:val="auto"/>
                <w:szCs w:val="21"/>
              </w:rPr>
            </w:pPr>
            <w:r>
              <w:rPr>
                <w:rFonts w:hint="eastAsia"/>
                <w:bCs/>
                <w:color w:val="auto"/>
                <w:szCs w:val="21"/>
              </w:rPr>
              <w:t>装饰类</w:t>
            </w:r>
          </w:p>
        </w:tc>
        <w:tc>
          <w:tcPr>
            <w:tcW w:w="709" w:type="dxa"/>
            <w:vMerge w:val="continue"/>
          </w:tcPr>
          <w:p>
            <w:pPr>
              <w:jc w:val="center"/>
              <w:rPr>
                <w:bCs/>
                <w:color w:val="auto"/>
                <w:szCs w:val="21"/>
              </w:rPr>
            </w:pPr>
          </w:p>
        </w:tc>
        <w:tc>
          <w:tcPr>
            <w:tcW w:w="709" w:type="dxa"/>
            <w:vMerge w:val="continue"/>
          </w:tcPr>
          <w:p>
            <w:pPr>
              <w:jc w:val="center"/>
              <w:rPr>
                <w:bCs/>
                <w:color w:val="auto"/>
                <w:szCs w:val="21"/>
              </w:rPr>
            </w:pPr>
          </w:p>
        </w:tc>
        <w:tc>
          <w:tcPr>
            <w:tcW w:w="1134" w:type="dxa"/>
            <w:vMerge w:val="continue"/>
          </w:tcPr>
          <w:p>
            <w:pPr>
              <w:jc w:val="center"/>
              <w:rPr>
                <w:bCs/>
                <w:color w:val="auto"/>
                <w:szCs w:val="21"/>
              </w:rPr>
            </w:pPr>
          </w:p>
        </w:tc>
        <w:tc>
          <w:tcPr>
            <w:tcW w:w="1418" w:type="dxa"/>
            <w:vMerge w:val="continue"/>
          </w:tcPr>
          <w:p>
            <w:pPr>
              <w:jc w:val="center"/>
              <w:rPr>
                <w:bCs/>
                <w:color w:val="auto"/>
                <w:szCs w:val="21"/>
              </w:rPr>
            </w:pPr>
          </w:p>
        </w:tc>
      </w:tr>
    </w:tbl>
    <w:p>
      <w:pPr>
        <w:rPr>
          <w:rFonts w:ascii="宋体" w:hAnsi="宋体"/>
          <w:b/>
          <w:color w:val="auto"/>
          <w:szCs w:val="21"/>
        </w:rPr>
      </w:pPr>
    </w:p>
    <w:p>
      <w:pPr>
        <w:rPr>
          <w:rFonts w:ascii="宋体" w:hAnsi="宋体"/>
          <w:b/>
          <w:color w:val="auto"/>
          <w:szCs w:val="21"/>
        </w:rPr>
      </w:pPr>
    </w:p>
    <w:p>
      <w:pPr>
        <w:rPr>
          <w:rFonts w:ascii="宋体" w:hAnsi="宋体"/>
          <w:b/>
          <w:color w:val="auto"/>
          <w:szCs w:val="21"/>
        </w:rPr>
      </w:pPr>
    </w:p>
    <w:p>
      <w:pPr>
        <w:rPr>
          <w:rFonts w:ascii="宋体" w:hAnsi="宋体"/>
          <w:b/>
          <w:color w:val="auto"/>
          <w:szCs w:val="21"/>
        </w:rPr>
      </w:pPr>
    </w:p>
    <w:p>
      <w:pPr>
        <w:rPr>
          <w:rFonts w:ascii="宋体" w:hAnsi="宋体"/>
          <w:b/>
          <w:color w:val="auto"/>
          <w:szCs w:val="21"/>
        </w:rPr>
      </w:pPr>
    </w:p>
    <w:p>
      <w:pPr>
        <w:rPr>
          <w:rFonts w:ascii="宋体" w:hAnsi="宋体"/>
          <w:b/>
          <w:color w:val="auto"/>
          <w:szCs w:val="21"/>
        </w:rPr>
      </w:pPr>
    </w:p>
    <w:p>
      <w:pPr>
        <w:rPr>
          <w:rFonts w:ascii="宋体" w:hAnsi="宋体"/>
          <w:b/>
          <w:color w:val="auto"/>
          <w:szCs w:val="21"/>
        </w:rPr>
      </w:pPr>
    </w:p>
    <w:p>
      <w:pPr>
        <w:rPr>
          <w:rFonts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bCs w:val="0"/>
          <w:color w:val="auto"/>
          <w:szCs w:val="21"/>
        </w:rPr>
      </w:pPr>
      <w:r>
        <w:rPr>
          <w:rFonts w:hint="eastAsia" w:ascii="宋体" w:hAnsi="宋体"/>
          <w:b/>
          <w:color w:val="auto"/>
          <w:szCs w:val="21"/>
        </w:rPr>
        <w:t>（二）货物清单明细</w:t>
      </w:r>
      <w:r>
        <w:rPr>
          <w:rFonts w:hint="eastAsia" w:ascii="宋体" w:hAnsi="宋体"/>
          <w:b/>
          <w:color w:val="auto"/>
          <w:szCs w:val="21"/>
        </w:rPr>
        <w:br w:type="textWrapping"/>
      </w:r>
      <w:r>
        <w:rPr>
          <w:rFonts w:hint="eastAsia" w:ascii="宋体" w:hAnsi="宋体"/>
          <w:b/>
          <w:bCs w:val="0"/>
          <w:color w:val="auto"/>
          <w:szCs w:val="21"/>
        </w:rPr>
        <w:t>附件1：深圳市南山区前海学校海洋生态园设备采购配置清单</w:t>
      </w:r>
    </w:p>
    <w:p>
      <w:pPr>
        <w:rPr>
          <w:rFonts w:ascii="宋体" w:hAnsi="宋体"/>
          <w:b/>
          <w:color w:val="auto"/>
          <w:szCs w:val="21"/>
        </w:rPr>
      </w:pPr>
    </w:p>
    <w:tbl>
      <w:tblPr>
        <w:tblStyle w:val="43"/>
        <w:tblW w:w="8001" w:type="dxa"/>
        <w:tblInd w:w="93" w:type="dxa"/>
        <w:tblLayout w:type="fixed"/>
        <w:tblCellMar>
          <w:top w:w="0" w:type="dxa"/>
          <w:left w:w="108" w:type="dxa"/>
          <w:bottom w:w="0" w:type="dxa"/>
          <w:right w:w="108" w:type="dxa"/>
        </w:tblCellMar>
      </w:tblPr>
      <w:tblGrid>
        <w:gridCol w:w="876"/>
        <w:gridCol w:w="4185"/>
        <w:gridCol w:w="870"/>
        <w:gridCol w:w="1035"/>
        <w:gridCol w:w="1035"/>
      </w:tblGrid>
      <w:tr>
        <w:tblPrEx>
          <w:tblCellMar>
            <w:top w:w="0" w:type="dxa"/>
            <w:left w:w="108" w:type="dxa"/>
            <w:bottom w:w="0" w:type="dxa"/>
            <w:right w:w="108" w:type="dxa"/>
          </w:tblCellMar>
        </w:tblPrEx>
        <w:trPr>
          <w:trHeight w:val="650" w:hRule="atLeast"/>
        </w:trPr>
        <w:tc>
          <w:tcPr>
            <w:tcW w:w="8001"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line="240" w:lineRule="auto"/>
              <w:jc w:val="center"/>
              <w:textAlignment w:val="center"/>
              <w:rPr>
                <w:rFonts w:hint="eastAsia" w:ascii="宋体" w:hAnsi="宋体" w:cs="宋体"/>
                <w:b/>
                <w:bCs/>
                <w:color w:val="auto"/>
                <w:sz w:val="22"/>
                <w:szCs w:val="22"/>
              </w:rPr>
            </w:pPr>
            <w:r>
              <w:rPr>
                <w:rFonts w:hint="eastAsia" w:ascii="宋体" w:hAnsi="宋体" w:cs="宋体"/>
                <w:b/>
                <w:bCs/>
                <w:color w:val="auto"/>
                <w:kern w:val="0"/>
                <w:sz w:val="22"/>
                <w:szCs w:val="22"/>
                <w:lang w:bidi="ar"/>
              </w:rPr>
              <w:t>前海学校海洋馆采购项目清单</w:t>
            </w:r>
          </w:p>
        </w:tc>
      </w:tr>
      <w:tr>
        <w:tblPrEx>
          <w:tblCellMar>
            <w:top w:w="0" w:type="dxa"/>
            <w:left w:w="108" w:type="dxa"/>
            <w:bottom w:w="0" w:type="dxa"/>
            <w:right w:w="108"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line="240" w:lineRule="auto"/>
              <w:jc w:val="center"/>
              <w:textAlignment w:val="center"/>
              <w:rPr>
                <w:rFonts w:hint="eastAsia" w:ascii="宋体" w:hAnsi="宋体" w:cs="宋体"/>
                <w:b/>
                <w:bCs/>
                <w:color w:val="auto"/>
                <w:sz w:val="22"/>
                <w:szCs w:val="22"/>
              </w:rPr>
            </w:pPr>
            <w:r>
              <w:rPr>
                <w:rFonts w:hint="eastAsia" w:ascii="宋体" w:hAnsi="宋体" w:cs="宋体"/>
                <w:b/>
                <w:bCs/>
                <w:color w:val="auto"/>
                <w:kern w:val="0"/>
                <w:sz w:val="22"/>
                <w:szCs w:val="22"/>
                <w:lang w:bidi="ar"/>
              </w:rPr>
              <w:t>序号</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line="240" w:lineRule="auto"/>
              <w:jc w:val="center"/>
              <w:textAlignment w:val="center"/>
              <w:rPr>
                <w:rFonts w:hint="eastAsia" w:ascii="宋体" w:hAnsi="宋体" w:cs="宋体"/>
                <w:b/>
                <w:bCs/>
                <w:color w:val="auto"/>
                <w:sz w:val="22"/>
                <w:szCs w:val="22"/>
              </w:rPr>
            </w:pPr>
            <w:r>
              <w:rPr>
                <w:rFonts w:hint="eastAsia" w:ascii="宋体" w:hAnsi="宋体" w:cs="宋体"/>
                <w:b/>
                <w:bCs/>
                <w:color w:val="auto"/>
                <w:kern w:val="0"/>
                <w:sz w:val="22"/>
                <w:szCs w:val="22"/>
                <w:lang w:bidi="ar"/>
              </w:rPr>
              <w:t>货物名称</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line="240" w:lineRule="auto"/>
              <w:jc w:val="center"/>
              <w:textAlignment w:val="center"/>
              <w:rPr>
                <w:rFonts w:hint="eastAsia" w:ascii="宋体" w:hAnsi="宋体" w:cs="宋体"/>
                <w:b/>
                <w:bCs/>
                <w:color w:val="auto"/>
                <w:sz w:val="22"/>
                <w:szCs w:val="22"/>
              </w:rPr>
            </w:pPr>
            <w:r>
              <w:rPr>
                <w:rFonts w:hint="eastAsia" w:ascii="宋体" w:hAnsi="宋体" w:cs="宋体"/>
                <w:b/>
                <w:bCs/>
                <w:color w:val="auto"/>
                <w:kern w:val="0"/>
                <w:sz w:val="22"/>
                <w:szCs w:val="22"/>
                <w:lang w:bidi="ar"/>
              </w:rPr>
              <w:t>数量</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line="240" w:lineRule="auto"/>
              <w:jc w:val="center"/>
              <w:textAlignment w:val="center"/>
              <w:rPr>
                <w:rFonts w:hint="eastAsia" w:ascii="宋体" w:hAnsi="宋体" w:cs="宋体"/>
                <w:b/>
                <w:bCs/>
                <w:color w:val="auto"/>
                <w:sz w:val="22"/>
                <w:szCs w:val="22"/>
              </w:rPr>
            </w:pPr>
            <w:r>
              <w:rPr>
                <w:rFonts w:hint="eastAsia" w:ascii="宋体" w:hAnsi="宋体" w:cs="宋体"/>
                <w:b/>
                <w:bCs/>
                <w:color w:val="auto"/>
                <w:kern w:val="0"/>
                <w:sz w:val="22"/>
                <w:szCs w:val="22"/>
                <w:lang w:bidi="ar"/>
              </w:rPr>
              <w:t>单位</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line="240" w:lineRule="auto"/>
              <w:jc w:val="left"/>
              <w:textAlignment w:val="center"/>
              <w:rPr>
                <w:rFonts w:hint="eastAsia" w:ascii="宋体" w:hAnsi="宋体" w:cs="宋体"/>
                <w:b/>
                <w:bCs/>
                <w:color w:val="auto"/>
                <w:sz w:val="22"/>
                <w:szCs w:val="22"/>
              </w:rPr>
            </w:pPr>
            <w:r>
              <w:rPr>
                <w:rFonts w:hint="eastAsia" w:ascii="宋体" w:hAnsi="宋体" w:cs="宋体"/>
                <w:b/>
                <w:bCs/>
                <w:color w:val="auto"/>
                <w:kern w:val="0"/>
                <w:sz w:val="22"/>
                <w:szCs w:val="22"/>
                <w:lang w:bidi="ar"/>
              </w:rPr>
              <w:t>备注</w:t>
            </w:r>
          </w:p>
        </w:tc>
      </w:tr>
      <w:tr>
        <w:tblPrEx>
          <w:tblCellMar>
            <w:top w:w="0" w:type="dxa"/>
            <w:left w:w="108" w:type="dxa"/>
            <w:bottom w:w="0" w:type="dxa"/>
            <w:right w:w="108" w:type="dxa"/>
          </w:tblCellMar>
        </w:tblPrEx>
        <w:trPr>
          <w:trHeight w:val="527" w:hRule="atLeast"/>
        </w:trPr>
        <w:tc>
          <w:tcPr>
            <w:tcW w:w="800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活体鱼鱼缸</w:t>
            </w:r>
          </w:p>
        </w:tc>
      </w:tr>
      <w:tr>
        <w:tblPrEx>
          <w:tblCellMar>
            <w:top w:w="0" w:type="dxa"/>
            <w:left w:w="108" w:type="dxa"/>
            <w:bottom w:w="0" w:type="dxa"/>
            <w:right w:w="108" w:type="dxa"/>
          </w:tblCellMar>
        </w:tblPrEx>
        <w:trPr>
          <w:trHeight w:val="62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鱼缸</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套</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鱼缸专用玻璃胶</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支</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3</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鱼缸底部钢架</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套</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4</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养鱼专用灯</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盏</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5</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生化过滤槽过滤系统</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套</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6</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水泵</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台</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7</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除氯剂</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瓶</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8</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硝化细菌</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瓶</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9</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水质清澈剂</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瓶</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10</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加热棒</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支</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11</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自动定时器</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台</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12</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交直流两用气泵</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台</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13</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遮阳伞雨棚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个</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00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标本鱼缸</w:t>
            </w:r>
          </w:p>
        </w:tc>
      </w:tr>
      <w:tr>
        <w:tblPrEx>
          <w:tblCellMar>
            <w:top w:w="0" w:type="dxa"/>
            <w:left w:w="108" w:type="dxa"/>
            <w:bottom w:w="0" w:type="dxa"/>
            <w:right w:w="108" w:type="dxa"/>
          </w:tblCellMar>
        </w:tblPrEx>
        <w:trPr>
          <w:trHeight w:val="602"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14</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鱼缸1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6</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套</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15</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鱼缸2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套</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16</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鱼缸专用玻璃胶</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57</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支</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17</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底柜钢架</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6</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套</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18</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底柜钢架</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套</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696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活体鱼</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default" w:ascii="仿宋" w:hAnsi="仿宋" w:eastAsia="仿宋" w:cs="仿宋"/>
                <w:color w:val="auto"/>
                <w:kern w:val="0"/>
                <w:sz w:val="24"/>
                <w:szCs w:val="24"/>
                <w:lang w:val="en-US" w:eastAsia="zh-CN" w:bidi="ar"/>
              </w:rPr>
              <w:t>19</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血鹦鹉</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13</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条</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default" w:ascii="仿宋" w:hAnsi="仿宋" w:eastAsia="仿宋" w:cs="仿宋"/>
                <w:color w:val="auto"/>
                <w:kern w:val="0"/>
                <w:sz w:val="24"/>
                <w:szCs w:val="24"/>
                <w:lang w:val="en-US" w:eastAsia="zh-CN" w:bidi="ar"/>
              </w:rPr>
              <w:t>20</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招财鱼</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条</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default" w:ascii="仿宋" w:hAnsi="仿宋" w:eastAsia="仿宋" w:cs="仿宋"/>
                <w:color w:val="auto"/>
                <w:kern w:val="0"/>
                <w:sz w:val="24"/>
                <w:szCs w:val="24"/>
                <w:lang w:val="en-US" w:eastAsia="zh-CN" w:bidi="ar"/>
              </w:rPr>
              <w:t>21</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银龙</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条</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696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标本鱼</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22</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犁头鳐</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条</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23</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海鳗</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条</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24</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猫鲨</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条</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25</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狭纹虎鲨</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条</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26</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阿拉斯加雪蟹</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条</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27</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团扇鳐</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条</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28</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真鲷</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条</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29</w:t>
            </w:r>
          </w:p>
        </w:tc>
        <w:tc>
          <w:tcPr>
            <w:tcW w:w="418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长尾鱊</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条</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30</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胭脂</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条</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31</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青衣</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条</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32</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暗纹东方鲀</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条</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33</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马面鱼</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条</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34</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鲂弗</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条</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35</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紫红笛鲷</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条</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36</w:t>
            </w:r>
          </w:p>
        </w:tc>
        <w:tc>
          <w:tcPr>
            <w:tcW w:w="418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四指马鲅</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条</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37</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军曹鱼</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条</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38</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标本鱼支架</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16</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个</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59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39</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标本鱼台卡展示牌</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16</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个</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00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景观船</w:t>
            </w: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default" w:ascii="仿宋" w:hAnsi="仿宋" w:eastAsia="仿宋" w:cs="仿宋"/>
                <w:color w:val="auto"/>
                <w:kern w:val="0"/>
                <w:sz w:val="24"/>
                <w:szCs w:val="24"/>
                <w:lang w:val="en-US" w:eastAsia="zh-CN" w:bidi="ar"/>
              </w:rPr>
              <w:t>40</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主体造型</w:t>
            </w:r>
            <w:r>
              <w:rPr>
                <w:rFonts w:hint="eastAsia" w:ascii="仿宋" w:hAnsi="仿宋" w:eastAsia="仿宋" w:cs="仿宋"/>
                <w:color w:val="auto"/>
                <w:kern w:val="0"/>
                <w:sz w:val="24"/>
                <w:szCs w:val="24"/>
                <w:lang w:eastAsia="zh-CN" w:bidi="ar"/>
              </w:rPr>
              <w:t>船</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项</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default" w:ascii="仿宋" w:hAnsi="仿宋" w:eastAsia="仿宋" w:cs="仿宋"/>
                <w:color w:val="auto"/>
                <w:kern w:val="0"/>
                <w:sz w:val="24"/>
                <w:szCs w:val="24"/>
                <w:lang w:val="en-US" w:eastAsia="zh-CN" w:bidi="ar"/>
              </w:rPr>
              <w:t>41</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桅杆1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支</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default" w:ascii="仿宋" w:hAnsi="仿宋" w:eastAsia="仿宋" w:cs="仿宋"/>
                <w:color w:val="auto"/>
                <w:kern w:val="0"/>
                <w:sz w:val="24"/>
                <w:szCs w:val="24"/>
                <w:lang w:val="en-US" w:eastAsia="zh-CN" w:bidi="ar"/>
              </w:rPr>
              <w:t>42</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桅杆2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支</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default" w:ascii="仿宋" w:hAnsi="仿宋" w:eastAsia="仿宋" w:cs="仿宋"/>
                <w:color w:val="auto"/>
                <w:kern w:val="0"/>
                <w:sz w:val="24"/>
                <w:szCs w:val="24"/>
                <w:lang w:val="en-US" w:eastAsia="zh-CN" w:bidi="ar"/>
              </w:rPr>
              <w:t>43</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桅杆3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支</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default" w:ascii="仿宋" w:hAnsi="仿宋" w:eastAsia="仿宋" w:cs="仿宋"/>
                <w:color w:val="auto"/>
                <w:kern w:val="0"/>
                <w:sz w:val="24"/>
                <w:szCs w:val="24"/>
                <w:lang w:val="en-US" w:eastAsia="zh-CN" w:bidi="ar"/>
              </w:rPr>
              <w:t>44</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桅杆4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3</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支</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default" w:ascii="仿宋" w:hAnsi="仿宋" w:eastAsia="仿宋" w:cs="仿宋"/>
                <w:color w:val="auto"/>
                <w:kern w:val="0"/>
                <w:sz w:val="24"/>
                <w:szCs w:val="24"/>
                <w:lang w:val="en-US" w:eastAsia="zh-CN" w:bidi="ar"/>
              </w:rPr>
              <w:t>45</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船帆1（能升降）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片</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default" w:ascii="仿宋" w:hAnsi="仿宋" w:eastAsia="仿宋" w:cs="仿宋"/>
                <w:color w:val="auto"/>
                <w:kern w:val="0"/>
                <w:sz w:val="24"/>
                <w:szCs w:val="24"/>
                <w:lang w:val="en-US" w:eastAsia="zh-CN" w:bidi="ar"/>
              </w:rPr>
              <w:t>46</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船帆2（能升降）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片</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default" w:ascii="仿宋" w:hAnsi="仿宋" w:eastAsia="仿宋" w:cs="仿宋"/>
                <w:color w:val="auto"/>
                <w:kern w:val="0"/>
                <w:sz w:val="24"/>
                <w:szCs w:val="24"/>
                <w:lang w:val="en-US" w:eastAsia="zh-CN" w:bidi="ar"/>
              </w:rPr>
              <w:t>47</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船帆3（能升降）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片</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default" w:ascii="仿宋" w:hAnsi="仿宋" w:eastAsia="仿宋" w:cs="仿宋"/>
                <w:color w:val="auto"/>
                <w:kern w:val="0"/>
                <w:sz w:val="24"/>
                <w:szCs w:val="24"/>
                <w:lang w:val="en-US" w:eastAsia="zh-CN" w:bidi="ar"/>
              </w:rPr>
              <w:t>48</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船帆4（能升降）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3</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片</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default" w:ascii="仿宋" w:hAnsi="仿宋" w:eastAsia="仿宋" w:cs="仿宋"/>
                <w:color w:val="auto"/>
                <w:kern w:val="0"/>
                <w:sz w:val="24"/>
                <w:szCs w:val="24"/>
                <w:lang w:val="en-US" w:eastAsia="zh-CN" w:bidi="ar"/>
              </w:rPr>
              <w:t>49</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帆绳</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130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米</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default" w:ascii="仿宋" w:hAnsi="仿宋" w:eastAsia="仿宋" w:cs="仿宋"/>
                <w:color w:val="auto"/>
                <w:kern w:val="0"/>
                <w:sz w:val="24"/>
                <w:szCs w:val="24"/>
                <w:lang w:val="en-US" w:eastAsia="zh-CN" w:bidi="ar"/>
              </w:rPr>
              <w:t>50</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瞭望台</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项</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default" w:ascii="仿宋" w:hAnsi="仿宋" w:eastAsia="仿宋" w:cs="仿宋"/>
                <w:color w:val="auto"/>
                <w:kern w:val="0"/>
                <w:sz w:val="24"/>
                <w:szCs w:val="24"/>
                <w:lang w:val="en-US" w:eastAsia="zh-CN" w:bidi="ar"/>
              </w:rPr>
              <w:t>51</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旗帜</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片</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default" w:ascii="仿宋" w:hAnsi="仿宋" w:eastAsia="仿宋" w:cs="仿宋"/>
                <w:color w:val="auto"/>
                <w:kern w:val="0"/>
                <w:sz w:val="24"/>
                <w:szCs w:val="24"/>
                <w:lang w:val="en-US" w:eastAsia="zh-CN" w:bidi="ar"/>
              </w:rPr>
              <w:t>5</w:t>
            </w:r>
            <w:r>
              <w:rPr>
                <w:rFonts w:hint="eastAsia" w:ascii="仿宋" w:hAnsi="仿宋" w:eastAsia="仿宋" w:cs="仿宋"/>
                <w:color w:val="auto"/>
                <w:kern w:val="0"/>
                <w:sz w:val="24"/>
                <w:szCs w:val="24"/>
                <w:lang w:val="en-US" w:eastAsia="zh-CN" w:bidi="ar"/>
              </w:rPr>
              <w:t>2</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控制器</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件</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00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灯光设备</w:t>
            </w: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val="en-US" w:eastAsia="zh-CN" w:bidi="ar"/>
              </w:rPr>
            </w:pPr>
            <w:r>
              <w:rPr>
                <w:rFonts w:hint="default" w:ascii="仿宋" w:hAnsi="仿宋" w:eastAsia="仿宋" w:cs="仿宋"/>
                <w:color w:val="auto"/>
                <w:kern w:val="0"/>
                <w:sz w:val="24"/>
                <w:szCs w:val="24"/>
                <w:lang w:val="en-US" w:eastAsia="zh-CN" w:bidi="ar"/>
              </w:rPr>
              <w:t>5</w:t>
            </w:r>
            <w:r>
              <w:rPr>
                <w:rFonts w:hint="eastAsia" w:ascii="仿宋" w:hAnsi="仿宋" w:eastAsia="仿宋" w:cs="仿宋"/>
                <w:color w:val="auto"/>
                <w:kern w:val="0"/>
                <w:sz w:val="24"/>
                <w:szCs w:val="24"/>
                <w:lang w:val="en-US" w:eastAsia="zh-CN" w:bidi="ar"/>
              </w:rPr>
              <w:t>3</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装饰氛围灯</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44</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盏</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val="en-US" w:eastAsia="zh-CN"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54</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54颗LED防水帕灯-单色</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4</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台</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55</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户外防水洗墙灯</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4</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台</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56</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水纹灯</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台</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57</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线材费</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2</w:t>
            </w:r>
            <w:r>
              <w:rPr>
                <w:rFonts w:hint="eastAsia" w:ascii="仿宋" w:hAnsi="仿宋" w:eastAsia="仿宋" w:cs="仿宋"/>
                <w:color w:val="auto"/>
                <w:kern w:val="0"/>
                <w:sz w:val="24"/>
                <w:szCs w:val="24"/>
                <w:lang w:bidi="ar"/>
              </w:rPr>
              <w:t>00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米</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58</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防水电箱</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个</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59</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防水帕灯网罩</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个</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60</w:t>
            </w:r>
          </w:p>
        </w:tc>
        <w:tc>
          <w:tcPr>
            <w:tcW w:w="418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智能电源管理系统</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台</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590" w:hRule="atLeast"/>
        </w:trPr>
        <w:tc>
          <w:tcPr>
            <w:tcW w:w="800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装饰类</w:t>
            </w: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61</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护栏</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142.5</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公斤</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62</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地坪漆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180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平方米</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63</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拆除费</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项</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64</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项目施工垃圾清运费</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项</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kern w:val="0"/>
                <w:sz w:val="24"/>
                <w:szCs w:val="24"/>
                <w:lang w:bidi="ar"/>
              </w:rPr>
            </w:pPr>
          </w:p>
        </w:tc>
      </w:tr>
    </w:tbl>
    <w:p>
      <w:pPr>
        <w:rPr>
          <w:rFonts w:hint="eastAsia" w:ascii="宋体" w:hAnsi="宋体"/>
          <w:b/>
          <w:color w:val="auto"/>
          <w:szCs w:val="21"/>
        </w:rPr>
      </w:pPr>
    </w:p>
    <w:p>
      <w:pPr>
        <w:rPr>
          <w:rFonts w:ascii="宋体" w:hAnsi="宋体"/>
          <w:b/>
          <w:color w:val="auto"/>
          <w:szCs w:val="21"/>
        </w:rPr>
      </w:pPr>
      <w:r>
        <w:rPr>
          <w:rFonts w:hint="eastAsia" w:ascii="宋体" w:hAnsi="宋体"/>
          <w:b/>
          <w:color w:val="auto"/>
          <w:szCs w:val="21"/>
        </w:rPr>
        <w:t xml:space="preserve">备注：1.备注栏注明“拒绝进口”的产品不接受投标人选用进口产品参与投标；注明“接受进口”的产品允许投标人选用进口产品参与投标，但不排斥国内产品。 </w:t>
      </w:r>
    </w:p>
    <w:p>
      <w:pPr>
        <w:rPr>
          <w:rFonts w:ascii="宋体" w:hAnsi="宋体"/>
          <w:b/>
          <w:color w:val="auto"/>
          <w:szCs w:val="21"/>
        </w:rPr>
      </w:pPr>
      <w:r>
        <w:rPr>
          <w:rFonts w:hint="eastAsia" w:ascii="宋体" w:hAnsi="宋体"/>
          <w:b/>
          <w:color w:val="auto"/>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rPr>
          <w:rFonts w:ascii="宋体" w:hAnsi="宋体"/>
          <w:b/>
          <w:color w:val="FF0000"/>
          <w:szCs w:val="21"/>
        </w:rPr>
      </w:pPr>
      <w:r>
        <w:rPr>
          <w:rFonts w:hint="eastAsia" w:ascii="宋体" w:hAnsi="宋体"/>
          <w:b/>
          <w:color w:val="FF0000"/>
          <w:szCs w:val="21"/>
        </w:rPr>
        <w:t>3、本项目核心产品为：</w:t>
      </w:r>
      <w:r>
        <w:rPr>
          <w:rFonts w:hint="eastAsia" w:ascii="宋体" w:hAnsi="宋体"/>
          <w:b/>
          <w:color w:val="FF0000"/>
          <w:szCs w:val="21"/>
          <w:u w:val="single"/>
        </w:rPr>
        <w:t>主体造型</w:t>
      </w:r>
      <w:r>
        <w:rPr>
          <w:rFonts w:hint="eastAsia" w:ascii="宋体" w:hAnsi="宋体"/>
          <w:b/>
          <w:color w:val="FF0000"/>
          <w:szCs w:val="21"/>
          <w:u w:val="single"/>
          <w:lang w:eastAsia="zh-CN"/>
        </w:rPr>
        <w:t>船</w:t>
      </w:r>
      <w:r>
        <w:rPr>
          <w:rFonts w:hint="eastAsia" w:ascii="宋体" w:hAnsi="宋体"/>
          <w:b/>
          <w:color w:val="FF0000"/>
          <w:szCs w:val="21"/>
          <w:u w:val="single"/>
        </w:rPr>
        <w:t>。</w:t>
      </w:r>
      <w:r>
        <w:rPr>
          <w:rFonts w:hint="eastAsia" w:ascii="宋体" w:hAnsi="宋体"/>
          <w:b/>
          <w:color w:val="auto"/>
          <w:szCs w:val="21"/>
          <w:u w:val="single"/>
        </w:rPr>
        <w:br w:type="textWrapping"/>
      </w:r>
      <w:r>
        <w:rPr>
          <w:rFonts w:hint="eastAsia" w:ascii="宋体" w:hAnsi="宋体"/>
          <w:b/>
          <w:color w:val="FF0000"/>
          <w:szCs w:val="21"/>
          <w:u w:val="single"/>
        </w:rPr>
        <w:br w:type="textWrapping"/>
      </w:r>
    </w:p>
    <w:p>
      <w:pPr>
        <w:rPr>
          <w:rFonts w:ascii="宋体" w:hAnsi="宋体"/>
          <w:b/>
          <w:color w:val="FF0000"/>
          <w:szCs w:val="21"/>
        </w:rPr>
      </w:pPr>
    </w:p>
    <w:p>
      <w:pPr>
        <w:pStyle w:val="6"/>
        <w:spacing w:before="120" w:beforeLines="50" w:after="120" w:afterLines="50"/>
        <w:rPr>
          <w:color w:val="auto"/>
          <w:sz w:val="28"/>
          <w:szCs w:val="28"/>
        </w:rPr>
      </w:pPr>
      <w:bookmarkStart w:id="26" w:name="_Toc128884461"/>
      <w:r>
        <w:rPr>
          <w:rFonts w:hint="eastAsia"/>
          <w:color w:val="auto"/>
          <w:sz w:val="28"/>
          <w:szCs w:val="28"/>
        </w:rPr>
        <w:t>三、实质性条款</w:t>
      </w:r>
    </w:p>
    <w:tbl>
      <w:tblPr>
        <w:tblStyle w:val="43"/>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color w:val="auto"/>
                <w:kern w:val="0"/>
                <w:szCs w:val="21"/>
              </w:rPr>
            </w:pPr>
            <w:r>
              <w:rPr>
                <w:rFonts w:hint="eastAsia" w:ascii="宋体" w:hAnsi="宋体"/>
                <w:color w:val="auto"/>
                <w:kern w:val="0"/>
                <w:szCs w:val="21"/>
              </w:rPr>
              <w:t>序号</w:t>
            </w:r>
          </w:p>
        </w:tc>
        <w:tc>
          <w:tcPr>
            <w:tcW w:w="7483" w:type="dxa"/>
          </w:tcPr>
          <w:p>
            <w:pPr>
              <w:adjustRightInd w:val="0"/>
              <w:snapToGrid w:val="0"/>
              <w:spacing w:line="360" w:lineRule="auto"/>
              <w:rPr>
                <w:rFonts w:ascii="宋体" w:hAnsi="宋体"/>
                <w:color w:val="auto"/>
                <w:kern w:val="0"/>
                <w:szCs w:val="21"/>
              </w:rPr>
            </w:pPr>
            <w:r>
              <w:rPr>
                <w:rFonts w:hint="eastAsia" w:ascii="宋体" w:hAnsi="宋体"/>
                <w:color w:val="auto"/>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color w:val="auto"/>
                <w:kern w:val="0"/>
                <w:szCs w:val="21"/>
              </w:rPr>
            </w:pPr>
            <w:r>
              <w:rPr>
                <w:rFonts w:hint="eastAsia" w:ascii="宋体" w:hAnsi="宋体"/>
                <w:color w:val="auto"/>
                <w:kern w:val="0"/>
                <w:szCs w:val="21"/>
              </w:rPr>
              <w:t>1</w:t>
            </w:r>
          </w:p>
        </w:tc>
        <w:tc>
          <w:tcPr>
            <w:tcW w:w="7483" w:type="dxa"/>
          </w:tcPr>
          <w:p>
            <w:pPr>
              <w:adjustRightInd w:val="0"/>
              <w:snapToGrid w:val="0"/>
              <w:spacing w:line="360" w:lineRule="auto"/>
              <w:rPr>
                <w:rFonts w:hAnsi="宋体"/>
                <w:color w:val="auto"/>
                <w:kern w:val="0"/>
                <w:szCs w:val="21"/>
              </w:rPr>
            </w:pPr>
            <w:r>
              <w:rPr>
                <w:rFonts w:hint="eastAsia" w:hAnsi="宋体"/>
                <w:color w:val="auto"/>
                <w:kern w:val="0"/>
                <w:szCs w:val="21"/>
              </w:rPr>
              <w:t>投标文件载明的交货期不超过招标文件规定的期限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color w:val="auto"/>
                <w:kern w:val="0"/>
                <w:szCs w:val="21"/>
              </w:rPr>
            </w:pPr>
            <w:r>
              <w:rPr>
                <w:rFonts w:hint="eastAsia" w:ascii="宋体" w:hAnsi="宋体"/>
                <w:color w:val="auto"/>
                <w:kern w:val="0"/>
                <w:szCs w:val="21"/>
              </w:rPr>
              <w:t>2</w:t>
            </w:r>
          </w:p>
        </w:tc>
        <w:tc>
          <w:tcPr>
            <w:tcW w:w="7483" w:type="dxa"/>
          </w:tcPr>
          <w:p>
            <w:pPr>
              <w:adjustRightInd w:val="0"/>
              <w:snapToGrid w:val="0"/>
              <w:spacing w:line="360" w:lineRule="auto"/>
              <w:rPr>
                <w:rFonts w:hAnsi="宋体"/>
                <w:color w:val="auto"/>
                <w:kern w:val="0"/>
                <w:szCs w:val="21"/>
              </w:rPr>
            </w:pPr>
            <w:r>
              <w:rPr>
                <w:rFonts w:hint="eastAsia" w:hAnsi="宋体"/>
                <w:color w:val="auto"/>
                <w:kern w:val="0"/>
                <w:szCs w:val="21"/>
              </w:rPr>
              <w:t>投标文件载明的免费保修期不低于招标文件规定的期限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color w:val="auto"/>
                <w:kern w:val="0"/>
                <w:szCs w:val="21"/>
              </w:rPr>
            </w:pPr>
            <w:r>
              <w:rPr>
                <w:rFonts w:hint="eastAsia" w:ascii="宋体" w:hAnsi="宋体"/>
                <w:color w:val="auto"/>
                <w:kern w:val="0"/>
                <w:szCs w:val="21"/>
              </w:rPr>
              <w:t>3</w:t>
            </w:r>
          </w:p>
        </w:tc>
        <w:tc>
          <w:tcPr>
            <w:tcW w:w="7483" w:type="dxa"/>
          </w:tcPr>
          <w:p>
            <w:pPr>
              <w:adjustRightInd w:val="0"/>
              <w:snapToGrid w:val="0"/>
              <w:spacing w:line="360" w:lineRule="auto"/>
              <w:rPr>
                <w:rFonts w:hAnsi="宋体"/>
                <w:color w:val="auto"/>
                <w:kern w:val="0"/>
                <w:szCs w:val="21"/>
              </w:rPr>
            </w:pPr>
            <w:r>
              <w:rPr>
                <w:rFonts w:hint="eastAsia" w:hAnsi="宋体"/>
                <w:color w:val="auto"/>
                <w:kern w:val="0"/>
                <w:szCs w:val="21"/>
              </w:rPr>
              <w:t>具体技术要求、商务需求中带“★”要求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color w:val="auto"/>
                <w:kern w:val="0"/>
                <w:szCs w:val="21"/>
              </w:rPr>
            </w:pPr>
            <w:r>
              <w:rPr>
                <w:rFonts w:hint="eastAsia" w:ascii="宋体" w:hAnsi="宋体"/>
                <w:color w:val="auto"/>
                <w:kern w:val="0"/>
                <w:szCs w:val="21"/>
              </w:rPr>
              <w:t>……</w:t>
            </w:r>
          </w:p>
        </w:tc>
        <w:tc>
          <w:tcPr>
            <w:tcW w:w="7483" w:type="dxa"/>
          </w:tcPr>
          <w:p>
            <w:pPr>
              <w:adjustRightInd w:val="0"/>
              <w:snapToGrid w:val="0"/>
              <w:spacing w:line="360" w:lineRule="auto"/>
              <w:rPr>
                <w:rFonts w:hAnsi="宋体"/>
                <w:color w:val="auto"/>
                <w:kern w:val="0"/>
                <w:szCs w:val="21"/>
              </w:rPr>
            </w:pPr>
            <w:r>
              <w:rPr>
                <w:rFonts w:hint="eastAsia" w:ascii="宋体" w:hAnsi="宋体"/>
                <w:color w:val="auto"/>
                <w:kern w:val="0"/>
                <w:szCs w:val="21"/>
              </w:rPr>
              <w:t>……</w:t>
            </w:r>
          </w:p>
        </w:tc>
      </w:tr>
    </w:tbl>
    <w:p>
      <w:pPr>
        <w:pStyle w:val="5"/>
        <w:tabs>
          <w:tab w:val="left" w:pos="765"/>
        </w:tabs>
        <w:rPr>
          <w:rFonts w:ascii="黑体"/>
          <w:b w:val="0"/>
          <w:color w:val="auto"/>
          <w:kern w:val="0"/>
          <w:sz w:val="24"/>
          <w:szCs w:val="24"/>
        </w:rPr>
      </w:pPr>
      <w:r>
        <w:rPr>
          <w:rFonts w:hint="eastAsia" w:ascii="黑体"/>
          <w:b w:val="0"/>
          <w:color w:val="auto"/>
          <w:kern w:val="0"/>
          <w:sz w:val="24"/>
          <w:szCs w:val="24"/>
        </w:rPr>
        <w:t>注：上表所列内容为不可负偏离条款</w:t>
      </w:r>
      <w:bookmarkEnd w:id="26"/>
    </w:p>
    <w:p>
      <w:pPr>
        <w:rPr>
          <w:b/>
          <w:color w:val="auto"/>
          <w:szCs w:val="21"/>
        </w:rPr>
      </w:pPr>
    </w:p>
    <w:p>
      <w:pPr>
        <w:pStyle w:val="6"/>
        <w:spacing w:before="120" w:beforeLines="50" w:after="120" w:afterLines="50"/>
        <w:rPr>
          <w:color w:val="auto"/>
          <w:sz w:val="28"/>
          <w:szCs w:val="28"/>
        </w:rPr>
      </w:pPr>
      <w:r>
        <w:rPr>
          <w:rFonts w:hint="eastAsia"/>
          <w:color w:val="auto"/>
          <w:sz w:val="28"/>
          <w:szCs w:val="28"/>
        </w:rPr>
        <w:t>四、具体技术要求</w:t>
      </w:r>
    </w:p>
    <w:p>
      <w:pPr>
        <w:ind w:firstLine="422" w:firstLineChars="200"/>
        <w:rPr>
          <w:b/>
          <w:color w:val="auto"/>
          <w:szCs w:val="21"/>
        </w:rPr>
      </w:pPr>
      <w:r>
        <w:rPr>
          <w:rFonts w:hint="eastAsia"/>
          <w:b/>
          <w:color w:val="auto"/>
          <w:szCs w:val="21"/>
        </w:rPr>
        <w:t>说明：1、带“</w:t>
      </w:r>
      <w:r>
        <w:rPr>
          <w:rFonts w:hint="eastAsia" w:ascii="宋体" w:hAnsi="宋体" w:cs="宋体"/>
          <w:b/>
          <w:color w:val="auto"/>
          <w:szCs w:val="21"/>
        </w:rPr>
        <w:t>★</w:t>
      </w:r>
      <w:r>
        <w:rPr>
          <w:rFonts w:hint="eastAsia"/>
          <w:b/>
          <w:color w:val="auto"/>
          <w:szCs w:val="21"/>
        </w:rPr>
        <w:t>”指标项为实质性条款，如出现负偏离，将被视为未实质性满足招标文件要求作投标无效处理。带“</w:t>
      </w:r>
      <w:r>
        <w:rPr>
          <w:color w:val="auto"/>
        </w:rPr>
        <w:t>▲</w:t>
      </w:r>
      <w:r>
        <w:rPr>
          <w:rFonts w:hint="eastAsia"/>
          <w:b/>
          <w:color w:val="auto"/>
          <w:szCs w:val="21"/>
        </w:rPr>
        <w:t xml:space="preserve">”指标项为重要参数，负偏离时依相关评分准则内容作重点扣分处理。 </w:t>
      </w:r>
    </w:p>
    <w:p>
      <w:pPr>
        <w:ind w:firstLine="422" w:firstLineChars="200"/>
        <w:rPr>
          <w:b/>
          <w:color w:val="auto"/>
          <w:szCs w:val="21"/>
        </w:rPr>
      </w:pPr>
      <w:r>
        <w:rPr>
          <w:rFonts w:hint="eastAsia"/>
          <w:b/>
          <w:color w:val="auto"/>
          <w:szCs w:val="21"/>
        </w:rPr>
        <w:t>2、招标技术要求中，用红色加粗字体标注的技术条款为要求提供证明资料的条款，</w:t>
      </w:r>
      <w:r>
        <w:rPr>
          <w:rFonts w:hint="eastAsia"/>
          <w:b/>
          <w:color w:val="auto"/>
          <w:szCs w:val="21"/>
          <w:lang w:val="en-US" w:eastAsia="zh-CN"/>
        </w:rPr>
        <w:t>共</w:t>
      </w:r>
      <w:r>
        <w:rPr>
          <w:rFonts w:hint="eastAsia"/>
          <w:b/>
          <w:color w:val="FF0000"/>
          <w:szCs w:val="21"/>
          <w:u w:val="single"/>
          <w:lang w:val="en-US" w:eastAsia="zh-CN"/>
        </w:rPr>
        <w:t>8</w:t>
      </w:r>
      <w:r>
        <w:rPr>
          <w:rFonts w:hint="eastAsia"/>
          <w:b/>
          <w:color w:val="auto"/>
          <w:szCs w:val="21"/>
        </w:rPr>
        <w:t>项，其余为未要求提供证明资料的条款，无需提供相关证明资料。</w:t>
      </w:r>
    </w:p>
    <w:p>
      <w:pPr>
        <w:ind w:firstLine="422" w:firstLineChars="200"/>
        <w:rPr>
          <w:b/>
          <w:color w:val="auto"/>
          <w:szCs w:val="21"/>
        </w:rPr>
      </w:pPr>
      <w:r>
        <w:rPr>
          <w:rFonts w:hint="eastAsia"/>
          <w:b/>
          <w:color w:val="auto"/>
        </w:rPr>
        <w:t>3、评分时，如对一项招标技术要求（以划分框为准）中的内容存在两处（或以上）负偏离的，在评分时只作一项负偏离扣分。</w:t>
      </w:r>
    </w:p>
    <w:p>
      <w:pPr>
        <w:rPr>
          <w:b/>
          <w:color w:val="auto"/>
          <w:szCs w:val="21"/>
        </w:rPr>
      </w:pPr>
    </w:p>
    <w:p>
      <w:pPr>
        <w:rPr>
          <w:b/>
          <w:color w:val="auto"/>
          <w:szCs w:val="21"/>
        </w:rPr>
      </w:pPr>
    </w:p>
    <w:p>
      <w:pPr>
        <w:rPr>
          <w:rFonts w:hint="eastAsia" w:ascii="宋体" w:hAnsi="宋体"/>
          <w:b/>
          <w:color w:val="auto"/>
          <w:szCs w:val="21"/>
        </w:rPr>
      </w:pPr>
      <w:r>
        <w:rPr>
          <w:rFonts w:hint="eastAsia" w:ascii="宋体" w:hAnsi="宋体"/>
          <w:b/>
          <w:color w:val="auto"/>
          <w:szCs w:val="21"/>
        </w:rPr>
        <w:t>附件2：深圳市南山区前海学校海洋生态园设备采购技术参数要求</w:t>
      </w:r>
    </w:p>
    <w:tbl>
      <w:tblPr>
        <w:tblStyle w:val="43"/>
        <w:tblpPr w:leftFromText="180" w:rightFromText="180" w:vertAnchor="text" w:horzAnchor="page" w:tblpX="925" w:tblpY="327"/>
        <w:tblOverlap w:val="never"/>
        <w:tblW w:w="9179" w:type="dxa"/>
        <w:tblInd w:w="0" w:type="dxa"/>
        <w:tblLayout w:type="fixed"/>
        <w:tblCellMar>
          <w:top w:w="0" w:type="dxa"/>
          <w:left w:w="108" w:type="dxa"/>
          <w:bottom w:w="0" w:type="dxa"/>
          <w:right w:w="108" w:type="dxa"/>
        </w:tblCellMar>
      </w:tblPr>
      <w:tblGrid>
        <w:gridCol w:w="520"/>
        <w:gridCol w:w="959"/>
        <w:gridCol w:w="6112"/>
        <w:gridCol w:w="888"/>
        <w:gridCol w:w="700"/>
      </w:tblGrid>
      <w:tr>
        <w:tblPrEx>
          <w:tblCellMar>
            <w:top w:w="0" w:type="dxa"/>
            <w:left w:w="108" w:type="dxa"/>
            <w:bottom w:w="0" w:type="dxa"/>
            <w:right w:w="108" w:type="dxa"/>
          </w:tblCellMar>
        </w:tblPrEx>
        <w:trPr>
          <w:trHeight w:val="760" w:hRule="atLeast"/>
        </w:trPr>
        <w:tc>
          <w:tcPr>
            <w:tcW w:w="9179"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前海学校海洋馆采购项目清单</w:t>
            </w:r>
          </w:p>
        </w:tc>
      </w:tr>
      <w:tr>
        <w:tblPrEx>
          <w:tblCellMar>
            <w:top w:w="0" w:type="dxa"/>
            <w:left w:w="108" w:type="dxa"/>
            <w:bottom w:w="0" w:type="dxa"/>
            <w:right w:w="108" w:type="dxa"/>
          </w:tblCellMar>
        </w:tblPrEx>
        <w:trPr>
          <w:trHeight w:val="57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序号</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货物名称</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规格及型号</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数量</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单位</w:t>
            </w:r>
          </w:p>
        </w:tc>
      </w:tr>
      <w:tr>
        <w:tblPrEx>
          <w:tblCellMar>
            <w:top w:w="0" w:type="dxa"/>
            <w:left w:w="108" w:type="dxa"/>
            <w:bottom w:w="0" w:type="dxa"/>
            <w:right w:w="108" w:type="dxa"/>
          </w:tblCellMar>
        </w:tblPrEx>
        <w:trPr>
          <w:trHeight w:val="480" w:hRule="atLeast"/>
        </w:trPr>
        <w:tc>
          <w:tcPr>
            <w:tcW w:w="9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b/>
                <w:bCs/>
                <w:color w:val="auto"/>
                <w:kern w:val="0"/>
                <w:sz w:val="24"/>
                <w:szCs w:val="24"/>
                <w:lang w:bidi="ar"/>
              </w:rPr>
              <w:t>活体鱼鱼缸</w:t>
            </w:r>
          </w:p>
        </w:tc>
      </w:tr>
      <w:tr>
        <w:tblPrEx>
          <w:tblCellMar>
            <w:top w:w="0" w:type="dxa"/>
            <w:left w:w="108" w:type="dxa"/>
            <w:bottom w:w="0" w:type="dxa"/>
            <w:right w:w="108" w:type="dxa"/>
          </w:tblCellMar>
        </w:tblPrEx>
        <w:trPr>
          <w:trHeight w:val="138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鱼缸</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1、规格：长1500mm*宽600mm*高750mm；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2、材质：采用钢化玻璃+亚克力罩子的隔槽，四周采用12MM钢化白玻，四方直角裸缸，底部开孔不钢化，含上口拉筋加固，底下压条加固。</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套</w:t>
            </w:r>
          </w:p>
        </w:tc>
      </w:tr>
      <w:tr>
        <w:tblPrEx>
          <w:tblCellMar>
            <w:top w:w="0" w:type="dxa"/>
            <w:left w:w="108" w:type="dxa"/>
            <w:bottom w:w="0" w:type="dxa"/>
            <w:right w:w="108" w:type="dxa"/>
          </w:tblCellMar>
        </w:tblPrEx>
        <w:trPr>
          <w:trHeight w:val="50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鱼缸专用玻璃胶</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有机硅原料，耐高低温，密封防水，健康环保。</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支</w:t>
            </w:r>
          </w:p>
        </w:tc>
      </w:tr>
      <w:tr>
        <w:tblPrEx>
          <w:tblCellMar>
            <w:top w:w="0" w:type="dxa"/>
            <w:left w:w="108" w:type="dxa"/>
            <w:bottom w:w="0" w:type="dxa"/>
            <w:right w:w="108" w:type="dxa"/>
          </w:tblCellMar>
        </w:tblPrEx>
        <w:trPr>
          <w:trHeight w:val="102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鱼缸底部钢架</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1、规格：长1500*宽600*高750（单位：MM）；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2、材质：采用304不锈钢方通，不锈钢包边及不锈钢门。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套</w:t>
            </w:r>
          </w:p>
        </w:tc>
      </w:tr>
      <w:tr>
        <w:tblPrEx>
          <w:tblCellMar>
            <w:top w:w="0" w:type="dxa"/>
            <w:left w:w="108" w:type="dxa"/>
            <w:bottom w:w="0" w:type="dxa"/>
            <w:right w:w="108" w:type="dxa"/>
          </w:tblCellMar>
        </w:tblPrEx>
        <w:trPr>
          <w:trHeight w:val="94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养鱼专用灯</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1、规格：长1.3M（±2cm）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2、材质：采用LED灯珠，模拟自然光普，不伤眼，节能省电；造型优美，散热性好。</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盏</w:t>
            </w:r>
          </w:p>
        </w:tc>
      </w:tr>
      <w:tr>
        <w:tblPrEx>
          <w:tblCellMar>
            <w:top w:w="0" w:type="dxa"/>
            <w:left w:w="108" w:type="dxa"/>
            <w:bottom w:w="0" w:type="dxa"/>
            <w:right w:w="108" w:type="dxa"/>
          </w:tblCellMar>
        </w:tblPrEx>
        <w:trPr>
          <w:trHeight w:val="168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生化过滤槽过滤系统</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1、规格：定制，与鱼缸相符；</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2、生化过滤槽属于生物以及化学结合的过滤效果，采用生化过滤棉，生化过滤陶瓷及珊瑚砂等过滤材料，内设高低挡板，形成S型回流。大大增加水的流动性，提高过滤效果，益于硝化细菌培养。</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套</w:t>
            </w:r>
          </w:p>
        </w:tc>
      </w:tr>
      <w:tr>
        <w:tblPrEx>
          <w:tblCellMar>
            <w:top w:w="0" w:type="dxa"/>
            <w:left w:w="108" w:type="dxa"/>
            <w:bottom w:w="0" w:type="dxa"/>
            <w:right w:w="108" w:type="dxa"/>
          </w:tblCellMar>
        </w:tblPrEx>
        <w:trPr>
          <w:trHeight w:val="2024"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水泵</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1、规格：功率75瓦（超强静音）</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2、材质：采用欧盟标准ABS环保用料，具有良好抗冲击性与耐热度，节能，静音。</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台</w:t>
            </w:r>
          </w:p>
        </w:tc>
      </w:tr>
      <w:tr>
        <w:tblPrEx>
          <w:tblCellMar>
            <w:top w:w="0" w:type="dxa"/>
            <w:left w:w="108" w:type="dxa"/>
            <w:bottom w:w="0" w:type="dxa"/>
            <w:right w:w="108" w:type="dxa"/>
          </w:tblCellMar>
        </w:tblPrEx>
        <w:trPr>
          <w:trHeight w:val="62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除氯剂</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去除水质氯气，重金属，抑制有害菌，稳定水质PH值，降低鱼病。</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瓶</w:t>
            </w:r>
          </w:p>
        </w:tc>
      </w:tr>
      <w:tr>
        <w:tblPrEx>
          <w:tblCellMar>
            <w:top w:w="0" w:type="dxa"/>
            <w:left w:w="108" w:type="dxa"/>
            <w:bottom w:w="0" w:type="dxa"/>
            <w:right w:w="108" w:type="dxa"/>
          </w:tblCellMar>
        </w:tblPrEx>
        <w:trPr>
          <w:trHeight w:val="56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硝化细菌</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除去水中氨元素，平衡水中微量元素，净化水质，生物活菌，安全不伤鱼。</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瓶</w:t>
            </w:r>
          </w:p>
        </w:tc>
      </w:tr>
      <w:tr>
        <w:tblPrEx>
          <w:tblCellMar>
            <w:top w:w="0" w:type="dxa"/>
            <w:left w:w="108" w:type="dxa"/>
            <w:bottom w:w="0" w:type="dxa"/>
            <w:right w:w="108" w:type="dxa"/>
          </w:tblCellMar>
        </w:tblPrEx>
        <w:trPr>
          <w:trHeight w:val="56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水质清澈剂</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除绿水腥臭，迅速净化水质，安全不上鱼。</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瓶</w:t>
            </w:r>
          </w:p>
        </w:tc>
      </w:tr>
      <w:tr>
        <w:tblPrEx>
          <w:tblCellMar>
            <w:top w:w="0" w:type="dxa"/>
            <w:left w:w="108" w:type="dxa"/>
            <w:bottom w:w="0" w:type="dxa"/>
            <w:right w:w="108" w:type="dxa"/>
          </w:tblCellMar>
        </w:tblPrEx>
        <w:trPr>
          <w:trHeight w:val="47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加热棒</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1、规格：500W恒温；</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2、特点：非晶体玻璃制作，导热快，效率高，装有防爆加温器。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支</w:t>
            </w:r>
          </w:p>
        </w:tc>
      </w:tr>
      <w:tr>
        <w:tblPrEx>
          <w:tblCellMar>
            <w:top w:w="0" w:type="dxa"/>
            <w:left w:w="108" w:type="dxa"/>
            <w:bottom w:w="0" w:type="dxa"/>
            <w:right w:w="108" w:type="dxa"/>
          </w:tblCellMar>
        </w:tblPrEx>
        <w:trPr>
          <w:trHeight w:val="60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自动定时器</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作用：控制灯光开启时间；</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台</w:t>
            </w:r>
          </w:p>
        </w:tc>
      </w:tr>
      <w:tr>
        <w:tblPrEx>
          <w:tblCellMar>
            <w:top w:w="0" w:type="dxa"/>
            <w:left w:w="108" w:type="dxa"/>
            <w:bottom w:w="0" w:type="dxa"/>
            <w:right w:w="108" w:type="dxa"/>
          </w:tblCellMar>
        </w:tblPrEx>
        <w:trPr>
          <w:trHeight w:val="479"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交直流两用气泵</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1、功率10瓦；</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2、作用：静音，交直流自动切换，免受停电带来的不便。</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台</w:t>
            </w:r>
          </w:p>
        </w:tc>
      </w:tr>
      <w:tr>
        <w:tblPrEx>
          <w:tblCellMar>
            <w:top w:w="0" w:type="dxa"/>
            <w:left w:w="108" w:type="dxa"/>
            <w:bottom w:w="0" w:type="dxa"/>
            <w:right w:w="108" w:type="dxa"/>
          </w:tblCellMar>
        </w:tblPrEx>
        <w:trPr>
          <w:trHeight w:val="120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遮阳伞雨棚</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1、规格：长3米*宽2米；</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2、款式及材质：折叠伸缩式遮阳遮雨棚，采用加厚奥斯布，遮阳，挡雨，档紫外线，不易掉色，双层防水，遮阳性能好。</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个</w:t>
            </w:r>
          </w:p>
        </w:tc>
      </w:tr>
      <w:tr>
        <w:tblPrEx>
          <w:tblCellMar>
            <w:top w:w="0" w:type="dxa"/>
            <w:left w:w="108" w:type="dxa"/>
            <w:bottom w:w="0" w:type="dxa"/>
            <w:right w:w="108" w:type="dxa"/>
          </w:tblCellMar>
        </w:tblPrEx>
        <w:trPr>
          <w:trHeight w:val="600" w:hRule="atLeast"/>
        </w:trPr>
        <w:tc>
          <w:tcPr>
            <w:tcW w:w="9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b/>
                <w:bCs/>
                <w:color w:val="auto"/>
                <w:kern w:val="0"/>
                <w:sz w:val="24"/>
                <w:szCs w:val="24"/>
                <w:lang w:bidi="ar"/>
              </w:rPr>
              <w:t>标本鱼缸</w:t>
            </w:r>
          </w:p>
        </w:tc>
      </w:tr>
      <w:tr>
        <w:tblPrEx>
          <w:tblCellMar>
            <w:top w:w="0" w:type="dxa"/>
            <w:left w:w="108" w:type="dxa"/>
            <w:bottom w:w="0" w:type="dxa"/>
            <w:right w:w="108" w:type="dxa"/>
          </w:tblCellMar>
        </w:tblPrEx>
        <w:trPr>
          <w:trHeight w:val="780" w:hRule="atLeast"/>
        </w:trPr>
        <w:tc>
          <w:tcPr>
            <w:tcW w:w="5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14</w:t>
            </w:r>
          </w:p>
        </w:tc>
        <w:tc>
          <w:tcPr>
            <w:tcW w:w="95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鱼缸</w:t>
            </w:r>
            <w:r>
              <w:rPr>
                <w:rFonts w:hint="eastAsia" w:ascii="仿宋" w:hAnsi="仿宋" w:eastAsia="仿宋" w:cs="仿宋"/>
                <w:color w:val="auto"/>
                <w:kern w:val="0"/>
                <w:sz w:val="24"/>
                <w:szCs w:val="24"/>
                <w:lang w:val="en-US" w:eastAsia="zh-CN" w:bidi="ar"/>
              </w:rPr>
              <w:t>1</w:t>
            </w:r>
          </w:p>
        </w:tc>
        <w:tc>
          <w:tcPr>
            <w:tcW w:w="61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1、规格：长800*宽400*高450（单位：MM)，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2、材质：采用8MM钢化白玻，四方直角裸缸，耐用，抗冲击性更好，抗风压好，抗寒暑。</w:t>
            </w:r>
          </w:p>
        </w:tc>
        <w:tc>
          <w:tcPr>
            <w:tcW w:w="8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6</w:t>
            </w:r>
          </w:p>
        </w:tc>
        <w:tc>
          <w:tcPr>
            <w:tcW w:w="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套</w:t>
            </w:r>
          </w:p>
        </w:tc>
      </w:tr>
      <w:tr>
        <w:tblPrEx>
          <w:tblCellMar>
            <w:top w:w="0" w:type="dxa"/>
            <w:left w:w="108" w:type="dxa"/>
            <w:bottom w:w="0" w:type="dxa"/>
            <w:right w:w="108" w:type="dxa"/>
          </w:tblCellMar>
        </w:tblPrEx>
        <w:trPr>
          <w:trHeight w:val="936"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156" w:after="156"/>
              <w:jc w:val="center"/>
              <w:rPr>
                <w:rFonts w:hint="eastAsia" w:ascii="仿宋" w:hAnsi="仿宋" w:eastAsia="仿宋" w:cs="仿宋"/>
                <w:color w:val="auto"/>
                <w:sz w:val="24"/>
                <w:szCs w:val="24"/>
              </w:rPr>
            </w:pPr>
          </w:p>
        </w:tc>
        <w:tc>
          <w:tcPr>
            <w:tcW w:w="95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156" w:after="156"/>
              <w:jc w:val="center"/>
              <w:rPr>
                <w:rFonts w:hint="eastAsia" w:ascii="仿宋" w:hAnsi="仿宋" w:eastAsia="仿宋" w:cs="仿宋"/>
                <w:color w:val="auto"/>
                <w:sz w:val="24"/>
                <w:szCs w:val="24"/>
              </w:rPr>
            </w:pPr>
          </w:p>
        </w:tc>
        <w:tc>
          <w:tcPr>
            <w:tcW w:w="611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156" w:after="156"/>
              <w:jc w:val="left"/>
              <w:rPr>
                <w:rFonts w:hint="eastAsia" w:ascii="仿宋" w:hAnsi="仿宋" w:eastAsia="仿宋" w:cs="仿宋"/>
                <w:color w:val="auto"/>
                <w:sz w:val="24"/>
                <w:szCs w:val="24"/>
              </w:rPr>
            </w:pPr>
          </w:p>
        </w:tc>
        <w:tc>
          <w:tcPr>
            <w:tcW w:w="88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156" w:after="156"/>
              <w:jc w:val="center"/>
              <w:rPr>
                <w:rFonts w:hint="eastAsia" w:ascii="仿宋" w:hAnsi="仿宋" w:eastAsia="仿宋" w:cs="仿宋"/>
                <w:color w:val="auto"/>
                <w:sz w:val="24"/>
                <w:szCs w:val="24"/>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156" w:after="156"/>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96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15</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鱼缸</w:t>
            </w:r>
            <w:r>
              <w:rPr>
                <w:rFonts w:hint="eastAsia" w:ascii="仿宋" w:hAnsi="仿宋" w:eastAsia="仿宋" w:cs="仿宋"/>
                <w:color w:val="auto"/>
                <w:kern w:val="0"/>
                <w:sz w:val="24"/>
                <w:szCs w:val="24"/>
                <w:lang w:val="en-US" w:eastAsia="zh-CN" w:bidi="ar"/>
              </w:rPr>
              <w:t>2</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1、规格：长600*宽400*高450（单位：MM）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2、材质：采用8MM钢化白玻，四方直角裸缸，耐用，抗冲击性更好，抗风压好，抗寒暑。</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10</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套</w:t>
            </w:r>
          </w:p>
        </w:tc>
      </w:tr>
      <w:tr>
        <w:tblPrEx>
          <w:tblCellMar>
            <w:top w:w="0" w:type="dxa"/>
            <w:left w:w="108" w:type="dxa"/>
            <w:bottom w:w="0" w:type="dxa"/>
            <w:right w:w="108" w:type="dxa"/>
          </w:tblCellMar>
        </w:tblPrEx>
        <w:trPr>
          <w:trHeight w:val="48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16</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鱼缸专用玻璃胶</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有机硅原料，耐高低温，密封防水，健康环保。</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57</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支</w:t>
            </w:r>
          </w:p>
        </w:tc>
      </w:tr>
      <w:tr>
        <w:tblPrEx>
          <w:tblCellMar>
            <w:top w:w="0" w:type="dxa"/>
            <w:left w:w="108" w:type="dxa"/>
            <w:bottom w:w="0" w:type="dxa"/>
            <w:right w:w="108" w:type="dxa"/>
          </w:tblCellMar>
        </w:tblPrEx>
        <w:trPr>
          <w:trHeight w:val="94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17</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底柜钢架</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1、规格：长800*宽400*高600（单位：MM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2、材质：采用304不锈钢方通，不锈钢包边及不锈钢门。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6</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套</w:t>
            </w:r>
          </w:p>
        </w:tc>
      </w:tr>
      <w:tr>
        <w:tblPrEx>
          <w:tblCellMar>
            <w:top w:w="0" w:type="dxa"/>
            <w:left w:w="108" w:type="dxa"/>
            <w:bottom w:w="0" w:type="dxa"/>
            <w:right w:w="108" w:type="dxa"/>
          </w:tblCellMar>
        </w:tblPrEx>
        <w:trPr>
          <w:trHeight w:val="120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rPr>
            </w:pPr>
            <w:r>
              <w:rPr>
                <w:rFonts w:hint="eastAsia" w:ascii="仿宋" w:hAnsi="仿宋" w:eastAsia="仿宋" w:cs="仿宋"/>
                <w:i w:val="0"/>
                <w:iCs w:val="0"/>
                <w:color w:val="auto"/>
                <w:kern w:val="0"/>
                <w:sz w:val="24"/>
                <w:szCs w:val="24"/>
                <w:u w:val="none"/>
                <w:lang w:val="en-US" w:eastAsia="zh-CN" w:bidi="ar"/>
              </w:rPr>
              <w:t>18</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底柜钢架</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1、规格：长600*宽400*高600（单位：MM）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2、材质：采用304不锈钢方通，不锈钢包边及不锈钢门。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10</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套</w:t>
            </w:r>
          </w:p>
        </w:tc>
      </w:tr>
      <w:tr>
        <w:tblPrEx>
          <w:tblCellMar>
            <w:top w:w="0" w:type="dxa"/>
            <w:left w:w="108" w:type="dxa"/>
            <w:bottom w:w="0" w:type="dxa"/>
            <w:right w:w="108" w:type="dxa"/>
          </w:tblCellMar>
        </w:tblPrEx>
        <w:trPr>
          <w:trHeight w:val="540" w:hRule="atLeast"/>
        </w:trPr>
        <w:tc>
          <w:tcPr>
            <w:tcW w:w="9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b/>
                <w:bCs/>
                <w:color w:val="auto"/>
                <w:kern w:val="0"/>
                <w:sz w:val="24"/>
                <w:szCs w:val="24"/>
                <w:lang w:bidi="ar"/>
              </w:rPr>
              <w:t>活体鱼</w:t>
            </w:r>
          </w:p>
        </w:tc>
      </w:tr>
      <w:tr>
        <w:tblPrEx>
          <w:tblCellMar>
            <w:top w:w="0" w:type="dxa"/>
            <w:left w:w="108" w:type="dxa"/>
            <w:bottom w:w="0" w:type="dxa"/>
            <w:right w:w="108" w:type="dxa"/>
          </w:tblCellMar>
        </w:tblPrEx>
        <w:trPr>
          <w:trHeight w:val="114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19</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血鹦鹉</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1、尺寸：13cm；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2、特点：淡水鱼，红色，体型优美，色彩通透，恒温条件下易养。</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13</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条</w:t>
            </w:r>
          </w:p>
        </w:tc>
      </w:tr>
      <w:tr>
        <w:tblPrEx>
          <w:tblCellMar>
            <w:top w:w="0" w:type="dxa"/>
            <w:left w:w="108" w:type="dxa"/>
            <w:bottom w:w="0" w:type="dxa"/>
            <w:right w:w="108" w:type="dxa"/>
          </w:tblCellMar>
        </w:tblPrEx>
        <w:trPr>
          <w:trHeight w:val="85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20</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招财鱼</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1、尺寸：20cm；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2、特点：淡水鱼，白色，体型优美，色彩通透，恒温条件下易养。</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条</w:t>
            </w:r>
          </w:p>
        </w:tc>
      </w:tr>
      <w:tr>
        <w:tblPrEx>
          <w:tblCellMar>
            <w:top w:w="0" w:type="dxa"/>
            <w:left w:w="108" w:type="dxa"/>
            <w:bottom w:w="0" w:type="dxa"/>
            <w:right w:w="108" w:type="dxa"/>
          </w:tblCellMar>
        </w:tblPrEx>
        <w:trPr>
          <w:trHeight w:val="65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21</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银龙</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1、尺寸：30cm；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2、特点：淡水鱼，外形酷似古代的鱼，全身鳞片为银色，恒温条件下易养。</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条</w:t>
            </w:r>
          </w:p>
        </w:tc>
      </w:tr>
      <w:tr>
        <w:tblPrEx>
          <w:tblCellMar>
            <w:top w:w="0" w:type="dxa"/>
            <w:left w:w="108" w:type="dxa"/>
            <w:bottom w:w="0" w:type="dxa"/>
            <w:right w:w="108" w:type="dxa"/>
          </w:tblCellMar>
        </w:tblPrEx>
        <w:trPr>
          <w:trHeight w:val="520" w:hRule="atLeast"/>
        </w:trPr>
        <w:tc>
          <w:tcPr>
            <w:tcW w:w="9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b/>
                <w:bCs/>
                <w:color w:val="auto"/>
                <w:kern w:val="0"/>
                <w:sz w:val="24"/>
                <w:szCs w:val="24"/>
                <w:lang w:bidi="ar"/>
              </w:rPr>
              <w:t>标本鱼</w:t>
            </w:r>
          </w:p>
        </w:tc>
      </w:tr>
      <w:tr>
        <w:tblPrEx>
          <w:tblCellMar>
            <w:top w:w="0" w:type="dxa"/>
            <w:left w:w="108" w:type="dxa"/>
            <w:bottom w:w="0" w:type="dxa"/>
            <w:right w:w="108" w:type="dxa"/>
          </w:tblCellMar>
        </w:tblPrEx>
        <w:trPr>
          <w:trHeight w:val="86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22</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犁头鳐</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1、尺寸：68CM；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2、材质:真皮脱脂，采用聚氨酯发泡剂，雕塑假体成型的。</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条</w:t>
            </w:r>
          </w:p>
        </w:tc>
      </w:tr>
      <w:tr>
        <w:tblPrEx>
          <w:tblCellMar>
            <w:top w:w="0" w:type="dxa"/>
            <w:left w:w="108" w:type="dxa"/>
            <w:bottom w:w="0" w:type="dxa"/>
            <w:right w:w="108" w:type="dxa"/>
          </w:tblCellMar>
        </w:tblPrEx>
        <w:trPr>
          <w:trHeight w:val="85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23</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海鳗</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1、尺寸：66CM；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2、材质:真皮脱脂，采用聚氨酯发泡剂，雕塑假体成型的。</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条</w:t>
            </w:r>
          </w:p>
        </w:tc>
      </w:tr>
      <w:tr>
        <w:tblPrEx>
          <w:tblCellMar>
            <w:top w:w="0" w:type="dxa"/>
            <w:left w:w="108" w:type="dxa"/>
            <w:bottom w:w="0" w:type="dxa"/>
            <w:right w:w="108" w:type="dxa"/>
          </w:tblCellMar>
        </w:tblPrEx>
        <w:trPr>
          <w:trHeight w:val="85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24</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猫鲨</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1、尺寸：54CM；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2、材质:真皮脱脂，采用聚氨酯发泡剂，雕塑假体成型的。</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条</w:t>
            </w:r>
          </w:p>
        </w:tc>
      </w:tr>
      <w:tr>
        <w:tblPrEx>
          <w:tblCellMar>
            <w:top w:w="0" w:type="dxa"/>
            <w:left w:w="108" w:type="dxa"/>
            <w:bottom w:w="0" w:type="dxa"/>
            <w:right w:w="108" w:type="dxa"/>
          </w:tblCellMar>
        </w:tblPrEx>
        <w:trPr>
          <w:trHeight w:val="85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25</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狭纹虎鲨</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1、尺寸：50CM；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2、材质:真皮脱脂，采用聚氨酯发泡剂，雕塑假体成型的。</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条</w:t>
            </w:r>
          </w:p>
        </w:tc>
      </w:tr>
      <w:tr>
        <w:tblPrEx>
          <w:tblCellMar>
            <w:top w:w="0" w:type="dxa"/>
            <w:left w:w="108" w:type="dxa"/>
            <w:bottom w:w="0" w:type="dxa"/>
            <w:right w:w="108" w:type="dxa"/>
          </w:tblCellMar>
        </w:tblPrEx>
        <w:trPr>
          <w:trHeight w:val="85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26</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阿拉斯加雪蟹</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1、尺寸：45CM；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2、材质:真皮脱脂，采用聚氨酯发泡剂，雕塑假体成型的。</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条</w:t>
            </w:r>
          </w:p>
        </w:tc>
      </w:tr>
      <w:tr>
        <w:tblPrEx>
          <w:tblCellMar>
            <w:top w:w="0" w:type="dxa"/>
            <w:left w:w="108" w:type="dxa"/>
            <w:bottom w:w="0" w:type="dxa"/>
            <w:right w:w="108" w:type="dxa"/>
          </w:tblCellMar>
        </w:tblPrEx>
        <w:trPr>
          <w:trHeight w:val="85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27</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团扇鳐</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1、尺寸：45CM；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2、材质:真皮脱脂，采用聚氨酯发泡剂，雕塑假体成型的。</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条</w:t>
            </w:r>
          </w:p>
        </w:tc>
      </w:tr>
      <w:tr>
        <w:tblPrEx>
          <w:tblCellMar>
            <w:top w:w="0" w:type="dxa"/>
            <w:left w:w="108" w:type="dxa"/>
            <w:bottom w:w="0" w:type="dxa"/>
            <w:right w:w="108" w:type="dxa"/>
          </w:tblCellMar>
        </w:tblPrEx>
        <w:trPr>
          <w:trHeight w:val="85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28</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真鲷</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1、尺寸：40CM；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2、材质:真皮脱脂，采用聚氨酯发泡剂，雕塑假体成型的。</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条</w:t>
            </w:r>
          </w:p>
        </w:tc>
      </w:tr>
      <w:tr>
        <w:tblPrEx>
          <w:tblCellMar>
            <w:top w:w="0" w:type="dxa"/>
            <w:left w:w="108" w:type="dxa"/>
            <w:bottom w:w="0" w:type="dxa"/>
            <w:right w:w="108" w:type="dxa"/>
          </w:tblCellMar>
        </w:tblPrEx>
        <w:trPr>
          <w:trHeight w:val="85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29</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长尾鱊</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1、尺寸：40CM；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2、材质:真皮脱脂，采用聚氨酯发泡剂，雕塑假体成型的。</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条</w:t>
            </w:r>
          </w:p>
        </w:tc>
      </w:tr>
      <w:tr>
        <w:tblPrEx>
          <w:tblCellMar>
            <w:top w:w="0" w:type="dxa"/>
            <w:left w:w="108" w:type="dxa"/>
            <w:bottom w:w="0" w:type="dxa"/>
            <w:right w:w="108" w:type="dxa"/>
          </w:tblCellMar>
        </w:tblPrEx>
        <w:trPr>
          <w:trHeight w:val="85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30</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胭脂</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1、尺寸：37CM；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2、材质:真皮脱脂，采用聚氨酯发泡剂，雕塑假体成型的。</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条</w:t>
            </w:r>
          </w:p>
        </w:tc>
      </w:tr>
      <w:tr>
        <w:tblPrEx>
          <w:tblCellMar>
            <w:top w:w="0" w:type="dxa"/>
            <w:left w:w="108" w:type="dxa"/>
            <w:bottom w:w="0" w:type="dxa"/>
            <w:right w:w="108" w:type="dxa"/>
          </w:tblCellMar>
        </w:tblPrEx>
        <w:trPr>
          <w:trHeight w:val="85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31</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青衣</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1、尺寸：32CM；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2、材质:真皮脱脂，采用聚氨酯发泡剂，雕塑假体成型的。</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条</w:t>
            </w:r>
          </w:p>
        </w:tc>
      </w:tr>
      <w:tr>
        <w:tblPrEx>
          <w:tblCellMar>
            <w:top w:w="0" w:type="dxa"/>
            <w:left w:w="108" w:type="dxa"/>
            <w:bottom w:w="0" w:type="dxa"/>
            <w:right w:w="108" w:type="dxa"/>
          </w:tblCellMar>
        </w:tblPrEx>
        <w:trPr>
          <w:trHeight w:val="85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32</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暗纹东方鲀</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1、尺寸：32CM；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2、材质:真皮脱脂，采用聚氨酯发泡剂，雕塑假体成型的。</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条</w:t>
            </w:r>
          </w:p>
        </w:tc>
      </w:tr>
      <w:tr>
        <w:tblPrEx>
          <w:tblCellMar>
            <w:top w:w="0" w:type="dxa"/>
            <w:left w:w="108" w:type="dxa"/>
            <w:bottom w:w="0" w:type="dxa"/>
            <w:right w:w="108" w:type="dxa"/>
          </w:tblCellMar>
        </w:tblPrEx>
        <w:trPr>
          <w:trHeight w:val="85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33</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马面鱼</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1、尺寸：32CM；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2、材质:真皮脱脂，采用聚氨酯发泡剂，雕塑假体成型的。</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条</w:t>
            </w:r>
          </w:p>
        </w:tc>
      </w:tr>
      <w:tr>
        <w:tblPrEx>
          <w:tblCellMar>
            <w:top w:w="0" w:type="dxa"/>
            <w:left w:w="108" w:type="dxa"/>
            <w:bottom w:w="0" w:type="dxa"/>
            <w:right w:w="108" w:type="dxa"/>
          </w:tblCellMar>
        </w:tblPrEx>
        <w:trPr>
          <w:trHeight w:val="85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34</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鲂弗</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1、尺寸：33CM；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2、材质:真皮脱脂，采用聚氨酯发泡剂，雕塑假体成型的。</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条</w:t>
            </w:r>
          </w:p>
        </w:tc>
      </w:tr>
      <w:tr>
        <w:tblPrEx>
          <w:tblCellMar>
            <w:top w:w="0" w:type="dxa"/>
            <w:left w:w="108" w:type="dxa"/>
            <w:bottom w:w="0" w:type="dxa"/>
            <w:right w:w="108" w:type="dxa"/>
          </w:tblCellMar>
        </w:tblPrEx>
        <w:trPr>
          <w:trHeight w:val="85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35</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紫红笛鲷</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1、尺寸：31CM；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2、材质:真皮脱脂，采用聚氨酯发泡剂，雕塑假体成型的。</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条</w:t>
            </w:r>
          </w:p>
        </w:tc>
      </w:tr>
      <w:tr>
        <w:tblPrEx>
          <w:tblCellMar>
            <w:top w:w="0" w:type="dxa"/>
            <w:left w:w="108" w:type="dxa"/>
            <w:bottom w:w="0" w:type="dxa"/>
            <w:right w:w="108" w:type="dxa"/>
          </w:tblCellMar>
        </w:tblPrEx>
        <w:trPr>
          <w:trHeight w:val="85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36</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四指马鲅</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1、尺寸：36CM；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2、材质:真皮脱脂，采用聚氨酯发泡剂，雕塑假体成型的。</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条</w:t>
            </w:r>
          </w:p>
        </w:tc>
      </w:tr>
      <w:tr>
        <w:tblPrEx>
          <w:tblCellMar>
            <w:top w:w="0" w:type="dxa"/>
            <w:left w:w="108" w:type="dxa"/>
            <w:bottom w:w="0" w:type="dxa"/>
            <w:right w:w="108" w:type="dxa"/>
          </w:tblCellMar>
        </w:tblPrEx>
        <w:trPr>
          <w:trHeight w:val="85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37</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军曹鱼</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1、尺寸：41CM；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2、材质:真皮脱脂，采用聚氨酯发泡剂，雕塑假体成型的。</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条</w:t>
            </w:r>
          </w:p>
        </w:tc>
      </w:tr>
      <w:tr>
        <w:tblPrEx>
          <w:tblCellMar>
            <w:top w:w="0" w:type="dxa"/>
            <w:left w:w="108" w:type="dxa"/>
            <w:bottom w:w="0" w:type="dxa"/>
            <w:right w:w="108" w:type="dxa"/>
          </w:tblCellMar>
        </w:tblPrEx>
        <w:trPr>
          <w:trHeight w:val="60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38</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标本鱼支架</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1、尺寸：长8.5CM*宽3.5CM*高6.5；</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2、材质：亚克力板，硬度强，耐用。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16</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个</w:t>
            </w:r>
          </w:p>
        </w:tc>
      </w:tr>
      <w:tr>
        <w:tblPrEx>
          <w:tblCellMar>
            <w:top w:w="0" w:type="dxa"/>
            <w:left w:w="108" w:type="dxa"/>
            <w:bottom w:w="0" w:type="dxa"/>
            <w:right w:w="108" w:type="dxa"/>
          </w:tblCellMar>
        </w:tblPrEx>
        <w:trPr>
          <w:trHeight w:val="114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39</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标本鱼台卡展示牌</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1、尺寸：90*128MM；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2、材质：亚克力板，硬度强，耐用，配海燕生态鱼的文字介绍。</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16</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个</w:t>
            </w:r>
          </w:p>
        </w:tc>
      </w:tr>
      <w:tr>
        <w:tblPrEx>
          <w:tblCellMar>
            <w:top w:w="0" w:type="dxa"/>
            <w:left w:w="108" w:type="dxa"/>
            <w:bottom w:w="0" w:type="dxa"/>
            <w:right w:w="108" w:type="dxa"/>
          </w:tblCellMar>
        </w:tblPrEx>
        <w:trPr>
          <w:trHeight w:val="560" w:hRule="atLeast"/>
        </w:trPr>
        <w:tc>
          <w:tcPr>
            <w:tcW w:w="9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b/>
                <w:bCs/>
                <w:color w:val="auto"/>
                <w:kern w:val="0"/>
                <w:sz w:val="24"/>
                <w:szCs w:val="24"/>
                <w:lang w:bidi="ar"/>
              </w:rPr>
              <w:t>景观船</w:t>
            </w:r>
          </w:p>
        </w:tc>
      </w:tr>
      <w:tr>
        <w:tblPrEx>
          <w:tblCellMar>
            <w:top w:w="0" w:type="dxa"/>
            <w:left w:w="108" w:type="dxa"/>
            <w:bottom w:w="0" w:type="dxa"/>
            <w:right w:w="108" w:type="dxa"/>
          </w:tblCellMar>
        </w:tblPrEx>
        <w:trPr>
          <w:trHeight w:val="370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40</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主体造型船</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w:t>
            </w:r>
            <w:r>
              <w:rPr>
                <w:rFonts w:hint="eastAsia" w:ascii="仿宋" w:hAnsi="仿宋" w:eastAsia="仿宋" w:cs="仿宋"/>
                <w:color w:val="auto"/>
                <w:kern w:val="0"/>
                <w:sz w:val="24"/>
                <w:szCs w:val="24"/>
                <w:lang w:bidi="ar"/>
              </w:rPr>
              <w:t>规格：长750*宽120*高500CM。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val="en-US" w:eastAsia="zh-CN" w:bidi="ar"/>
              </w:rPr>
              <w:t>2</w:t>
            </w:r>
            <w:r>
              <w:rPr>
                <w:rFonts w:hint="eastAsia" w:ascii="仿宋" w:hAnsi="仿宋" w:eastAsia="仿宋" w:cs="仿宋"/>
                <w:color w:val="auto"/>
                <w:kern w:val="0"/>
                <w:sz w:val="24"/>
                <w:szCs w:val="24"/>
                <w:lang w:bidi="ar"/>
              </w:rPr>
              <w:t>．主体结构固定</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val="en-US" w:eastAsia="zh-CN" w:bidi="ar"/>
              </w:rPr>
              <w:t>3</w:t>
            </w:r>
            <w:r>
              <w:rPr>
                <w:rFonts w:hint="eastAsia" w:ascii="仿宋" w:hAnsi="仿宋" w:eastAsia="仿宋" w:cs="仿宋"/>
                <w:color w:val="auto"/>
                <w:kern w:val="0"/>
                <w:sz w:val="24"/>
                <w:szCs w:val="24"/>
                <w:lang w:bidi="ar"/>
              </w:rPr>
              <w:t>．常规悍型基础加固加密（4*4角铁0.6钢筋）喷涂防锈漆</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val="en-US" w:eastAsia="zh-CN" w:bidi="ar"/>
              </w:rPr>
              <w:t>4</w:t>
            </w:r>
            <w:r>
              <w:rPr>
                <w:rFonts w:hint="eastAsia" w:ascii="仿宋" w:hAnsi="仿宋" w:eastAsia="仿宋" w:cs="仿宋"/>
                <w:color w:val="auto"/>
                <w:kern w:val="0"/>
                <w:sz w:val="24"/>
                <w:szCs w:val="24"/>
                <w:lang w:bidi="ar"/>
              </w:rPr>
              <w:t xml:space="preserve">．基层网片绑定0.37两层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val="en-US" w:eastAsia="zh-CN" w:bidi="ar"/>
              </w:rPr>
              <w:t>5</w:t>
            </w:r>
            <w:r>
              <w:rPr>
                <w:rFonts w:hint="eastAsia" w:ascii="仿宋" w:hAnsi="仿宋" w:eastAsia="仿宋" w:cs="仿宋"/>
                <w:color w:val="auto"/>
                <w:kern w:val="0"/>
                <w:sz w:val="24"/>
                <w:szCs w:val="24"/>
                <w:lang w:bidi="ar"/>
              </w:rPr>
              <w:t>．po425塑型高强度水泥喷涂，基层拉毛层，塑型常规细河沙</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val="en-US" w:eastAsia="zh-CN" w:bidi="ar"/>
              </w:rPr>
              <w:t>6</w:t>
            </w:r>
            <w:r>
              <w:rPr>
                <w:rFonts w:hint="eastAsia" w:ascii="仿宋" w:hAnsi="仿宋" w:eastAsia="仿宋" w:cs="仿宋"/>
                <w:color w:val="auto"/>
                <w:kern w:val="0"/>
                <w:sz w:val="24"/>
                <w:szCs w:val="24"/>
                <w:lang w:bidi="ar"/>
              </w:rPr>
              <w:t>．采用绿色环保漆，安全，无甲醛。</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项</w:t>
            </w:r>
          </w:p>
        </w:tc>
      </w:tr>
      <w:tr>
        <w:tblPrEx>
          <w:tblCellMar>
            <w:top w:w="0" w:type="dxa"/>
            <w:left w:w="108" w:type="dxa"/>
            <w:bottom w:w="0" w:type="dxa"/>
            <w:right w:w="108" w:type="dxa"/>
          </w:tblCellMar>
        </w:tblPrEx>
        <w:trPr>
          <w:trHeight w:val="57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41</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桅杆1</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1、规格：直径89*3MM厚*5米；</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2、材质：镀锌钢管特制桅杆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支</w:t>
            </w:r>
          </w:p>
        </w:tc>
      </w:tr>
      <w:tr>
        <w:tblPrEx>
          <w:tblCellMar>
            <w:top w:w="0" w:type="dxa"/>
            <w:left w:w="108" w:type="dxa"/>
            <w:bottom w:w="0" w:type="dxa"/>
            <w:right w:w="108" w:type="dxa"/>
          </w:tblCellMar>
        </w:tblPrEx>
        <w:trPr>
          <w:trHeight w:val="57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42</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桅杆2</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1、规格：直径75*3MM厚*4米</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2、材质：镀锌钢管特制桅杆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支</w:t>
            </w:r>
          </w:p>
        </w:tc>
      </w:tr>
      <w:tr>
        <w:tblPrEx>
          <w:tblCellMar>
            <w:top w:w="0" w:type="dxa"/>
            <w:left w:w="108" w:type="dxa"/>
            <w:bottom w:w="0" w:type="dxa"/>
            <w:right w:w="108" w:type="dxa"/>
          </w:tblCellMar>
        </w:tblPrEx>
        <w:trPr>
          <w:trHeight w:val="57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43</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桅杆3</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1、规格：直径60*2MM厚*3米</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2、材质：镀锌钢管特制桅杆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支</w:t>
            </w:r>
          </w:p>
        </w:tc>
      </w:tr>
      <w:tr>
        <w:tblPrEx>
          <w:tblCellMar>
            <w:top w:w="0" w:type="dxa"/>
            <w:left w:w="108" w:type="dxa"/>
            <w:bottom w:w="0" w:type="dxa"/>
            <w:right w:w="108" w:type="dxa"/>
          </w:tblCellMar>
        </w:tblPrEx>
        <w:trPr>
          <w:trHeight w:val="57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44</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桅杆4</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1、规格：直径48*2MM厚*2米</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2、材质：镀锌钢管特制桅杆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支</w:t>
            </w:r>
          </w:p>
        </w:tc>
      </w:tr>
      <w:tr>
        <w:tblPrEx>
          <w:tblCellMar>
            <w:top w:w="0" w:type="dxa"/>
            <w:left w:w="108" w:type="dxa"/>
            <w:bottom w:w="0" w:type="dxa"/>
            <w:right w:w="108" w:type="dxa"/>
          </w:tblCellMar>
        </w:tblPrEx>
        <w:trPr>
          <w:trHeight w:val="85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45</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船帆1（能升降）</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1、规格：4*2（单位：m）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2、材质：采用防水帆布，耐磨防水，扛风扛雨，耐用，采用优质防水涂层，健康环保。</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片</w:t>
            </w:r>
          </w:p>
        </w:tc>
      </w:tr>
      <w:tr>
        <w:tblPrEx>
          <w:tblCellMar>
            <w:top w:w="0" w:type="dxa"/>
            <w:left w:w="108" w:type="dxa"/>
            <w:bottom w:w="0" w:type="dxa"/>
            <w:right w:w="108" w:type="dxa"/>
          </w:tblCellMar>
        </w:tblPrEx>
        <w:trPr>
          <w:trHeight w:val="35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46</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船帆2（能升降）</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1、规格：3*1.5（单位：m）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2、材质：采用防水帆布，耐磨防水，扛风扛雨，耐用，采用优质防水涂层，健康环保。</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片</w:t>
            </w:r>
          </w:p>
        </w:tc>
      </w:tr>
      <w:tr>
        <w:tblPrEx>
          <w:tblCellMar>
            <w:top w:w="0" w:type="dxa"/>
            <w:left w:w="108" w:type="dxa"/>
            <w:bottom w:w="0" w:type="dxa"/>
            <w:right w:w="108" w:type="dxa"/>
          </w:tblCellMar>
        </w:tblPrEx>
        <w:trPr>
          <w:trHeight w:val="85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47</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船帆3（能升降）</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1、规格：2*1.2（单位：m）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2、材质：采用防水帆布，耐磨防水，扛风扛雨，耐用，采用优质防水涂层，健康环保。</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片</w:t>
            </w:r>
          </w:p>
        </w:tc>
      </w:tr>
      <w:tr>
        <w:tblPrEx>
          <w:tblCellMar>
            <w:top w:w="0" w:type="dxa"/>
            <w:left w:w="108" w:type="dxa"/>
            <w:bottom w:w="0" w:type="dxa"/>
            <w:right w:w="108" w:type="dxa"/>
          </w:tblCellMar>
        </w:tblPrEx>
        <w:trPr>
          <w:trHeight w:val="85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48</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船帆4（能升降）</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1、规格：1.8*1.2（单位：m）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2、材质：采用防水帆布，耐磨防水，扛风扛雨，耐用，采用优质防水涂层，健康环保。</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片</w:t>
            </w:r>
          </w:p>
        </w:tc>
      </w:tr>
      <w:tr>
        <w:tblPrEx>
          <w:tblCellMar>
            <w:top w:w="0" w:type="dxa"/>
            <w:left w:w="108" w:type="dxa"/>
            <w:bottom w:w="0" w:type="dxa"/>
            <w:right w:w="108" w:type="dxa"/>
          </w:tblCellMar>
        </w:tblPrEx>
        <w:trPr>
          <w:trHeight w:val="57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49</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帆绳</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1、规格：直径10MM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2、材质：尼龙，耐用。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130</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米</w:t>
            </w:r>
          </w:p>
        </w:tc>
      </w:tr>
      <w:tr>
        <w:tblPrEx>
          <w:tblCellMar>
            <w:top w:w="0" w:type="dxa"/>
            <w:left w:w="108" w:type="dxa"/>
            <w:bottom w:w="0" w:type="dxa"/>
            <w:right w:w="108" w:type="dxa"/>
          </w:tblCellMar>
        </w:tblPrEx>
        <w:trPr>
          <w:trHeight w:val="142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50</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瞭望台</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1、规格：直径50*30CM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2、材质：户外防腐实木护栏，材质坚硬耐用，强承重力，经久耐用；采用环保水汽漆，涂刷后木纹清晰可见，质感突出，表面经过高温深度碳化处理，防腐防蛀；</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项</w:t>
            </w:r>
          </w:p>
        </w:tc>
      </w:tr>
      <w:tr>
        <w:tblPrEx>
          <w:tblCellMar>
            <w:top w:w="0" w:type="dxa"/>
            <w:left w:w="108" w:type="dxa"/>
            <w:bottom w:w="0" w:type="dxa"/>
            <w:right w:w="108" w:type="dxa"/>
          </w:tblCellMar>
        </w:tblPrEx>
        <w:trPr>
          <w:trHeight w:val="42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51</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旗帜</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尺寸：30cm*30cm</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片</w:t>
            </w:r>
          </w:p>
        </w:tc>
      </w:tr>
      <w:tr>
        <w:tblPrEx>
          <w:tblCellMar>
            <w:top w:w="0" w:type="dxa"/>
            <w:left w:w="108" w:type="dxa"/>
            <w:bottom w:w="0" w:type="dxa"/>
            <w:right w:w="108" w:type="dxa"/>
          </w:tblCellMar>
        </w:tblPrEx>
        <w:trPr>
          <w:trHeight w:val="42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52</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控制器</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控制电压，保证用电安全。</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i w:val="0"/>
                <w:iCs w:val="0"/>
                <w:color w:val="auto"/>
                <w:kern w:val="0"/>
                <w:sz w:val="24"/>
                <w:szCs w:val="24"/>
                <w:u w:val="none"/>
                <w:lang w:val="en-US" w:eastAsia="zh-CN" w:bidi="ar"/>
              </w:rPr>
              <w:t>件</w:t>
            </w:r>
          </w:p>
        </w:tc>
      </w:tr>
      <w:tr>
        <w:tblPrEx>
          <w:tblCellMar>
            <w:top w:w="0" w:type="dxa"/>
            <w:left w:w="108" w:type="dxa"/>
            <w:bottom w:w="0" w:type="dxa"/>
            <w:right w:w="108" w:type="dxa"/>
          </w:tblCellMar>
        </w:tblPrEx>
        <w:trPr>
          <w:trHeight w:val="135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olor w:val="auto"/>
                <w:kern w:val="0"/>
                <w:sz w:val="24"/>
                <w:szCs w:val="24"/>
                <w:u w:val="none"/>
                <w:lang w:val="en-US" w:eastAsia="zh-CN" w:bidi="ar"/>
              </w:rPr>
              <w:t>53</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装饰氛围灯</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9"/>
              </w:numPr>
              <w:spacing w:before="156" w:after="156"/>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功率：</w:t>
            </w:r>
            <w:r>
              <w:rPr>
                <w:rFonts w:hint="eastAsia" w:ascii="仿宋" w:hAnsi="仿宋" w:eastAsia="仿宋" w:cs="仿宋"/>
                <w:b w:val="0"/>
                <w:bCs w:val="0"/>
                <w:color w:val="auto"/>
                <w:sz w:val="24"/>
                <w:szCs w:val="24"/>
                <w:lang w:val="en-US" w:eastAsia="zh-CN"/>
              </w:rPr>
              <w:t>5w，</w:t>
            </w:r>
          </w:p>
          <w:p>
            <w:pPr>
              <w:pStyle w:val="2"/>
              <w:numPr>
                <w:ilvl w:val="0"/>
                <w:numId w:val="9"/>
              </w:numP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特点：颜色多样，营造氛围。</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44</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盏</w:t>
            </w:r>
          </w:p>
        </w:tc>
      </w:tr>
      <w:tr>
        <w:tblPrEx>
          <w:tblCellMar>
            <w:top w:w="0" w:type="dxa"/>
            <w:left w:w="108" w:type="dxa"/>
            <w:bottom w:w="0" w:type="dxa"/>
            <w:right w:w="108" w:type="dxa"/>
          </w:tblCellMar>
        </w:tblPrEx>
        <w:trPr>
          <w:trHeight w:val="406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54</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54颗LED防水帕灯-单色</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1.电压：AC110-240V 50-60HZ     2.功率：200W</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3.灯珠：54颗*3W RGBW单色灯珠                        4.（红：12 绿：18 蓝：18 白：6）</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5.通道：7通道                                       6.控制模式：DMX512 主从 自走</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7.发光角度：25度</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8.防护等级：IP20；</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9.设备通过电快速瞬变脉冲群抗扰度试验，保证在复杂电源环境下安全稳定运行；</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10.采用国际领先的CTD电路技术，让设备在安全范围内工作，保证设备的高可靠性及高稳定性；</w:t>
            </w:r>
            <w:r>
              <w:rPr>
                <w:rFonts w:hint="eastAsia" w:ascii="仿宋" w:hAnsi="仿宋" w:eastAsia="仿宋" w:cs="仿宋"/>
                <w:color w:val="auto"/>
                <w:kern w:val="0"/>
                <w:sz w:val="24"/>
                <w:szCs w:val="24"/>
                <w:lang w:bidi="ar"/>
              </w:rPr>
              <w:br w:type="textWrapping"/>
            </w:r>
            <w:r>
              <w:rPr>
                <w:rFonts w:hint="eastAsia" w:ascii="仿宋" w:hAnsi="仿宋" w:eastAsia="仿宋" w:cs="仿宋"/>
                <w:b/>
                <w:bCs/>
                <w:color w:val="FF0000"/>
                <w:kern w:val="0"/>
                <w:sz w:val="24"/>
                <w:szCs w:val="24"/>
                <w:lang w:bidi="ar"/>
              </w:rPr>
              <w:t>★11.具有无线控制扩展功能，可以将DMX512信号转化成无线控制信号，使用无线方式管理设备；须提供符合CNAS认证检测报告复印件佐证,检测网站可查询验证并截图加盖投标人公章；</w:t>
            </w:r>
            <w:r>
              <w:rPr>
                <w:rFonts w:hint="eastAsia" w:ascii="仿宋" w:hAnsi="仿宋" w:eastAsia="仿宋" w:cs="仿宋"/>
                <w:color w:val="FF0000"/>
                <w:kern w:val="0"/>
                <w:sz w:val="24"/>
                <w:szCs w:val="24"/>
                <w:lang w:bidi="ar"/>
              </w:rPr>
              <w:br w:type="textWrapping"/>
            </w:r>
            <w:r>
              <w:rPr>
                <w:rFonts w:hint="eastAsia" w:ascii="仿宋" w:hAnsi="仿宋" w:eastAsia="仿宋" w:cs="仿宋"/>
                <w:b/>
                <w:bCs/>
                <w:color w:val="FF0000"/>
                <w:kern w:val="0"/>
                <w:sz w:val="24"/>
                <w:szCs w:val="24"/>
                <w:lang w:bidi="ar"/>
              </w:rPr>
              <w:t>▲12.防护等级：IP20；须提供符合CNAS认证检测报告复印件佐证，检测标准须包含《国际电工委员会防尘防水等级标准》,检测网站可查询验证并截图加盖投标人公章；</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台</w:t>
            </w:r>
          </w:p>
        </w:tc>
      </w:tr>
      <w:tr>
        <w:tblPrEx>
          <w:tblCellMar>
            <w:top w:w="0" w:type="dxa"/>
            <w:left w:w="108" w:type="dxa"/>
            <w:bottom w:w="0" w:type="dxa"/>
            <w:right w:w="108" w:type="dxa"/>
          </w:tblCellMar>
        </w:tblPrEx>
        <w:trPr>
          <w:trHeight w:val="57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55</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户外防水洗墙灯</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1，光源：24颗*3W RGB三合一灯珠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 xml:space="preserve">2，功率：200W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 xml:space="preserve">3，防护等级：IP20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 xml:space="preserve">4，控制模式：自走，DMX，主从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 xml:space="preserve">5，通道：2/3/4/6/7/12/24通道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6，机箱材料：铸铝机箱，银色</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7.防护等级：IP20</w:t>
            </w:r>
            <w:r>
              <w:rPr>
                <w:rFonts w:hint="eastAsia" w:ascii="仿宋" w:hAnsi="仿宋" w:eastAsia="仿宋" w:cs="仿宋"/>
                <w:color w:val="auto"/>
                <w:kern w:val="0"/>
                <w:sz w:val="24"/>
                <w:szCs w:val="24"/>
                <w:lang w:bidi="ar"/>
              </w:rPr>
              <w:br w:type="textWrapping"/>
            </w:r>
            <w:r>
              <w:rPr>
                <w:rFonts w:hint="eastAsia" w:ascii="仿宋" w:hAnsi="仿宋" w:eastAsia="仿宋" w:cs="仿宋"/>
                <w:b/>
                <w:bCs/>
                <w:color w:val="FF0000"/>
                <w:kern w:val="0"/>
                <w:sz w:val="24"/>
                <w:szCs w:val="24"/>
                <w:lang w:bidi="ar"/>
              </w:rPr>
              <w:t>★8.设备通过电快速瞬变脉冲群抗扰度试验，保证在复杂电源环境下安全稳定运行；须提供符合CNAS认证检测报告复印件佐证；检测网站可查询验证并截图加盖投标人公章；</w:t>
            </w:r>
            <w:r>
              <w:rPr>
                <w:rFonts w:hint="eastAsia" w:ascii="仿宋" w:hAnsi="仿宋" w:eastAsia="仿宋" w:cs="仿宋"/>
                <w:b/>
                <w:bCs/>
                <w:color w:val="FF0000"/>
                <w:kern w:val="0"/>
                <w:sz w:val="24"/>
                <w:szCs w:val="24"/>
                <w:lang w:bidi="ar"/>
              </w:rPr>
              <w:br w:type="textWrapping"/>
            </w:r>
            <w:r>
              <w:rPr>
                <w:rFonts w:hint="eastAsia" w:ascii="仿宋" w:hAnsi="仿宋" w:eastAsia="仿宋" w:cs="仿宋"/>
                <w:b/>
                <w:bCs/>
                <w:color w:val="FF0000"/>
                <w:kern w:val="0"/>
                <w:sz w:val="24"/>
                <w:szCs w:val="24"/>
                <w:lang w:bidi="ar"/>
              </w:rPr>
              <w:t>▲9.采用国际领先的CTD电路技术，让设备在安全范围内工作，保证设备的高可靠性及高稳定性；须提供符合CNAS认证检测报告复印件佐证；检测网站可查询验证并截图加盖投标人公章；</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台</w:t>
            </w:r>
          </w:p>
        </w:tc>
      </w:tr>
      <w:tr>
        <w:tblPrEx>
          <w:tblCellMar>
            <w:top w:w="0" w:type="dxa"/>
            <w:left w:w="108" w:type="dxa"/>
            <w:bottom w:w="0" w:type="dxa"/>
            <w:right w:w="108" w:type="dxa"/>
          </w:tblCellMar>
        </w:tblPrEx>
        <w:trPr>
          <w:trHeight w:val="2699"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56</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水纹灯</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1.输入电压：AC90-240V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2.额定功率：100w</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3.灯珠：1pcs* 100w 单色灯珠</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4.功能： 自走</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5.光束角度：8度</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6.工作电压：DC12V</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7.效果：RGBW混色可达到多种以上效8果，频闪和调光</w:t>
            </w:r>
            <w:r>
              <w:rPr>
                <w:rFonts w:hint="eastAsia" w:ascii="仿宋" w:hAnsi="仿宋" w:eastAsia="仿宋" w:cs="仿宋"/>
                <w:color w:val="auto"/>
                <w:kern w:val="0"/>
                <w:sz w:val="24"/>
                <w:szCs w:val="24"/>
                <w:lang w:bidi="ar"/>
              </w:rPr>
              <w:br w:type="textWrapping"/>
            </w:r>
            <w:r>
              <w:rPr>
                <w:rFonts w:hint="eastAsia" w:ascii="仿宋" w:hAnsi="仿宋" w:eastAsia="仿宋" w:cs="仿宋"/>
                <w:b/>
                <w:bCs/>
                <w:color w:val="FF0000"/>
                <w:kern w:val="0"/>
                <w:sz w:val="24"/>
                <w:szCs w:val="24"/>
                <w:lang w:bidi="ar"/>
              </w:rPr>
              <w:t>★8.为保证投标设备的安全性，须提供符合CNAS认证检测报告复印件佐证，检测标准须包含GB/7000.1-2015《灯具 第1部分：一般要求与试验》,检测网站可查询验证并截图加盖投标人公章；</w:t>
            </w:r>
            <w:r>
              <w:rPr>
                <w:rFonts w:hint="eastAsia" w:ascii="仿宋" w:hAnsi="仿宋" w:eastAsia="仿宋" w:cs="仿宋"/>
                <w:color w:val="FF0000"/>
                <w:kern w:val="0"/>
                <w:sz w:val="24"/>
                <w:szCs w:val="24"/>
                <w:lang w:bidi="ar"/>
              </w:rPr>
              <w:br w:type="textWrapping"/>
            </w:r>
            <w:r>
              <w:rPr>
                <w:rFonts w:hint="eastAsia" w:ascii="仿宋" w:hAnsi="仿宋" w:eastAsia="仿宋" w:cs="仿宋"/>
                <w:b/>
                <w:bCs/>
                <w:color w:val="FF0000"/>
                <w:kern w:val="0"/>
                <w:sz w:val="24"/>
                <w:szCs w:val="24"/>
                <w:lang w:bidi="ar"/>
              </w:rPr>
              <w:t>▲9.具有无线控制扩展功能，可以将DMX512信号转化成无线控制信号，使用无线方式管理设备；须提供符合CNAS认证检测报告复印件佐证,检测网站可查询验证并截图加盖投标人公章；</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台</w:t>
            </w:r>
          </w:p>
        </w:tc>
      </w:tr>
      <w:tr>
        <w:tblPrEx>
          <w:tblCellMar>
            <w:top w:w="0" w:type="dxa"/>
            <w:left w:w="108" w:type="dxa"/>
            <w:bottom w:w="0" w:type="dxa"/>
            <w:right w:w="108" w:type="dxa"/>
          </w:tblCellMar>
        </w:tblPrEx>
        <w:trPr>
          <w:trHeight w:val="60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57</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156" w:after="156"/>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eastAsia="zh-CN" w:bidi="ar"/>
              </w:rPr>
              <w:t>线材费</w:t>
            </w:r>
          </w:p>
        </w:tc>
        <w:tc>
          <w:tcPr>
            <w:tcW w:w="61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2.5平方防水电源线</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 xml:space="preserve">200 </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米</w:t>
            </w:r>
          </w:p>
        </w:tc>
      </w:tr>
      <w:tr>
        <w:tblPrEx>
          <w:tblCellMar>
            <w:top w:w="0" w:type="dxa"/>
            <w:left w:w="108" w:type="dxa"/>
            <w:bottom w:w="0" w:type="dxa"/>
            <w:right w:w="108" w:type="dxa"/>
          </w:tblCellMar>
        </w:tblPrEx>
        <w:trPr>
          <w:trHeight w:val="185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58</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防水电箱</w:t>
            </w:r>
          </w:p>
        </w:tc>
        <w:tc>
          <w:tcPr>
            <w:tcW w:w="611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before="156" w:after="156"/>
              <w:jc w:val="left"/>
              <w:textAlignment w:val="top"/>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高83CM深57CM宽52CM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 xml:space="preserve">结构：散装可拆卸式结构设计，稳定可靠，强度好；内部设计标准19安装立柱；顶部和底部背部可同时走线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 xml:space="preserve">门板：前门为钢制嵌边式玻璃门，方便直观了解设备运行状态；侧门为钢制快拆式们板设计；背部为可拆式门板；方便快捷安装和维护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 xml:space="preserve">承重：静态承重达30KG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 xml:space="preserve">可选颜色：国际流行电脑灰/或黑色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表面处理:脱脂、酸洗、磷化、静电喷塑处理。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 xml:space="preserve">1 </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个</w:t>
            </w:r>
          </w:p>
        </w:tc>
      </w:tr>
      <w:tr>
        <w:tblPrEx>
          <w:tblCellMar>
            <w:top w:w="0" w:type="dxa"/>
            <w:left w:w="108" w:type="dxa"/>
            <w:bottom w:w="0" w:type="dxa"/>
            <w:right w:w="108" w:type="dxa"/>
          </w:tblCellMar>
        </w:tblPrEx>
        <w:trPr>
          <w:trHeight w:val="78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59</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防水帕灯网罩</w:t>
            </w:r>
          </w:p>
        </w:tc>
        <w:tc>
          <w:tcPr>
            <w:tcW w:w="611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before="156" w:after="156"/>
              <w:jc w:val="left"/>
              <w:textAlignment w:val="top"/>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直径4.0钢筋，长40CM宽40CM高40CM，用五金定制。</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个</w:t>
            </w:r>
          </w:p>
        </w:tc>
      </w:tr>
      <w:tr>
        <w:tblPrEx>
          <w:tblCellMar>
            <w:top w:w="0" w:type="dxa"/>
            <w:left w:w="108" w:type="dxa"/>
            <w:bottom w:w="0" w:type="dxa"/>
            <w:right w:w="108" w:type="dxa"/>
          </w:tblCellMar>
        </w:tblPrEx>
        <w:trPr>
          <w:trHeight w:val="41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60</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智能电源管理系统</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1.带LED智能显示屏，实时显示当前电压、电流、功率、功率因子,监控设备用电情况；实时显示网络连接情况、工作状态、保护状态；</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2.带有电压保护功能，当电压超过260V设备不启动；设备在使用中，电压超过260V时，设备自动断电；</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3.带有电流保护功能，当工作电流超过35A时，设备自动断电；</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4.支持2.4G无线网络联机，手机可远程异地同步控制，一台手机可控制多台智能电源管理系统，支持定时开关机设置，方便管理使用；</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5.支持RS232 DR9接口，波特率可自由设备，默认9600；</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6.每路带有单独的EMI专业电网滤波器,通道独立开关，可自由开启、关闭通道，前面板带有PASS键，可同时打开全部通道；</w:t>
            </w:r>
            <w:r>
              <w:rPr>
                <w:rFonts w:hint="eastAsia" w:ascii="仿宋" w:hAnsi="仿宋" w:eastAsia="仿宋" w:cs="仿宋"/>
                <w:color w:val="auto"/>
                <w:kern w:val="0"/>
                <w:sz w:val="24"/>
                <w:szCs w:val="24"/>
                <w:lang w:bidi="ar"/>
              </w:rPr>
              <w:br w:type="textWrapping"/>
            </w:r>
            <w:r>
              <w:rPr>
                <w:rFonts w:hint="eastAsia" w:ascii="仿宋" w:hAnsi="仿宋" w:eastAsia="仿宋" w:cs="仿宋"/>
                <w:b/>
                <w:bCs/>
                <w:color w:val="FF0000"/>
                <w:kern w:val="0"/>
                <w:sz w:val="24"/>
                <w:szCs w:val="24"/>
                <w:lang w:bidi="ar"/>
              </w:rPr>
              <w:t>★7.设备采用了高抗干扰能力的通信接口电路，保证了通信的可靠性；须提供符合CNAS认证检测报告复印件佐证,检测报告依据《GB/T 33773-2017音视频设备红外线遥控编码规则》标准，检测网站可查询验证并截图加盖投标人公章。</w:t>
            </w:r>
            <w:r>
              <w:rPr>
                <w:rFonts w:hint="eastAsia" w:ascii="仿宋" w:hAnsi="仿宋" w:eastAsia="仿宋" w:cs="仿宋"/>
                <w:color w:val="FF0000"/>
                <w:kern w:val="0"/>
                <w:sz w:val="24"/>
                <w:szCs w:val="24"/>
                <w:lang w:bidi="ar"/>
              </w:rPr>
              <w:br w:type="textWrapping"/>
            </w:r>
            <w:r>
              <w:rPr>
                <w:rFonts w:hint="eastAsia" w:ascii="仿宋" w:hAnsi="仿宋" w:eastAsia="仿宋" w:cs="仿宋"/>
                <w:b/>
                <w:bCs/>
                <w:color w:val="FF0000"/>
                <w:kern w:val="0"/>
                <w:sz w:val="24"/>
                <w:szCs w:val="24"/>
                <w:lang w:bidi="ar"/>
              </w:rPr>
              <w:t>▲8.设备通过电快速瞬变脉冲群抗扰度试验，保证在复杂电源环境下安全稳定运行；须提供符合CNAS认证检测报告复印件佐证；检测网站可查询验证并截图加盖投标人公章。</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台</w:t>
            </w:r>
          </w:p>
        </w:tc>
      </w:tr>
      <w:tr>
        <w:tblPrEx>
          <w:tblCellMar>
            <w:top w:w="0" w:type="dxa"/>
            <w:left w:w="108" w:type="dxa"/>
            <w:bottom w:w="0" w:type="dxa"/>
            <w:right w:w="108" w:type="dxa"/>
          </w:tblCellMar>
        </w:tblPrEx>
        <w:trPr>
          <w:trHeight w:val="540" w:hRule="atLeast"/>
        </w:trPr>
        <w:tc>
          <w:tcPr>
            <w:tcW w:w="9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b/>
                <w:bCs/>
                <w:color w:val="auto"/>
                <w:kern w:val="0"/>
                <w:sz w:val="24"/>
                <w:szCs w:val="24"/>
                <w:lang w:bidi="ar"/>
              </w:rPr>
              <w:t>装饰类</w:t>
            </w:r>
          </w:p>
        </w:tc>
      </w:tr>
      <w:tr>
        <w:tblPrEx>
          <w:tblCellMar>
            <w:top w:w="0" w:type="dxa"/>
            <w:left w:w="108" w:type="dxa"/>
            <w:bottom w:w="0" w:type="dxa"/>
            <w:right w:w="108" w:type="dxa"/>
          </w:tblCellMar>
        </w:tblPrEx>
        <w:trPr>
          <w:trHeight w:val="85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61</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护栏</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1、规格：定制；</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2、材质：水泥加钢筋，人工制作。</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142.5</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公斤</w:t>
            </w:r>
          </w:p>
        </w:tc>
      </w:tr>
      <w:tr>
        <w:tblPrEx>
          <w:tblCellMar>
            <w:top w:w="0" w:type="dxa"/>
            <w:left w:w="108" w:type="dxa"/>
            <w:bottom w:w="0" w:type="dxa"/>
            <w:right w:w="108" w:type="dxa"/>
          </w:tblCellMar>
        </w:tblPrEx>
        <w:trPr>
          <w:trHeight w:val="70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62</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地坪漆</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1、面积：180平方米</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2、材质：耐磨抗压，无毒；环保防晒</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180</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平方米</w:t>
            </w:r>
          </w:p>
        </w:tc>
      </w:tr>
      <w:tr>
        <w:tblPrEx>
          <w:tblCellMar>
            <w:top w:w="0" w:type="dxa"/>
            <w:left w:w="108" w:type="dxa"/>
            <w:bottom w:w="0" w:type="dxa"/>
            <w:right w:w="108" w:type="dxa"/>
          </w:tblCellMar>
        </w:tblPrEx>
        <w:trPr>
          <w:trHeight w:val="54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63</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拆除费</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现场设施及建筑拆除人工费</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项</w:t>
            </w:r>
          </w:p>
        </w:tc>
      </w:tr>
      <w:tr>
        <w:tblPrEx>
          <w:tblCellMar>
            <w:top w:w="0" w:type="dxa"/>
            <w:left w:w="108" w:type="dxa"/>
            <w:bottom w:w="0" w:type="dxa"/>
            <w:right w:w="108" w:type="dxa"/>
          </w:tblCellMar>
        </w:tblPrEx>
        <w:trPr>
          <w:trHeight w:val="54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64</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项目施工垃圾清运费</w:t>
            </w:r>
          </w:p>
        </w:tc>
        <w:tc>
          <w:tcPr>
            <w:tcW w:w="611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after="156"/>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负责施工垃圾运离现场，打扫现场卫生。</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项</w:t>
            </w:r>
          </w:p>
        </w:tc>
      </w:tr>
    </w:tbl>
    <w:p>
      <w:pPr>
        <w:rPr>
          <w:b/>
          <w:color w:val="auto"/>
          <w:szCs w:val="21"/>
        </w:rPr>
      </w:pPr>
    </w:p>
    <w:p>
      <w:pPr>
        <w:rPr>
          <w:b/>
          <w:color w:val="auto"/>
          <w:szCs w:val="21"/>
        </w:rPr>
      </w:pPr>
    </w:p>
    <w:p>
      <w:pPr>
        <w:pStyle w:val="6"/>
        <w:spacing w:before="120" w:beforeLines="50" w:after="120" w:afterLines="50"/>
        <w:rPr>
          <w:color w:val="auto"/>
          <w:sz w:val="28"/>
          <w:szCs w:val="28"/>
        </w:rPr>
      </w:pPr>
      <w:r>
        <w:rPr>
          <w:rFonts w:hint="eastAsia"/>
          <w:color w:val="auto"/>
          <w:sz w:val="28"/>
          <w:szCs w:val="28"/>
        </w:rPr>
        <w:t>五、检测报告</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2127"/>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b/>
                <w:color w:val="auto"/>
                <w:szCs w:val="21"/>
              </w:rPr>
            </w:pPr>
            <w:r>
              <w:rPr>
                <w:rFonts w:hint="eastAsia"/>
                <w:b/>
                <w:color w:val="auto"/>
                <w:szCs w:val="21"/>
              </w:rPr>
              <w:t>序号</w:t>
            </w:r>
          </w:p>
        </w:tc>
        <w:tc>
          <w:tcPr>
            <w:tcW w:w="1559" w:type="dxa"/>
          </w:tcPr>
          <w:p>
            <w:pPr>
              <w:jc w:val="center"/>
              <w:rPr>
                <w:b/>
                <w:color w:val="auto"/>
                <w:szCs w:val="21"/>
              </w:rPr>
            </w:pPr>
            <w:r>
              <w:rPr>
                <w:rFonts w:hint="eastAsia"/>
                <w:b/>
                <w:color w:val="auto"/>
                <w:szCs w:val="21"/>
              </w:rPr>
              <w:t>货物名称</w:t>
            </w:r>
          </w:p>
        </w:tc>
        <w:tc>
          <w:tcPr>
            <w:tcW w:w="2127" w:type="dxa"/>
          </w:tcPr>
          <w:p>
            <w:pPr>
              <w:jc w:val="center"/>
              <w:rPr>
                <w:b/>
                <w:color w:val="auto"/>
                <w:szCs w:val="21"/>
              </w:rPr>
            </w:pPr>
            <w:r>
              <w:rPr>
                <w:rFonts w:hint="eastAsia"/>
                <w:b/>
                <w:color w:val="auto"/>
                <w:szCs w:val="21"/>
              </w:rPr>
              <w:t>检测机构要求</w:t>
            </w:r>
          </w:p>
        </w:tc>
        <w:tc>
          <w:tcPr>
            <w:tcW w:w="4019" w:type="dxa"/>
          </w:tcPr>
          <w:p>
            <w:pPr>
              <w:jc w:val="center"/>
              <w:rPr>
                <w:b/>
                <w:color w:val="auto"/>
                <w:szCs w:val="21"/>
              </w:rPr>
            </w:pPr>
            <w:r>
              <w:rPr>
                <w:rFonts w:hint="eastAsia"/>
                <w:b/>
                <w:color w:val="auto"/>
                <w:szCs w:val="21"/>
              </w:rPr>
              <w:t>检测指标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auto"/>
                <w:szCs w:val="21"/>
              </w:rPr>
            </w:pPr>
            <w:r>
              <w:rPr>
                <w:rFonts w:hint="eastAsia"/>
                <w:color w:val="auto"/>
                <w:szCs w:val="21"/>
              </w:rPr>
              <w:t>1</w:t>
            </w:r>
          </w:p>
        </w:tc>
        <w:tc>
          <w:tcPr>
            <w:tcW w:w="1559" w:type="dxa"/>
          </w:tcPr>
          <w:p>
            <w:pPr>
              <w:rPr>
                <w:color w:val="auto"/>
                <w:szCs w:val="21"/>
              </w:rPr>
            </w:pPr>
          </w:p>
        </w:tc>
        <w:tc>
          <w:tcPr>
            <w:tcW w:w="2127" w:type="dxa"/>
          </w:tcPr>
          <w:p>
            <w:pPr>
              <w:rPr>
                <w:color w:val="auto"/>
                <w:szCs w:val="21"/>
              </w:rPr>
            </w:pPr>
          </w:p>
        </w:tc>
        <w:tc>
          <w:tcPr>
            <w:tcW w:w="4019" w:type="dxa"/>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auto"/>
                <w:szCs w:val="21"/>
              </w:rPr>
            </w:pPr>
            <w:r>
              <w:rPr>
                <w:rFonts w:hint="eastAsia"/>
                <w:color w:val="auto"/>
                <w:szCs w:val="21"/>
              </w:rPr>
              <w:t>2</w:t>
            </w:r>
          </w:p>
        </w:tc>
        <w:tc>
          <w:tcPr>
            <w:tcW w:w="1559" w:type="dxa"/>
          </w:tcPr>
          <w:p>
            <w:pPr>
              <w:rPr>
                <w:color w:val="auto"/>
                <w:szCs w:val="21"/>
              </w:rPr>
            </w:pPr>
          </w:p>
        </w:tc>
        <w:tc>
          <w:tcPr>
            <w:tcW w:w="2127" w:type="dxa"/>
          </w:tcPr>
          <w:p>
            <w:pPr>
              <w:rPr>
                <w:color w:val="auto"/>
                <w:szCs w:val="21"/>
              </w:rPr>
            </w:pPr>
          </w:p>
        </w:tc>
        <w:tc>
          <w:tcPr>
            <w:tcW w:w="4019" w:type="dxa"/>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auto"/>
                <w:szCs w:val="21"/>
              </w:rPr>
            </w:pPr>
          </w:p>
        </w:tc>
        <w:tc>
          <w:tcPr>
            <w:tcW w:w="1559" w:type="dxa"/>
          </w:tcPr>
          <w:p>
            <w:pPr>
              <w:rPr>
                <w:color w:val="auto"/>
                <w:szCs w:val="21"/>
              </w:rPr>
            </w:pPr>
          </w:p>
        </w:tc>
        <w:tc>
          <w:tcPr>
            <w:tcW w:w="2127" w:type="dxa"/>
          </w:tcPr>
          <w:p>
            <w:pPr>
              <w:rPr>
                <w:color w:val="auto"/>
                <w:szCs w:val="21"/>
              </w:rPr>
            </w:pPr>
          </w:p>
        </w:tc>
        <w:tc>
          <w:tcPr>
            <w:tcW w:w="4019" w:type="dxa"/>
          </w:tcPr>
          <w:p>
            <w:pPr>
              <w:rPr>
                <w:color w:val="auto"/>
                <w:szCs w:val="21"/>
              </w:rPr>
            </w:pPr>
          </w:p>
        </w:tc>
      </w:tr>
    </w:tbl>
    <w:p>
      <w:pPr>
        <w:widowControl/>
        <w:numPr>
          <w:ilvl w:val="0"/>
          <w:numId w:val="0"/>
        </w:numPr>
        <w:ind w:leftChars="0"/>
        <w:jc w:val="left"/>
        <w:rPr>
          <w:rFonts w:hint="eastAsia"/>
          <w:color w:val="auto"/>
        </w:rPr>
      </w:pPr>
      <w:r>
        <w:rPr>
          <w:rFonts w:hint="eastAsia" w:cs="宋体"/>
          <w:color w:val="auto"/>
          <w:szCs w:val="21"/>
          <w:lang w:val="en-US" w:eastAsia="zh-CN"/>
        </w:rPr>
        <w:t>1、</w:t>
      </w:r>
      <w:r>
        <w:rPr>
          <w:rFonts w:hint="eastAsia" w:cs="宋体"/>
          <w:color w:val="auto"/>
          <w:szCs w:val="21"/>
        </w:rPr>
        <w:t>投标文件应按要求提供相应检测报告。</w:t>
      </w:r>
    </w:p>
    <w:p>
      <w:pPr>
        <w:widowControl/>
        <w:jc w:val="left"/>
        <w:rPr>
          <w:rFonts w:hint="eastAsia" w:cs="宋体"/>
          <w:color w:val="auto"/>
          <w:szCs w:val="21"/>
        </w:rPr>
      </w:pPr>
      <w:r>
        <w:rPr>
          <w:rFonts w:hint="eastAsia" w:cs="宋体"/>
          <w:color w:val="auto"/>
          <w:szCs w:val="21"/>
          <w:lang w:val="en-US" w:eastAsia="zh-CN"/>
        </w:rPr>
        <w:t>2</w:t>
      </w:r>
      <w:r>
        <w:rPr>
          <w:rFonts w:hint="eastAsia" w:cs="宋体"/>
          <w:color w:val="auto"/>
          <w:szCs w:val="21"/>
        </w:rPr>
        <w:t>、检测报告（均为原件扫描件）的提供要求：</w:t>
      </w:r>
    </w:p>
    <w:p>
      <w:pPr>
        <w:widowControl/>
        <w:jc w:val="left"/>
        <w:rPr>
          <w:rFonts w:hint="eastAsia" w:cs="宋体"/>
          <w:color w:val="auto"/>
          <w:szCs w:val="21"/>
        </w:rPr>
      </w:pPr>
      <w:r>
        <w:rPr>
          <w:rFonts w:hint="eastAsia" w:cs="宋体"/>
          <w:color w:val="auto"/>
          <w:szCs w:val="21"/>
        </w:rPr>
        <w:t>（1）检测报告内容中若涉及外文说明，必须同时提供对应中文翻译说明，评标依据以中文翻译内容为准，外文说明仅供参考；检测报告尺寸和清晰度应该能够在电脑上被阅读、识别和判断；</w:t>
      </w:r>
    </w:p>
    <w:p>
      <w:pPr>
        <w:widowControl/>
        <w:jc w:val="left"/>
        <w:rPr>
          <w:rFonts w:hint="eastAsia" w:cs="宋体"/>
          <w:color w:val="auto"/>
          <w:szCs w:val="21"/>
        </w:rPr>
      </w:pPr>
      <w:r>
        <w:rPr>
          <w:rFonts w:hint="eastAsia" w:cs="宋体"/>
          <w:color w:val="auto"/>
          <w:szCs w:val="21"/>
        </w:rPr>
        <w:t>（2）我国政府机构出具的产品检测报告应为报告正面、背面和附件标注的全部具体内容；产品检验报告的尺寸和清晰度应该能够在电脑上被阅读、识别和判断。</w:t>
      </w:r>
    </w:p>
    <w:p>
      <w:pPr>
        <w:widowControl/>
        <w:jc w:val="left"/>
        <w:rPr>
          <w:rFonts w:hint="eastAsia" w:cs="宋体"/>
          <w:b/>
          <w:bCs/>
          <w:color w:val="auto"/>
          <w:szCs w:val="21"/>
        </w:rPr>
      </w:pPr>
      <w:r>
        <w:rPr>
          <w:rFonts w:hint="eastAsia" w:cs="宋体"/>
          <w:b/>
          <w:bCs/>
          <w:color w:val="auto"/>
          <w:szCs w:val="21"/>
          <w:lang w:val="en-US" w:eastAsia="zh-CN"/>
        </w:rPr>
        <w:t>3、</w:t>
      </w:r>
      <w:r>
        <w:rPr>
          <w:rFonts w:hint="eastAsia" w:cs="宋体"/>
          <w:b/>
          <w:bCs/>
          <w:color w:val="auto"/>
          <w:szCs w:val="21"/>
        </w:rPr>
        <w:t>家具（含课桌椅）类货物应提供有害物质检测报告</w:t>
      </w:r>
    </w:p>
    <w:p>
      <w:pPr>
        <w:widowControl/>
        <w:jc w:val="left"/>
        <w:rPr>
          <w:rFonts w:hint="eastAsia" w:cs="宋体"/>
          <w:b/>
          <w:bCs/>
          <w:color w:val="auto"/>
          <w:szCs w:val="21"/>
        </w:rPr>
      </w:pPr>
      <w:r>
        <w:rPr>
          <w:rFonts w:hint="eastAsia" w:cs="宋体"/>
          <w:b/>
          <w:bCs/>
          <w:color w:val="auto"/>
          <w:szCs w:val="21"/>
        </w:rPr>
        <w:t>根据深圳经济特区技术规范《家具成品及原辅材料中有害物质限量》（SZJG52-2016）的规定，需根据现场抽样并对以下项目进行检验且合格：</w:t>
      </w:r>
    </w:p>
    <w:tbl>
      <w:tblPr>
        <w:tblStyle w:val="43"/>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004"/>
        <w:gridCol w:w="1559"/>
        <w:gridCol w:w="1134"/>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blHeader/>
          <w:jc w:val="center"/>
        </w:trPr>
        <w:tc>
          <w:tcPr>
            <w:tcW w:w="1080" w:type="dxa"/>
            <w:noWrap w:val="0"/>
            <w:vAlign w:val="center"/>
          </w:tcPr>
          <w:p>
            <w:pPr>
              <w:widowControl/>
              <w:jc w:val="left"/>
              <w:rPr>
                <w:rFonts w:hint="eastAsia" w:cs="宋体"/>
                <w:b/>
                <w:bCs/>
                <w:color w:val="auto"/>
                <w:szCs w:val="21"/>
              </w:rPr>
            </w:pPr>
            <w:r>
              <w:rPr>
                <w:rFonts w:hint="eastAsia" w:cs="宋体"/>
                <w:b/>
                <w:bCs/>
                <w:color w:val="auto"/>
                <w:szCs w:val="21"/>
              </w:rPr>
              <w:t>序号</w:t>
            </w:r>
          </w:p>
        </w:tc>
        <w:tc>
          <w:tcPr>
            <w:tcW w:w="2004" w:type="dxa"/>
            <w:noWrap w:val="0"/>
            <w:vAlign w:val="center"/>
          </w:tcPr>
          <w:p>
            <w:pPr>
              <w:widowControl/>
              <w:jc w:val="left"/>
              <w:rPr>
                <w:rFonts w:hint="eastAsia" w:cs="宋体"/>
                <w:b/>
                <w:bCs/>
                <w:color w:val="auto"/>
                <w:szCs w:val="21"/>
              </w:rPr>
            </w:pPr>
            <w:r>
              <w:rPr>
                <w:rFonts w:hint="eastAsia" w:cs="宋体"/>
                <w:b/>
                <w:bCs/>
                <w:color w:val="auto"/>
                <w:szCs w:val="21"/>
              </w:rPr>
              <w:t>检验项目</w:t>
            </w:r>
          </w:p>
        </w:tc>
        <w:tc>
          <w:tcPr>
            <w:tcW w:w="1559" w:type="dxa"/>
            <w:noWrap w:val="0"/>
            <w:vAlign w:val="center"/>
          </w:tcPr>
          <w:p>
            <w:pPr>
              <w:widowControl/>
              <w:jc w:val="left"/>
              <w:rPr>
                <w:rFonts w:hint="eastAsia" w:cs="宋体"/>
                <w:b/>
                <w:bCs/>
                <w:color w:val="auto"/>
                <w:szCs w:val="21"/>
              </w:rPr>
            </w:pPr>
            <w:r>
              <w:rPr>
                <w:rFonts w:hint="eastAsia" w:cs="宋体"/>
                <w:b/>
                <w:bCs/>
                <w:color w:val="auto"/>
                <w:szCs w:val="21"/>
              </w:rPr>
              <w:t>依据法律法规或标准条款</w:t>
            </w:r>
          </w:p>
        </w:tc>
        <w:tc>
          <w:tcPr>
            <w:tcW w:w="1134" w:type="dxa"/>
            <w:noWrap w:val="0"/>
            <w:vAlign w:val="center"/>
          </w:tcPr>
          <w:p>
            <w:pPr>
              <w:widowControl/>
              <w:jc w:val="left"/>
              <w:rPr>
                <w:rFonts w:hint="eastAsia" w:cs="宋体"/>
                <w:b/>
                <w:bCs/>
                <w:color w:val="auto"/>
                <w:szCs w:val="21"/>
              </w:rPr>
            </w:pPr>
            <w:r>
              <w:rPr>
                <w:rFonts w:hint="eastAsia" w:cs="宋体"/>
                <w:b/>
                <w:bCs/>
                <w:color w:val="auto"/>
                <w:szCs w:val="21"/>
              </w:rPr>
              <w:t>强制性/推荐性</w:t>
            </w:r>
          </w:p>
        </w:tc>
        <w:tc>
          <w:tcPr>
            <w:tcW w:w="2849" w:type="dxa"/>
            <w:noWrap w:val="0"/>
            <w:vAlign w:val="center"/>
          </w:tcPr>
          <w:p>
            <w:pPr>
              <w:widowControl/>
              <w:jc w:val="left"/>
              <w:rPr>
                <w:rFonts w:hint="eastAsia" w:cs="宋体"/>
                <w:b/>
                <w:bCs/>
                <w:color w:val="auto"/>
                <w:szCs w:val="21"/>
              </w:rPr>
            </w:pPr>
            <w:r>
              <w:rPr>
                <w:rFonts w:hint="eastAsia" w:cs="宋体"/>
                <w:b/>
                <w:bCs/>
                <w:color w:val="auto"/>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noWrap w:val="0"/>
            <w:vAlign w:val="top"/>
          </w:tcPr>
          <w:p>
            <w:pPr>
              <w:widowControl/>
              <w:jc w:val="left"/>
              <w:rPr>
                <w:rFonts w:hint="eastAsia" w:cs="宋体"/>
                <w:b/>
                <w:bCs/>
                <w:color w:val="auto"/>
                <w:szCs w:val="21"/>
              </w:rPr>
            </w:pPr>
            <w:r>
              <w:rPr>
                <w:rFonts w:hint="eastAsia" w:cs="宋体"/>
                <w:b/>
                <w:bCs/>
                <w:color w:val="auto"/>
                <w:szCs w:val="21"/>
              </w:rPr>
              <w:t>1</w:t>
            </w:r>
          </w:p>
        </w:tc>
        <w:tc>
          <w:tcPr>
            <w:tcW w:w="2004" w:type="dxa"/>
            <w:noWrap w:val="0"/>
            <w:vAlign w:val="center"/>
          </w:tcPr>
          <w:p>
            <w:pPr>
              <w:widowControl/>
              <w:jc w:val="left"/>
              <w:rPr>
                <w:rFonts w:hint="eastAsia" w:cs="宋体"/>
                <w:b/>
                <w:bCs/>
                <w:color w:val="auto"/>
                <w:szCs w:val="21"/>
              </w:rPr>
            </w:pPr>
            <w:r>
              <w:rPr>
                <w:rFonts w:hint="eastAsia" w:cs="宋体"/>
                <w:b/>
                <w:bCs/>
                <w:color w:val="auto"/>
                <w:szCs w:val="21"/>
              </w:rPr>
              <w:t>甲醛释放量</w:t>
            </w:r>
          </w:p>
        </w:tc>
        <w:tc>
          <w:tcPr>
            <w:tcW w:w="1559" w:type="dxa"/>
            <w:noWrap w:val="0"/>
            <w:vAlign w:val="center"/>
          </w:tcPr>
          <w:p>
            <w:pPr>
              <w:widowControl/>
              <w:jc w:val="left"/>
              <w:rPr>
                <w:rFonts w:hint="eastAsia" w:cs="宋体"/>
                <w:b/>
                <w:bCs/>
                <w:color w:val="auto"/>
                <w:szCs w:val="21"/>
              </w:rPr>
            </w:pPr>
            <w:r>
              <w:rPr>
                <w:rFonts w:hint="eastAsia" w:cs="宋体"/>
                <w:b/>
                <w:bCs/>
                <w:color w:val="auto"/>
                <w:szCs w:val="21"/>
              </w:rPr>
              <w:t>SZJG52-2016</w:t>
            </w:r>
          </w:p>
        </w:tc>
        <w:tc>
          <w:tcPr>
            <w:tcW w:w="1134" w:type="dxa"/>
            <w:noWrap w:val="0"/>
            <w:vAlign w:val="center"/>
          </w:tcPr>
          <w:p>
            <w:pPr>
              <w:widowControl/>
              <w:jc w:val="left"/>
              <w:rPr>
                <w:rFonts w:hint="eastAsia" w:cs="宋体"/>
                <w:b/>
                <w:bCs/>
                <w:color w:val="auto"/>
                <w:szCs w:val="21"/>
              </w:rPr>
            </w:pPr>
            <w:r>
              <w:rPr>
                <w:rFonts w:hint="eastAsia" w:cs="宋体"/>
                <w:b/>
                <w:bCs/>
                <w:color w:val="auto"/>
                <w:szCs w:val="21"/>
              </w:rPr>
              <w:t>强制性</w:t>
            </w:r>
          </w:p>
        </w:tc>
        <w:tc>
          <w:tcPr>
            <w:tcW w:w="2849" w:type="dxa"/>
            <w:noWrap w:val="0"/>
            <w:vAlign w:val="center"/>
          </w:tcPr>
          <w:p>
            <w:pPr>
              <w:widowControl/>
              <w:jc w:val="left"/>
              <w:rPr>
                <w:rFonts w:hint="eastAsia" w:cs="宋体"/>
                <w:b/>
                <w:bCs/>
                <w:color w:val="auto"/>
                <w:szCs w:val="21"/>
              </w:rPr>
            </w:pPr>
            <w:r>
              <w:rPr>
                <w:rFonts w:hint="eastAsia" w:cs="宋体"/>
                <w:b/>
                <w:bCs/>
                <w:color w:val="auto"/>
                <w:szCs w:val="21"/>
              </w:rPr>
              <w:t>SZJG52-2016 GB/T31106-2014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noWrap w:val="0"/>
            <w:vAlign w:val="top"/>
          </w:tcPr>
          <w:p>
            <w:pPr>
              <w:widowControl/>
              <w:jc w:val="left"/>
              <w:rPr>
                <w:rFonts w:hint="eastAsia" w:cs="宋体"/>
                <w:b/>
                <w:bCs/>
                <w:color w:val="auto"/>
                <w:szCs w:val="21"/>
              </w:rPr>
            </w:pPr>
            <w:r>
              <w:rPr>
                <w:rFonts w:hint="eastAsia" w:cs="宋体"/>
                <w:b/>
                <w:bCs/>
                <w:color w:val="auto"/>
                <w:szCs w:val="21"/>
              </w:rPr>
              <w:t>2</w:t>
            </w:r>
          </w:p>
        </w:tc>
        <w:tc>
          <w:tcPr>
            <w:tcW w:w="2004" w:type="dxa"/>
            <w:noWrap w:val="0"/>
            <w:vAlign w:val="center"/>
          </w:tcPr>
          <w:p>
            <w:pPr>
              <w:widowControl/>
              <w:jc w:val="left"/>
              <w:rPr>
                <w:rFonts w:hint="eastAsia" w:cs="宋体"/>
                <w:b/>
                <w:bCs/>
                <w:color w:val="auto"/>
                <w:szCs w:val="21"/>
              </w:rPr>
            </w:pPr>
            <w:r>
              <w:rPr>
                <w:rFonts w:hint="eastAsia" w:cs="宋体"/>
                <w:b/>
                <w:bCs/>
                <w:color w:val="auto"/>
                <w:szCs w:val="21"/>
              </w:rPr>
              <w:t>苯释放量</w:t>
            </w:r>
          </w:p>
        </w:tc>
        <w:tc>
          <w:tcPr>
            <w:tcW w:w="1559" w:type="dxa"/>
            <w:noWrap w:val="0"/>
            <w:vAlign w:val="center"/>
          </w:tcPr>
          <w:p>
            <w:pPr>
              <w:widowControl/>
              <w:jc w:val="left"/>
              <w:rPr>
                <w:rFonts w:hint="eastAsia" w:cs="宋体"/>
                <w:b/>
                <w:bCs/>
                <w:color w:val="auto"/>
                <w:szCs w:val="21"/>
              </w:rPr>
            </w:pPr>
            <w:r>
              <w:rPr>
                <w:rFonts w:hint="eastAsia" w:cs="宋体"/>
                <w:b/>
                <w:bCs/>
                <w:color w:val="auto"/>
                <w:szCs w:val="21"/>
              </w:rPr>
              <w:t>SZJG52-2016</w:t>
            </w:r>
          </w:p>
        </w:tc>
        <w:tc>
          <w:tcPr>
            <w:tcW w:w="1134" w:type="dxa"/>
            <w:noWrap w:val="0"/>
            <w:vAlign w:val="center"/>
          </w:tcPr>
          <w:p>
            <w:pPr>
              <w:widowControl/>
              <w:jc w:val="left"/>
              <w:rPr>
                <w:rFonts w:hint="eastAsia" w:cs="宋体"/>
                <w:b/>
                <w:bCs/>
                <w:color w:val="auto"/>
                <w:szCs w:val="21"/>
              </w:rPr>
            </w:pPr>
            <w:r>
              <w:rPr>
                <w:rFonts w:hint="eastAsia" w:cs="宋体"/>
                <w:b/>
                <w:bCs/>
                <w:color w:val="auto"/>
                <w:szCs w:val="21"/>
              </w:rPr>
              <w:t>强制性</w:t>
            </w:r>
          </w:p>
        </w:tc>
        <w:tc>
          <w:tcPr>
            <w:tcW w:w="2849" w:type="dxa"/>
            <w:noWrap w:val="0"/>
            <w:vAlign w:val="center"/>
          </w:tcPr>
          <w:p>
            <w:pPr>
              <w:widowControl/>
              <w:jc w:val="left"/>
              <w:rPr>
                <w:rFonts w:hint="eastAsia" w:cs="宋体"/>
                <w:b/>
                <w:bCs/>
                <w:color w:val="auto"/>
                <w:szCs w:val="21"/>
              </w:rPr>
            </w:pPr>
            <w:r>
              <w:rPr>
                <w:rFonts w:hint="eastAsia" w:cs="宋体"/>
                <w:b/>
                <w:bCs/>
                <w:color w:val="auto"/>
                <w:szCs w:val="21"/>
              </w:rPr>
              <w:t>SZJG52-2016 GB/T31106-2014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noWrap w:val="0"/>
            <w:vAlign w:val="top"/>
          </w:tcPr>
          <w:p>
            <w:pPr>
              <w:widowControl/>
              <w:jc w:val="left"/>
              <w:rPr>
                <w:rFonts w:hint="eastAsia" w:cs="宋体"/>
                <w:b/>
                <w:bCs/>
                <w:color w:val="auto"/>
                <w:szCs w:val="21"/>
              </w:rPr>
            </w:pPr>
            <w:r>
              <w:rPr>
                <w:rFonts w:hint="eastAsia" w:cs="宋体"/>
                <w:b/>
                <w:bCs/>
                <w:color w:val="auto"/>
                <w:szCs w:val="21"/>
              </w:rPr>
              <w:t>3</w:t>
            </w:r>
          </w:p>
        </w:tc>
        <w:tc>
          <w:tcPr>
            <w:tcW w:w="2004" w:type="dxa"/>
            <w:noWrap w:val="0"/>
            <w:vAlign w:val="center"/>
          </w:tcPr>
          <w:p>
            <w:pPr>
              <w:widowControl/>
              <w:jc w:val="left"/>
              <w:rPr>
                <w:rFonts w:hint="eastAsia" w:cs="宋体"/>
                <w:b/>
                <w:bCs/>
                <w:color w:val="auto"/>
                <w:szCs w:val="21"/>
              </w:rPr>
            </w:pPr>
            <w:r>
              <w:rPr>
                <w:rFonts w:hint="eastAsia" w:cs="宋体"/>
                <w:b/>
                <w:bCs/>
                <w:color w:val="auto"/>
                <w:szCs w:val="21"/>
              </w:rPr>
              <w:t>甲苯释放量</w:t>
            </w:r>
          </w:p>
        </w:tc>
        <w:tc>
          <w:tcPr>
            <w:tcW w:w="1559" w:type="dxa"/>
            <w:noWrap w:val="0"/>
            <w:vAlign w:val="center"/>
          </w:tcPr>
          <w:p>
            <w:pPr>
              <w:widowControl/>
              <w:jc w:val="left"/>
              <w:rPr>
                <w:rFonts w:hint="eastAsia" w:cs="宋体"/>
                <w:b/>
                <w:bCs/>
                <w:color w:val="auto"/>
                <w:szCs w:val="21"/>
              </w:rPr>
            </w:pPr>
            <w:r>
              <w:rPr>
                <w:rFonts w:hint="eastAsia" w:cs="宋体"/>
                <w:b/>
                <w:bCs/>
                <w:color w:val="auto"/>
                <w:szCs w:val="21"/>
              </w:rPr>
              <w:t>SZJG52-2016</w:t>
            </w:r>
          </w:p>
        </w:tc>
        <w:tc>
          <w:tcPr>
            <w:tcW w:w="1134" w:type="dxa"/>
            <w:noWrap w:val="0"/>
            <w:vAlign w:val="center"/>
          </w:tcPr>
          <w:p>
            <w:pPr>
              <w:widowControl/>
              <w:jc w:val="left"/>
              <w:rPr>
                <w:rFonts w:hint="eastAsia" w:cs="宋体"/>
                <w:b/>
                <w:bCs/>
                <w:color w:val="auto"/>
                <w:szCs w:val="21"/>
              </w:rPr>
            </w:pPr>
            <w:r>
              <w:rPr>
                <w:rFonts w:hint="eastAsia" w:cs="宋体"/>
                <w:b/>
                <w:bCs/>
                <w:color w:val="auto"/>
                <w:szCs w:val="21"/>
              </w:rPr>
              <w:t>强制性</w:t>
            </w:r>
          </w:p>
        </w:tc>
        <w:tc>
          <w:tcPr>
            <w:tcW w:w="2849" w:type="dxa"/>
            <w:noWrap w:val="0"/>
            <w:vAlign w:val="center"/>
          </w:tcPr>
          <w:p>
            <w:pPr>
              <w:widowControl/>
              <w:jc w:val="left"/>
              <w:rPr>
                <w:rFonts w:hint="eastAsia" w:cs="宋体"/>
                <w:b/>
                <w:bCs/>
                <w:color w:val="auto"/>
                <w:szCs w:val="21"/>
              </w:rPr>
            </w:pPr>
            <w:r>
              <w:rPr>
                <w:rFonts w:hint="eastAsia" w:cs="宋体"/>
                <w:b/>
                <w:bCs/>
                <w:color w:val="auto"/>
                <w:szCs w:val="21"/>
              </w:rPr>
              <w:t>SZJG52-2016 GB/T31106-2014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noWrap w:val="0"/>
            <w:vAlign w:val="top"/>
          </w:tcPr>
          <w:p>
            <w:pPr>
              <w:widowControl/>
              <w:jc w:val="left"/>
              <w:rPr>
                <w:rFonts w:hint="eastAsia" w:cs="宋体"/>
                <w:b/>
                <w:bCs/>
                <w:color w:val="auto"/>
                <w:szCs w:val="21"/>
              </w:rPr>
            </w:pPr>
            <w:r>
              <w:rPr>
                <w:rFonts w:hint="eastAsia" w:cs="宋体"/>
                <w:b/>
                <w:bCs/>
                <w:color w:val="auto"/>
                <w:szCs w:val="21"/>
              </w:rPr>
              <w:t>4</w:t>
            </w:r>
          </w:p>
        </w:tc>
        <w:tc>
          <w:tcPr>
            <w:tcW w:w="2004" w:type="dxa"/>
            <w:noWrap w:val="0"/>
            <w:vAlign w:val="center"/>
          </w:tcPr>
          <w:p>
            <w:pPr>
              <w:widowControl/>
              <w:jc w:val="left"/>
              <w:rPr>
                <w:rFonts w:hint="eastAsia" w:cs="宋体"/>
                <w:b/>
                <w:bCs/>
                <w:color w:val="auto"/>
                <w:szCs w:val="21"/>
              </w:rPr>
            </w:pPr>
            <w:r>
              <w:rPr>
                <w:rFonts w:hint="eastAsia" w:cs="宋体"/>
                <w:b/>
                <w:bCs/>
                <w:color w:val="auto"/>
                <w:szCs w:val="21"/>
              </w:rPr>
              <w:t>二甲苯释放量</w:t>
            </w:r>
          </w:p>
        </w:tc>
        <w:tc>
          <w:tcPr>
            <w:tcW w:w="1559" w:type="dxa"/>
            <w:noWrap w:val="0"/>
            <w:vAlign w:val="center"/>
          </w:tcPr>
          <w:p>
            <w:pPr>
              <w:widowControl/>
              <w:jc w:val="left"/>
              <w:rPr>
                <w:rFonts w:hint="eastAsia" w:cs="宋体"/>
                <w:b/>
                <w:bCs/>
                <w:color w:val="auto"/>
                <w:szCs w:val="21"/>
              </w:rPr>
            </w:pPr>
            <w:r>
              <w:rPr>
                <w:rFonts w:hint="eastAsia" w:cs="宋体"/>
                <w:b/>
                <w:bCs/>
                <w:color w:val="auto"/>
                <w:szCs w:val="21"/>
              </w:rPr>
              <w:t>SZJG52-2016</w:t>
            </w:r>
          </w:p>
        </w:tc>
        <w:tc>
          <w:tcPr>
            <w:tcW w:w="1134" w:type="dxa"/>
            <w:noWrap w:val="0"/>
            <w:vAlign w:val="center"/>
          </w:tcPr>
          <w:p>
            <w:pPr>
              <w:widowControl/>
              <w:jc w:val="left"/>
              <w:rPr>
                <w:rFonts w:hint="eastAsia" w:cs="宋体"/>
                <w:b/>
                <w:bCs/>
                <w:color w:val="auto"/>
                <w:szCs w:val="21"/>
              </w:rPr>
            </w:pPr>
            <w:r>
              <w:rPr>
                <w:rFonts w:hint="eastAsia" w:cs="宋体"/>
                <w:b/>
                <w:bCs/>
                <w:color w:val="auto"/>
                <w:szCs w:val="21"/>
              </w:rPr>
              <w:t>强制性</w:t>
            </w:r>
          </w:p>
        </w:tc>
        <w:tc>
          <w:tcPr>
            <w:tcW w:w="2849" w:type="dxa"/>
            <w:noWrap w:val="0"/>
            <w:vAlign w:val="center"/>
          </w:tcPr>
          <w:p>
            <w:pPr>
              <w:widowControl/>
              <w:jc w:val="left"/>
              <w:rPr>
                <w:rFonts w:hint="eastAsia" w:cs="宋体"/>
                <w:b/>
                <w:bCs/>
                <w:color w:val="auto"/>
                <w:szCs w:val="21"/>
              </w:rPr>
            </w:pPr>
            <w:r>
              <w:rPr>
                <w:rFonts w:hint="eastAsia" w:cs="宋体"/>
                <w:b/>
                <w:bCs/>
                <w:color w:val="auto"/>
                <w:szCs w:val="21"/>
              </w:rPr>
              <w:t>SZJG52-2016 GB/T31106-2014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noWrap w:val="0"/>
            <w:vAlign w:val="top"/>
          </w:tcPr>
          <w:p>
            <w:pPr>
              <w:widowControl/>
              <w:jc w:val="left"/>
              <w:rPr>
                <w:rFonts w:hint="eastAsia" w:cs="宋体"/>
                <w:b/>
                <w:bCs/>
                <w:color w:val="auto"/>
                <w:szCs w:val="21"/>
              </w:rPr>
            </w:pPr>
            <w:r>
              <w:rPr>
                <w:rFonts w:hint="eastAsia" w:cs="宋体"/>
                <w:b/>
                <w:bCs/>
                <w:color w:val="auto"/>
                <w:szCs w:val="21"/>
              </w:rPr>
              <w:t>5</w:t>
            </w:r>
          </w:p>
        </w:tc>
        <w:tc>
          <w:tcPr>
            <w:tcW w:w="2004" w:type="dxa"/>
            <w:noWrap w:val="0"/>
            <w:vAlign w:val="center"/>
          </w:tcPr>
          <w:p>
            <w:pPr>
              <w:widowControl/>
              <w:jc w:val="left"/>
              <w:rPr>
                <w:rFonts w:hint="eastAsia" w:cs="宋体"/>
                <w:b/>
                <w:bCs/>
                <w:color w:val="auto"/>
                <w:szCs w:val="21"/>
              </w:rPr>
            </w:pPr>
            <w:r>
              <w:rPr>
                <w:rFonts w:hint="eastAsia" w:cs="宋体"/>
                <w:b/>
                <w:bCs/>
                <w:color w:val="auto"/>
                <w:szCs w:val="21"/>
              </w:rPr>
              <w:t>总挥发性有机化合物（TVOC）释放量</w:t>
            </w:r>
          </w:p>
        </w:tc>
        <w:tc>
          <w:tcPr>
            <w:tcW w:w="1559" w:type="dxa"/>
            <w:noWrap w:val="0"/>
            <w:vAlign w:val="center"/>
          </w:tcPr>
          <w:p>
            <w:pPr>
              <w:widowControl/>
              <w:jc w:val="left"/>
              <w:rPr>
                <w:rFonts w:hint="eastAsia" w:cs="宋体"/>
                <w:b/>
                <w:bCs/>
                <w:color w:val="auto"/>
                <w:szCs w:val="21"/>
              </w:rPr>
            </w:pPr>
            <w:r>
              <w:rPr>
                <w:rFonts w:hint="eastAsia" w:cs="宋体"/>
                <w:b/>
                <w:bCs/>
                <w:color w:val="auto"/>
                <w:szCs w:val="21"/>
              </w:rPr>
              <w:t>SZJG52-2016</w:t>
            </w:r>
          </w:p>
        </w:tc>
        <w:tc>
          <w:tcPr>
            <w:tcW w:w="1134" w:type="dxa"/>
            <w:noWrap w:val="0"/>
            <w:vAlign w:val="center"/>
          </w:tcPr>
          <w:p>
            <w:pPr>
              <w:widowControl/>
              <w:jc w:val="left"/>
              <w:rPr>
                <w:rFonts w:hint="eastAsia" w:cs="宋体"/>
                <w:b/>
                <w:bCs/>
                <w:color w:val="auto"/>
                <w:szCs w:val="21"/>
              </w:rPr>
            </w:pPr>
            <w:r>
              <w:rPr>
                <w:rFonts w:hint="eastAsia" w:cs="宋体"/>
                <w:b/>
                <w:bCs/>
                <w:color w:val="auto"/>
                <w:szCs w:val="21"/>
              </w:rPr>
              <w:t>强制性</w:t>
            </w:r>
          </w:p>
        </w:tc>
        <w:tc>
          <w:tcPr>
            <w:tcW w:w="2849" w:type="dxa"/>
            <w:noWrap w:val="0"/>
            <w:vAlign w:val="center"/>
          </w:tcPr>
          <w:p>
            <w:pPr>
              <w:widowControl/>
              <w:jc w:val="left"/>
              <w:rPr>
                <w:rFonts w:hint="eastAsia" w:cs="宋体"/>
                <w:b/>
                <w:bCs/>
                <w:color w:val="auto"/>
                <w:szCs w:val="21"/>
              </w:rPr>
            </w:pPr>
            <w:r>
              <w:rPr>
                <w:rFonts w:hint="eastAsia" w:cs="宋体"/>
                <w:b/>
                <w:bCs/>
                <w:color w:val="auto"/>
                <w:szCs w:val="21"/>
              </w:rPr>
              <w:t>SZJG52-2016 GB/T31106-2014</w:t>
            </w:r>
          </w:p>
        </w:tc>
      </w:tr>
    </w:tbl>
    <w:p>
      <w:pPr>
        <w:widowControl/>
        <w:jc w:val="left"/>
        <w:rPr>
          <w:rFonts w:hint="eastAsia" w:cs="宋体"/>
          <w:b/>
          <w:bCs/>
          <w:color w:val="auto"/>
          <w:szCs w:val="21"/>
        </w:rPr>
      </w:pPr>
      <w:r>
        <w:rPr>
          <w:rFonts w:hint="eastAsia" w:cs="宋体"/>
          <w:b/>
          <w:bCs/>
          <w:color w:val="auto"/>
          <w:szCs w:val="21"/>
        </w:rPr>
        <w:t>（2）含家具或装修的功能室应当另行提供室内环境污染检测报告</w:t>
      </w:r>
    </w:p>
    <w:p>
      <w:pPr>
        <w:widowControl/>
        <w:jc w:val="left"/>
        <w:rPr>
          <w:rFonts w:hint="eastAsia" w:cs="宋体"/>
          <w:b/>
          <w:bCs/>
          <w:color w:val="auto"/>
          <w:szCs w:val="21"/>
        </w:rPr>
      </w:pPr>
      <w:r>
        <w:rPr>
          <w:rFonts w:hint="eastAsia" w:cs="宋体"/>
          <w:b/>
          <w:bCs/>
          <w:color w:val="auto"/>
          <w:szCs w:val="21"/>
        </w:rPr>
        <w:t>按照国家《室内空气质量标准》（GB/T 18883-2002）中的标准进行检测并合格（至少包括以下五项，如有更新则以最新标准为准）：</w:t>
      </w:r>
    </w:p>
    <w:tbl>
      <w:tblPr>
        <w:tblStyle w:val="43"/>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119"/>
        <w:gridCol w:w="4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blHeader/>
          <w:jc w:val="center"/>
        </w:trPr>
        <w:tc>
          <w:tcPr>
            <w:tcW w:w="1258" w:type="dxa"/>
            <w:noWrap w:val="0"/>
            <w:vAlign w:val="center"/>
          </w:tcPr>
          <w:p>
            <w:pPr>
              <w:widowControl/>
              <w:jc w:val="left"/>
              <w:rPr>
                <w:rFonts w:hint="eastAsia" w:cs="宋体"/>
                <w:b/>
                <w:bCs/>
                <w:color w:val="auto"/>
                <w:szCs w:val="21"/>
              </w:rPr>
            </w:pPr>
            <w:r>
              <w:rPr>
                <w:rFonts w:hint="eastAsia" w:cs="宋体"/>
                <w:b/>
                <w:bCs/>
                <w:color w:val="auto"/>
                <w:szCs w:val="21"/>
              </w:rPr>
              <w:t>序号</w:t>
            </w:r>
          </w:p>
        </w:tc>
        <w:tc>
          <w:tcPr>
            <w:tcW w:w="3119" w:type="dxa"/>
            <w:noWrap w:val="0"/>
            <w:vAlign w:val="center"/>
          </w:tcPr>
          <w:p>
            <w:pPr>
              <w:widowControl/>
              <w:jc w:val="left"/>
              <w:rPr>
                <w:rFonts w:hint="eastAsia" w:cs="宋体"/>
                <w:b/>
                <w:bCs/>
                <w:color w:val="auto"/>
                <w:szCs w:val="21"/>
              </w:rPr>
            </w:pPr>
            <w:r>
              <w:rPr>
                <w:rFonts w:hint="eastAsia" w:cs="宋体"/>
                <w:b/>
                <w:bCs/>
                <w:color w:val="auto"/>
                <w:szCs w:val="21"/>
              </w:rPr>
              <w:t>检验项目</w:t>
            </w:r>
          </w:p>
        </w:tc>
        <w:tc>
          <w:tcPr>
            <w:tcW w:w="4370" w:type="dxa"/>
            <w:noWrap w:val="0"/>
            <w:vAlign w:val="center"/>
          </w:tcPr>
          <w:p>
            <w:pPr>
              <w:widowControl/>
              <w:jc w:val="left"/>
              <w:rPr>
                <w:rFonts w:hint="eastAsia" w:cs="宋体"/>
                <w:b/>
                <w:bCs/>
                <w:color w:val="auto"/>
                <w:szCs w:val="21"/>
              </w:rPr>
            </w:pPr>
            <w:r>
              <w:rPr>
                <w:rFonts w:hint="eastAsia" w:cs="宋体"/>
                <w:b/>
                <w:bCs/>
                <w:color w:val="auto"/>
                <w:szCs w:val="21"/>
              </w:rPr>
              <w:t>依据法律法规或标准条款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8" w:type="dxa"/>
            <w:noWrap w:val="0"/>
            <w:vAlign w:val="top"/>
          </w:tcPr>
          <w:p>
            <w:pPr>
              <w:widowControl/>
              <w:jc w:val="left"/>
              <w:rPr>
                <w:rFonts w:hint="eastAsia" w:cs="宋体"/>
                <w:b/>
                <w:bCs/>
                <w:color w:val="auto"/>
                <w:szCs w:val="21"/>
              </w:rPr>
            </w:pPr>
            <w:r>
              <w:rPr>
                <w:rFonts w:hint="eastAsia" w:cs="宋体"/>
                <w:b/>
                <w:bCs/>
                <w:color w:val="auto"/>
                <w:szCs w:val="21"/>
              </w:rPr>
              <w:t>1</w:t>
            </w:r>
          </w:p>
        </w:tc>
        <w:tc>
          <w:tcPr>
            <w:tcW w:w="3119" w:type="dxa"/>
            <w:noWrap w:val="0"/>
            <w:vAlign w:val="center"/>
          </w:tcPr>
          <w:p>
            <w:pPr>
              <w:widowControl/>
              <w:jc w:val="left"/>
              <w:rPr>
                <w:rFonts w:hint="eastAsia" w:cs="宋体"/>
                <w:b/>
                <w:bCs/>
                <w:color w:val="auto"/>
                <w:szCs w:val="21"/>
              </w:rPr>
            </w:pPr>
            <w:r>
              <w:rPr>
                <w:rFonts w:hint="eastAsia" w:cs="宋体"/>
                <w:b/>
                <w:bCs/>
                <w:color w:val="auto"/>
                <w:szCs w:val="21"/>
              </w:rPr>
              <w:t>甲醛</w:t>
            </w:r>
          </w:p>
        </w:tc>
        <w:tc>
          <w:tcPr>
            <w:tcW w:w="4370" w:type="dxa"/>
            <w:noWrap w:val="0"/>
            <w:vAlign w:val="center"/>
          </w:tcPr>
          <w:p>
            <w:pPr>
              <w:widowControl/>
              <w:jc w:val="left"/>
              <w:rPr>
                <w:rFonts w:hint="eastAsia" w:cs="宋体"/>
                <w:b/>
                <w:bCs/>
                <w:color w:val="auto"/>
                <w:szCs w:val="21"/>
              </w:rPr>
            </w:pPr>
            <w:r>
              <w:rPr>
                <w:rFonts w:hint="eastAsia" w:cs="宋体"/>
                <w:b/>
                <w:bCs/>
                <w:color w:val="auto"/>
                <w:szCs w:val="21"/>
              </w:rPr>
              <w:t>GB/T 18883-2002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8" w:type="dxa"/>
            <w:noWrap w:val="0"/>
            <w:vAlign w:val="top"/>
          </w:tcPr>
          <w:p>
            <w:pPr>
              <w:widowControl/>
              <w:jc w:val="left"/>
              <w:rPr>
                <w:rFonts w:hint="eastAsia" w:cs="宋体"/>
                <w:b/>
                <w:bCs/>
                <w:color w:val="auto"/>
                <w:szCs w:val="21"/>
              </w:rPr>
            </w:pPr>
            <w:r>
              <w:rPr>
                <w:rFonts w:hint="eastAsia" w:cs="宋体"/>
                <w:b/>
                <w:bCs/>
                <w:color w:val="auto"/>
                <w:szCs w:val="21"/>
              </w:rPr>
              <w:t>2</w:t>
            </w:r>
          </w:p>
        </w:tc>
        <w:tc>
          <w:tcPr>
            <w:tcW w:w="3119" w:type="dxa"/>
            <w:noWrap w:val="0"/>
            <w:vAlign w:val="center"/>
          </w:tcPr>
          <w:p>
            <w:pPr>
              <w:widowControl/>
              <w:jc w:val="left"/>
              <w:rPr>
                <w:rFonts w:hint="eastAsia" w:cs="宋体"/>
                <w:b/>
                <w:bCs/>
                <w:color w:val="auto"/>
                <w:szCs w:val="21"/>
              </w:rPr>
            </w:pPr>
            <w:r>
              <w:rPr>
                <w:rFonts w:hint="eastAsia" w:cs="宋体"/>
                <w:b/>
                <w:bCs/>
                <w:color w:val="auto"/>
                <w:szCs w:val="21"/>
              </w:rPr>
              <w:t>苯</w:t>
            </w:r>
          </w:p>
        </w:tc>
        <w:tc>
          <w:tcPr>
            <w:tcW w:w="4370" w:type="dxa"/>
            <w:noWrap w:val="0"/>
            <w:vAlign w:val="center"/>
          </w:tcPr>
          <w:p>
            <w:pPr>
              <w:widowControl/>
              <w:jc w:val="left"/>
              <w:rPr>
                <w:rFonts w:hint="eastAsia" w:cs="宋体"/>
                <w:b/>
                <w:bCs/>
                <w:color w:val="auto"/>
                <w:szCs w:val="21"/>
              </w:rPr>
            </w:pPr>
            <w:r>
              <w:rPr>
                <w:rFonts w:hint="eastAsia" w:cs="宋体"/>
                <w:b/>
                <w:bCs/>
                <w:color w:val="auto"/>
                <w:szCs w:val="21"/>
              </w:rPr>
              <w:t>GB/T 18883-2002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8" w:type="dxa"/>
            <w:noWrap w:val="0"/>
            <w:vAlign w:val="top"/>
          </w:tcPr>
          <w:p>
            <w:pPr>
              <w:widowControl/>
              <w:jc w:val="left"/>
              <w:rPr>
                <w:rFonts w:hint="eastAsia" w:cs="宋体"/>
                <w:b/>
                <w:bCs/>
                <w:color w:val="auto"/>
                <w:szCs w:val="21"/>
              </w:rPr>
            </w:pPr>
            <w:r>
              <w:rPr>
                <w:rFonts w:hint="eastAsia" w:cs="宋体"/>
                <w:b/>
                <w:bCs/>
                <w:color w:val="auto"/>
                <w:szCs w:val="21"/>
              </w:rPr>
              <w:t>3</w:t>
            </w:r>
          </w:p>
        </w:tc>
        <w:tc>
          <w:tcPr>
            <w:tcW w:w="3119" w:type="dxa"/>
            <w:noWrap w:val="0"/>
            <w:vAlign w:val="center"/>
          </w:tcPr>
          <w:p>
            <w:pPr>
              <w:widowControl/>
              <w:jc w:val="left"/>
              <w:rPr>
                <w:rFonts w:hint="eastAsia" w:cs="宋体"/>
                <w:b/>
                <w:bCs/>
                <w:color w:val="auto"/>
                <w:szCs w:val="21"/>
              </w:rPr>
            </w:pPr>
            <w:r>
              <w:rPr>
                <w:rFonts w:hint="eastAsia" w:cs="宋体"/>
                <w:b/>
                <w:bCs/>
                <w:color w:val="auto"/>
                <w:szCs w:val="21"/>
              </w:rPr>
              <w:t>甲苯</w:t>
            </w:r>
          </w:p>
        </w:tc>
        <w:tc>
          <w:tcPr>
            <w:tcW w:w="4370" w:type="dxa"/>
            <w:noWrap w:val="0"/>
            <w:vAlign w:val="center"/>
          </w:tcPr>
          <w:p>
            <w:pPr>
              <w:widowControl/>
              <w:jc w:val="left"/>
              <w:rPr>
                <w:rFonts w:hint="eastAsia" w:cs="宋体"/>
                <w:b/>
                <w:bCs/>
                <w:color w:val="auto"/>
                <w:szCs w:val="21"/>
              </w:rPr>
            </w:pPr>
            <w:r>
              <w:rPr>
                <w:rFonts w:hint="eastAsia" w:cs="宋体"/>
                <w:b/>
                <w:bCs/>
                <w:color w:val="auto"/>
                <w:szCs w:val="21"/>
              </w:rPr>
              <w:t>GB/T 18883-2002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8" w:type="dxa"/>
            <w:noWrap w:val="0"/>
            <w:vAlign w:val="top"/>
          </w:tcPr>
          <w:p>
            <w:pPr>
              <w:widowControl/>
              <w:jc w:val="left"/>
              <w:rPr>
                <w:rFonts w:hint="eastAsia" w:cs="宋体"/>
                <w:b/>
                <w:bCs/>
                <w:color w:val="auto"/>
                <w:szCs w:val="21"/>
              </w:rPr>
            </w:pPr>
            <w:r>
              <w:rPr>
                <w:rFonts w:hint="eastAsia" w:cs="宋体"/>
                <w:b/>
                <w:bCs/>
                <w:color w:val="auto"/>
                <w:szCs w:val="21"/>
              </w:rPr>
              <w:t>4</w:t>
            </w:r>
          </w:p>
        </w:tc>
        <w:tc>
          <w:tcPr>
            <w:tcW w:w="3119" w:type="dxa"/>
            <w:noWrap w:val="0"/>
            <w:vAlign w:val="center"/>
          </w:tcPr>
          <w:p>
            <w:pPr>
              <w:widowControl/>
              <w:jc w:val="left"/>
              <w:rPr>
                <w:rFonts w:hint="eastAsia" w:cs="宋体"/>
                <w:b/>
                <w:bCs/>
                <w:color w:val="auto"/>
                <w:szCs w:val="21"/>
              </w:rPr>
            </w:pPr>
            <w:r>
              <w:rPr>
                <w:rFonts w:hint="eastAsia" w:cs="宋体"/>
                <w:b/>
                <w:bCs/>
                <w:color w:val="auto"/>
                <w:szCs w:val="21"/>
              </w:rPr>
              <w:t>二甲苯</w:t>
            </w:r>
          </w:p>
        </w:tc>
        <w:tc>
          <w:tcPr>
            <w:tcW w:w="4370" w:type="dxa"/>
            <w:noWrap w:val="0"/>
            <w:vAlign w:val="center"/>
          </w:tcPr>
          <w:p>
            <w:pPr>
              <w:widowControl/>
              <w:jc w:val="left"/>
              <w:rPr>
                <w:rFonts w:hint="eastAsia" w:cs="宋体"/>
                <w:b/>
                <w:bCs/>
                <w:color w:val="auto"/>
                <w:szCs w:val="21"/>
              </w:rPr>
            </w:pPr>
            <w:r>
              <w:rPr>
                <w:rFonts w:hint="eastAsia" w:cs="宋体"/>
                <w:b/>
                <w:bCs/>
                <w:color w:val="auto"/>
                <w:szCs w:val="21"/>
              </w:rPr>
              <w:t>GB/T 18883-2002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8" w:type="dxa"/>
            <w:noWrap w:val="0"/>
            <w:vAlign w:val="top"/>
          </w:tcPr>
          <w:p>
            <w:pPr>
              <w:widowControl/>
              <w:jc w:val="left"/>
              <w:rPr>
                <w:rFonts w:hint="eastAsia" w:cs="宋体"/>
                <w:b/>
                <w:bCs/>
                <w:color w:val="auto"/>
                <w:szCs w:val="21"/>
              </w:rPr>
            </w:pPr>
            <w:r>
              <w:rPr>
                <w:rFonts w:hint="eastAsia" w:cs="宋体"/>
                <w:b/>
                <w:bCs/>
                <w:color w:val="auto"/>
                <w:szCs w:val="21"/>
              </w:rPr>
              <w:t>5</w:t>
            </w:r>
          </w:p>
        </w:tc>
        <w:tc>
          <w:tcPr>
            <w:tcW w:w="3119" w:type="dxa"/>
            <w:noWrap w:val="0"/>
            <w:vAlign w:val="center"/>
          </w:tcPr>
          <w:p>
            <w:pPr>
              <w:widowControl/>
              <w:jc w:val="left"/>
              <w:rPr>
                <w:rFonts w:hint="eastAsia" w:cs="宋体"/>
                <w:b/>
                <w:bCs/>
                <w:color w:val="auto"/>
                <w:szCs w:val="21"/>
              </w:rPr>
            </w:pPr>
            <w:r>
              <w:rPr>
                <w:rFonts w:hint="eastAsia" w:cs="宋体"/>
                <w:b/>
                <w:bCs/>
                <w:color w:val="auto"/>
                <w:szCs w:val="21"/>
              </w:rPr>
              <w:t>总挥发性有机化合物（TVOC）</w:t>
            </w:r>
          </w:p>
        </w:tc>
        <w:tc>
          <w:tcPr>
            <w:tcW w:w="4370" w:type="dxa"/>
            <w:noWrap w:val="0"/>
            <w:vAlign w:val="center"/>
          </w:tcPr>
          <w:p>
            <w:pPr>
              <w:widowControl/>
              <w:jc w:val="left"/>
              <w:rPr>
                <w:rFonts w:hint="eastAsia" w:cs="宋体"/>
                <w:b/>
                <w:bCs/>
                <w:color w:val="auto"/>
                <w:szCs w:val="21"/>
              </w:rPr>
            </w:pPr>
            <w:r>
              <w:rPr>
                <w:rFonts w:hint="eastAsia" w:cs="宋体"/>
                <w:b/>
                <w:bCs/>
                <w:color w:val="auto"/>
                <w:szCs w:val="21"/>
              </w:rPr>
              <w:t>GB/T 18883-2002</w:t>
            </w:r>
          </w:p>
        </w:tc>
      </w:tr>
    </w:tbl>
    <w:p>
      <w:pPr>
        <w:widowControl/>
        <w:jc w:val="left"/>
        <w:rPr>
          <w:rFonts w:hint="eastAsia" w:cs="宋体"/>
          <w:color w:val="auto"/>
          <w:szCs w:val="21"/>
        </w:rPr>
      </w:pPr>
    </w:p>
    <w:p>
      <w:pPr>
        <w:widowControl/>
        <w:jc w:val="left"/>
        <w:rPr>
          <w:rFonts w:hint="eastAsia" w:cs="宋体"/>
          <w:color w:val="auto"/>
          <w:szCs w:val="21"/>
        </w:rPr>
      </w:pPr>
    </w:p>
    <w:p>
      <w:pPr>
        <w:widowControl/>
        <w:jc w:val="left"/>
        <w:rPr>
          <w:rFonts w:hint="eastAsia" w:cs="宋体"/>
          <w:color w:val="auto"/>
          <w:szCs w:val="21"/>
        </w:rPr>
      </w:pPr>
    </w:p>
    <w:p>
      <w:pPr>
        <w:pStyle w:val="6"/>
        <w:spacing w:before="120" w:beforeLines="50" w:after="120" w:afterLines="50"/>
        <w:rPr>
          <w:color w:val="auto"/>
          <w:sz w:val="28"/>
          <w:szCs w:val="28"/>
        </w:rPr>
      </w:pPr>
      <w:r>
        <w:rPr>
          <w:rFonts w:hint="eastAsia"/>
          <w:color w:val="auto"/>
          <w:sz w:val="28"/>
          <w:szCs w:val="28"/>
          <w:lang w:val="en-US" w:eastAsia="zh-CN"/>
        </w:rPr>
        <w:t>六</w:t>
      </w:r>
      <w:r>
        <w:rPr>
          <w:rFonts w:hint="eastAsia"/>
          <w:color w:val="auto"/>
          <w:sz w:val="28"/>
          <w:szCs w:val="28"/>
        </w:rPr>
        <w:t>、商务需求</w:t>
      </w:r>
    </w:p>
    <w:p>
      <w:pPr>
        <w:ind w:firstLine="422" w:firstLineChars="200"/>
        <w:rPr>
          <w:b/>
          <w:color w:val="auto"/>
          <w:szCs w:val="21"/>
        </w:rPr>
      </w:pPr>
      <w:r>
        <w:rPr>
          <w:rFonts w:hint="eastAsia"/>
          <w:b/>
          <w:color w:val="auto"/>
          <w:szCs w:val="21"/>
        </w:rPr>
        <w:t>说明：1、带“</w:t>
      </w:r>
      <w:r>
        <w:rPr>
          <w:rFonts w:hint="eastAsia" w:ascii="宋体" w:hAnsi="宋体" w:cs="宋体"/>
          <w:b/>
          <w:color w:val="auto"/>
          <w:szCs w:val="21"/>
        </w:rPr>
        <w:t>★</w:t>
      </w:r>
      <w:r>
        <w:rPr>
          <w:rFonts w:hint="eastAsia"/>
          <w:b/>
          <w:color w:val="auto"/>
          <w:szCs w:val="21"/>
        </w:rPr>
        <w:t>”指标项为实质性条款，如出现负偏离，将被视为未实质性满足招标文件要求作投标无效处理。</w:t>
      </w:r>
    </w:p>
    <w:p>
      <w:pPr>
        <w:ind w:firstLine="422" w:firstLineChars="200"/>
        <w:rPr>
          <w:color w:val="auto"/>
        </w:rPr>
      </w:pPr>
      <w:r>
        <w:rPr>
          <w:rFonts w:hint="eastAsia"/>
          <w:b/>
          <w:color w:val="auto"/>
        </w:rPr>
        <w:t>2、评分时，如对一项招标商务需求（以划分框为准，一个划分框是作为一项招标商务需求）中的内容存在两处（或以上）负偏离的，在评分时只作一项负偏离扣分。</w:t>
      </w:r>
    </w:p>
    <w:tbl>
      <w:tblPr>
        <w:tblStyle w:val="4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620"/>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b/>
                <w:color w:val="auto"/>
              </w:rPr>
            </w:pPr>
            <w:r>
              <w:rPr>
                <w:rFonts w:hint="eastAsia"/>
                <w:b/>
                <w:color w:val="auto"/>
              </w:rPr>
              <w:t>序号</w:t>
            </w:r>
          </w:p>
        </w:tc>
        <w:tc>
          <w:tcPr>
            <w:tcW w:w="1620" w:type="dxa"/>
            <w:vAlign w:val="center"/>
          </w:tcPr>
          <w:p>
            <w:pPr>
              <w:jc w:val="center"/>
              <w:rPr>
                <w:b/>
                <w:color w:val="auto"/>
              </w:rPr>
            </w:pPr>
            <w:r>
              <w:rPr>
                <w:rFonts w:hint="eastAsia"/>
                <w:b/>
                <w:color w:val="auto"/>
              </w:rPr>
              <w:t>目录</w:t>
            </w:r>
          </w:p>
        </w:tc>
        <w:tc>
          <w:tcPr>
            <w:tcW w:w="5940" w:type="dxa"/>
            <w:vAlign w:val="center"/>
          </w:tcPr>
          <w:p>
            <w:pPr>
              <w:jc w:val="center"/>
              <w:rPr>
                <w:b/>
                <w:color w:val="auto"/>
              </w:rPr>
            </w:pPr>
            <w:r>
              <w:rPr>
                <w:rFonts w:hint="eastAsia"/>
                <w:b/>
                <w:color w:val="auto"/>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pPr>
              <w:rPr>
                <w:b/>
                <w:color w:val="auto"/>
              </w:rPr>
            </w:pPr>
            <w:r>
              <w:rPr>
                <w:rFonts w:hint="eastAsia"/>
                <w:b/>
                <w:color w:val="auto"/>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vAlign w:val="center"/>
          </w:tcPr>
          <w:p>
            <w:pPr>
              <w:jc w:val="center"/>
              <w:rPr>
                <w:b w:val="0"/>
                <w:bCs/>
                <w:color w:val="auto"/>
              </w:rPr>
            </w:pPr>
            <w:r>
              <w:rPr>
                <w:rFonts w:hint="eastAsia"/>
                <w:b w:val="0"/>
                <w:bCs/>
                <w:color w:val="auto"/>
              </w:rPr>
              <w:t>1</w:t>
            </w:r>
          </w:p>
        </w:tc>
        <w:tc>
          <w:tcPr>
            <w:tcW w:w="1620" w:type="dxa"/>
            <w:vAlign w:val="center"/>
          </w:tcPr>
          <w:p>
            <w:pPr>
              <w:jc w:val="center"/>
              <w:rPr>
                <w:color w:val="auto"/>
              </w:rPr>
            </w:pPr>
            <w:r>
              <w:rPr>
                <w:rFonts w:hint="eastAsia"/>
                <w:color w:val="auto"/>
              </w:rPr>
              <w:t>维修响应及故障解决时间</w:t>
            </w:r>
          </w:p>
        </w:tc>
        <w:tc>
          <w:tcPr>
            <w:tcW w:w="5940" w:type="dxa"/>
            <w:vAlign w:val="center"/>
          </w:tcPr>
          <w:p>
            <w:pPr>
              <w:jc w:val="left"/>
              <w:rPr>
                <w:b/>
                <w:color w:val="auto"/>
              </w:rPr>
            </w:pPr>
            <w:r>
              <w:rPr>
                <w:rFonts w:hint="eastAsia"/>
                <w:bCs/>
                <w:color w:val="auto"/>
                <w:szCs w:val="21"/>
              </w:rPr>
              <w:t>在保修期内，一旦发生质量问题，投标人保证在接到通知24小时内赶到现场进行修理或更换。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vAlign w:val="center"/>
          </w:tcPr>
          <w:p>
            <w:pPr>
              <w:jc w:val="center"/>
              <w:rPr>
                <w:b w:val="0"/>
                <w:bCs/>
                <w:color w:val="auto"/>
                <w:szCs w:val="21"/>
              </w:rPr>
            </w:pPr>
            <w:r>
              <w:rPr>
                <w:rFonts w:hint="eastAsia"/>
                <w:b w:val="0"/>
                <w:bCs/>
                <w:color w:val="auto"/>
                <w:szCs w:val="21"/>
              </w:rPr>
              <w:t>2</w:t>
            </w:r>
          </w:p>
        </w:tc>
        <w:tc>
          <w:tcPr>
            <w:tcW w:w="1620" w:type="dxa"/>
            <w:vAlign w:val="center"/>
          </w:tcPr>
          <w:p>
            <w:pPr>
              <w:jc w:val="center"/>
              <w:rPr>
                <w:color w:val="auto"/>
                <w:szCs w:val="21"/>
              </w:rPr>
            </w:pPr>
            <w:r>
              <w:rPr>
                <w:rFonts w:hint="eastAsia"/>
                <w:color w:val="auto"/>
                <w:szCs w:val="21"/>
              </w:rPr>
              <w:t>关于免费保修期</w:t>
            </w:r>
          </w:p>
        </w:tc>
        <w:tc>
          <w:tcPr>
            <w:tcW w:w="5940" w:type="dxa"/>
            <w:vAlign w:val="center"/>
          </w:tcPr>
          <w:p>
            <w:pPr>
              <w:jc w:val="left"/>
              <w:rPr>
                <w:b/>
                <w:bCs w:val="0"/>
                <w:color w:val="auto"/>
                <w:szCs w:val="21"/>
              </w:rPr>
            </w:pPr>
            <w:r>
              <w:rPr>
                <w:rFonts w:hint="eastAsia"/>
                <w:b/>
                <w:bCs w:val="0"/>
                <w:color w:val="auto"/>
                <w:szCs w:val="21"/>
              </w:rPr>
              <w:t>★货物免费保修期</w:t>
            </w:r>
            <w:r>
              <w:rPr>
                <w:rFonts w:hint="eastAsia"/>
                <w:b/>
                <w:bCs w:val="0"/>
                <w:color w:val="auto"/>
                <w:szCs w:val="21"/>
                <w:u w:val="single"/>
                <w:lang w:val="en-US" w:eastAsia="zh-CN"/>
              </w:rPr>
              <w:t>3</w:t>
            </w:r>
            <w:r>
              <w:rPr>
                <w:rFonts w:hint="eastAsia"/>
                <w:b/>
                <w:bCs w:val="0"/>
                <w:color w:val="auto"/>
                <w:szCs w:val="21"/>
              </w:rPr>
              <w:t>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vAlign w:val="center"/>
          </w:tcPr>
          <w:p>
            <w:pPr>
              <w:jc w:val="center"/>
              <w:rPr>
                <w:rFonts w:hint="eastAsia" w:eastAsia="宋体"/>
                <w:b w:val="0"/>
                <w:bCs/>
                <w:color w:val="auto"/>
                <w:szCs w:val="21"/>
                <w:lang w:val="en-US" w:eastAsia="zh-CN"/>
              </w:rPr>
            </w:pPr>
            <w:r>
              <w:rPr>
                <w:rFonts w:hint="eastAsia"/>
                <w:b w:val="0"/>
                <w:bCs/>
                <w:color w:val="auto"/>
                <w:szCs w:val="21"/>
                <w:lang w:val="en-US" w:eastAsia="zh-CN"/>
              </w:rPr>
              <w:t>3</w:t>
            </w:r>
          </w:p>
        </w:tc>
        <w:tc>
          <w:tcPr>
            <w:tcW w:w="1620" w:type="dxa"/>
            <w:vAlign w:val="center"/>
          </w:tcPr>
          <w:p>
            <w:pPr>
              <w:jc w:val="center"/>
              <w:rPr>
                <w:rFonts w:hint="default" w:eastAsia="宋体"/>
                <w:color w:val="auto"/>
                <w:szCs w:val="21"/>
                <w:lang w:val="en-US" w:eastAsia="zh-CN"/>
              </w:rPr>
            </w:pPr>
            <w:r>
              <w:rPr>
                <w:rFonts w:hint="eastAsia"/>
                <w:color w:val="auto"/>
                <w:szCs w:val="21"/>
                <w:lang w:val="en-US" w:eastAsia="zh-CN"/>
              </w:rPr>
              <w:t>报价及品牌型号要求</w:t>
            </w:r>
          </w:p>
        </w:tc>
        <w:tc>
          <w:tcPr>
            <w:tcW w:w="5940" w:type="dxa"/>
            <w:vAlign w:val="center"/>
          </w:tcPr>
          <w:p>
            <w:pPr>
              <w:jc w:val="left"/>
              <w:rPr>
                <w:rFonts w:hint="eastAsia"/>
                <w:b/>
                <w:bCs w:val="0"/>
                <w:color w:val="auto"/>
                <w:szCs w:val="21"/>
              </w:rPr>
            </w:pPr>
            <w:r>
              <w:rPr>
                <w:rFonts w:hint="eastAsia"/>
                <w:b/>
                <w:bCs w:val="0"/>
                <w:color w:val="auto"/>
              </w:rPr>
              <w:t>★单价1000元（含）以上或小计金额5000元（含）以上的所有设备、线材必须指明品牌、型号，否则投标无效（特别注明的除外；不能指明的，须标明理由）。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Align w:val="center"/>
          </w:tcPr>
          <w:p>
            <w:pPr>
              <w:jc w:val="center"/>
              <w:rPr>
                <w:b w:val="0"/>
                <w:bCs/>
                <w:color w:val="auto"/>
              </w:rPr>
            </w:pPr>
            <w:r>
              <w:rPr>
                <w:rFonts w:hint="eastAsia"/>
                <w:b w:val="0"/>
                <w:bCs/>
                <w:color w:val="auto"/>
              </w:rPr>
              <w:t>……</w:t>
            </w:r>
          </w:p>
        </w:tc>
        <w:tc>
          <w:tcPr>
            <w:tcW w:w="1620" w:type="dxa"/>
            <w:vAlign w:val="center"/>
          </w:tcPr>
          <w:p>
            <w:pPr>
              <w:jc w:val="center"/>
              <w:rPr>
                <w:b/>
                <w:color w:val="auto"/>
              </w:rPr>
            </w:pPr>
            <w:r>
              <w:rPr>
                <w:rFonts w:hint="eastAsia"/>
                <w:color w:val="auto"/>
              </w:rPr>
              <w:t>其他</w:t>
            </w:r>
          </w:p>
        </w:tc>
        <w:tc>
          <w:tcPr>
            <w:tcW w:w="5940" w:type="dxa"/>
            <w:vAlign w:val="center"/>
          </w:tcPr>
          <w:p>
            <w:pPr>
              <w:jc w:val="left"/>
              <w:rPr>
                <w:b/>
                <w:color w:val="auto"/>
              </w:rPr>
            </w:pPr>
            <w:r>
              <w:rPr>
                <w:rFonts w:hint="eastAsia"/>
                <w:bCs/>
                <w:color w:val="auto"/>
                <w:szCs w:val="21"/>
              </w:rPr>
              <w:t>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pPr>
              <w:rPr>
                <w:b/>
                <w:color w:val="auto"/>
              </w:rPr>
            </w:pPr>
            <w:r>
              <w:rPr>
                <w:rFonts w:hint="eastAsia"/>
                <w:b/>
                <w:color w:val="auto"/>
              </w:rPr>
              <w:t>（二）免费保修期外售后服务要求（可选）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pPr>
              <w:jc w:val="center"/>
              <w:rPr>
                <w:b w:val="0"/>
                <w:bCs/>
                <w:color w:val="auto"/>
              </w:rPr>
            </w:pPr>
            <w:r>
              <w:rPr>
                <w:rFonts w:hint="eastAsia"/>
                <w:b w:val="0"/>
                <w:bCs/>
                <w:color w:val="auto"/>
              </w:rPr>
              <w:t>1</w:t>
            </w:r>
          </w:p>
        </w:tc>
        <w:tc>
          <w:tcPr>
            <w:tcW w:w="1620" w:type="dxa"/>
          </w:tcPr>
          <w:p>
            <w:pPr>
              <w:rPr>
                <w:b/>
                <w:color w:val="auto"/>
              </w:rPr>
            </w:pPr>
          </w:p>
        </w:tc>
        <w:tc>
          <w:tcPr>
            <w:tcW w:w="5940" w:type="dxa"/>
          </w:tcPr>
          <w:p>
            <w:pP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pPr>
              <w:jc w:val="center"/>
              <w:rPr>
                <w:b w:val="0"/>
                <w:bCs/>
                <w:color w:val="auto"/>
              </w:rPr>
            </w:pPr>
            <w:r>
              <w:rPr>
                <w:rFonts w:hint="eastAsia"/>
                <w:b w:val="0"/>
                <w:bCs/>
                <w:color w:val="auto"/>
              </w:rPr>
              <w:t>2</w:t>
            </w:r>
          </w:p>
        </w:tc>
        <w:tc>
          <w:tcPr>
            <w:tcW w:w="1620" w:type="dxa"/>
          </w:tcPr>
          <w:p>
            <w:pPr>
              <w:rPr>
                <w:b/>
                <w:color w:val="auto"/>
              </w:rPr>
            </w:pPr>
          </w:p>
        </w:tc>
        <w:tc>
          <w:tcPr>
            <w:tcW w:w="5940" w:type="dxa"/>
          </w:tcPr>
          <w:p>
            <w:pP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pPr>
              <w:jc w:val="center"/>
              <w:rPr>
                <w:b w:val="0"/>
                <w:bCs/>
                <w:color w:val="auto"/>
              </w:rPr>
            </w:pPr>
            <w:r>
              <w:rPr>
                <w:rFonts w:hint="eastAsia"/>
                <w:b w:val="0"/>
                <w:bCs/>
                <w:color w:val="auto"/>
              </w:rPr>
              <w:t>……</w:t>
            </w:r>
          </w:p>
        </w:tc>
        <w:tc>
          <w:tcPr>
            <w:tcW w:w="1620" w:type="dxa"/>
          </w:tcPr>
          <w:p>
            <w:pPr>
              <w:rPr>
                <w:b/>
                <w:color w:val="auto"/>
              </w:rPr>
            </w:pPr>
          </w:p>
        </w:tc>
        <w:tc>
          <w:tcPr>
            <w:tcW w:w="5940" w:type="dxa"/>
          </w:tcPr>
          <w:p>
            <w:pP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20" w:type="dxa"/>
            <w:gridSpan w:val="3"/>
          </w:tcPr>
          <w:p>
            <w:pPr>
              <w:rPr>
                <w:b/>
                <w:color w:val="auto"/>
              </w:rPr>
            </w:pPr>
            <w:r>
              <w:rPr>
                <w:rFonts w:hint="eastAsia"/>
                <w:b/>
                <w:color w:val="auto"/>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vMerge w:val="restart"/>
            <w:vAlign w:val="center"/>
          </w:tcPr>
          <w:p>
            <w:pPr>
              <w:jc w:val="center"/>
              <w:rPr>
                <w:b w:val="0"/>
                <w:bCs/>
                <w:color w:val="auto"/>
              </w:rPr>
            </w:pPr>
            <w:r>
              <w:rPr>
                <w:rFonts w:hint="eastAsia"/>
                <w:b w:val="0"/>
                <w:bCs/>
                <w:color w:val="auto"/>
              </w:rPr>
              <w:t>1</w:t>
            </w:r>
          </w:p>
        </w:tc>
        <w:tc>
          <w:tcPr>
            <w:tcW w:w="1620" w:type="dxa"/>
            <w:vMerge w:val="restart"/>
            <w:vAlign w:val="center"/>
          </w:tcPr>
          <w:p>
            <w:pPr>
              <w:jc w:val="center"/>
              <w:rPr>
                <w:color w:val="auto"/>
              </w:rPr>
            </w:pPr>
            <w:r>
              <w:rPr>
                <w:rFonts w:hint="eastAsia"/>
                <w:color w:val="auto"/>
              </w:rPr>
              <w:t>关于交货</w:t>
            </w:r>
          </w:p>
        </w:tc>
        <w:tc>
          <w:tcPr>
            <w:tcW w:w="5940" w:type="dxa"/>
          </w:tcPr>
          <w:p>
            <w:pPr>
              <w:rPr>
                <w:bCs/>
                <w:color w:val="auto"/>
                <w:szCs w:val="21"/>
              </w:rPr>
            </w:pPr>
            <w:r>
              <w:rPr>
                <w:rFonts w:hint="eastAsia"/>
                <w:bCs/>
                <w:color w:val="auto"/>
                <w:szCs w:val="21"/>
              </w:rPr>
              <w:t>1.1交货地点：深圳市南山区前海学校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60" w:type="dxa"/>
            <w:vMerge w:val="continue"/>
            <w:vAlign w:val="center"/>
          </w:tcPr>
          <w:p>
            <w:pPr>
              <w:jc w:val="center"/>
              <w:rPr>
                <w:b w:val="0"/>
                <w:bCs/>
                <w:color w:val="auto"/>
              </w:rPr>
            </w:pPr>
          </w:p>
        </w:tc>
        <w:tc>
          <w:tcPr>
            <w:tcW w:w="1620" w:type="dxa"/>
            <w:vMerge w:val="continue"/>
            <w:vAlign w:val="center"/>
          </w:tcPr>
          <w:p>
            <w:pPr>
              <w:jc w:val="center"/>
              <w:rPr>
                <w:color w:val="auto"/>
              </w:rPr>
            </w:pPr>
          </w:p>
        </w:tc>
        <w:tc>
          <w:tcPr>
            <w:tcW w:w="5940" w:type="dxa"/>
          </w:tcPr>
          <w:p>
            <w:pPr>
              <w:rPr>
                <w:bCs/>
                <w:color w:val="auto"/>
                <w:szCs w:val="21"/>
              </w:rPr>
            </w:pPr>
            <w:r>
              <w:rPr>
                <w:rFonts w:hint="eastAsia"/>
                <w:bCs/>
                <w:color w:val="auto"/>
                <w:szCs w:val="21"/>
              </w:rPr>
              <w:t>1.2投标人必须承担的设备运输、安装调试、验收检测和提供设备操作说明书、图纸等其他类似的义务。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60" w:type="dxa"/>
            <w:vMerge w:val="continue"/>
            <w:vAlign w:val="center"/>
          </w:tcPr>
          <w:p>
            <w:pPr>
              <w:jc w:val="center"/>
              <w:rPr>
                <w:b w:val="0"/>
                <w:bCs/>
                <w:color w:val="auto"/>
              </w:rPr>
            </w:pPr>
          </w:p>
        </w:tc>
        <w:tc>
          <w:tcPr>
            <w:tcW w:w="1620" w:type="dxa"/>
            <w:vMerge w:val="continue"/>
            <w:vAlign w:val="center"/>
          </w:tcPr>
          <w:p>
            <w:pPr>
              <w:jc w:val="center"/>
              <w:rPr>
                <w:color w:val="auto"/>
              </w:rPr>
            </w:pPr>
          </w:p>
        </w:tc>
        <w:tc>
          <w:tcPr>
            <w:tcW w:w="5940" w:type="dxa"/>
          </w:tcPr>
          <w:p>
            <w:pPr>
              <w:rPr>
                <w:bCs/>
                <w:color w:val="auto"/>
                <w:szCs w:val="21"/>
              </w:rPr>
            </w:pPr>
            <w:r>
              <w:rPr>
                <w:rFonts w:hint="eastAsia"/>
                <w:bCs/>
                <w:color w:val="auto"/>
                <w:szCs w:val="21"/>
              </w:rPr>
              <w:t>1.3本项目要求在进场施工日起</w:t>
            </w:r>
            <w:r>
              <w:rPr>
                <w:rFonts w:hint="eastAsia"/>
                <w:bCs/>
                <w:color w:val="auto"/>
                <w:szCs w:val="21"/>
                <w:u w:val="single"/>
              </w:rPr>
              <w:t>30</w:t>
            </w:r>
            <w:r>
              <w:rPr>
                <w:rFonts w:hint="eastAsia"/>
                <w:bCs/>
                <w:color w:val="auto"/>
                <w:szCs w:val="21"/>
              </w:rPr>
              <w:t>个日历日内完工，进场施工时间由街道办确定。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b w:val="0"/>
                <w:bCs/>
                <w:color w:val="auto"/>
              </w:rPr>
            </w:pPr>
            <w:r>
              <w:rPr>
                <w:rFonts w:hint="eastAsia"/>
                <w:b w:val="0"/>
                <w:bCs/>
                <w:color w:val="auto"/>
              </w:rPr>
              <w:t>2</w:t>
            </w:r>
          </w:p>
        </w:tc>
        <w:tc>
          <w:tcPr>
            <w:tcW w:w="1620" w:type="dxa"/>
            <w:vMerge w:val="restart"/>
            <w:vAlign w:val="center"/>
          </w:tcPr>
          <w:p>
            <w:pPr>
              <w:jc w:val="center"/>
              <w:rPr>
                <w:color w:val="auto"/>
              </w:rPr>
            </w:pPr>
            <w:r>
              <w:rPr>
                <w:rFonts w:hint="eastAsia"/>
                <w:color w:val="auto"/>
              </w:rPr>
              <w:t>关于验收</w:t>
            </w:r>
          </w:p>
        </w:tc>
        <w:tc>
          <w:tcPr>
            <w:tcW w:w="5940" w:type="dxa"/>
          </w:tcPr>
          <w:p>
            <w:pPr>
              <w:spacing w:line="340" w:lineRule="exact"/>
              <w:rPr>
                <w:rFonts w:hint="eastAsia"/>
                <w:bCs/>
                <w:color w:val="auto"/>
                <w:szCs w:val="21"/>
              </w:rPr>
            </w:pPr>
            <w:r>
              <w:rPr>
                <w:rFonts w:hint="eastAsia"/>
                <w:bCs/>
                <w:color w:val="auto"/>
                <w:szCs w:val="21"/>
              </w:rPr>
              <w:t>2.1由街道办组织监理公司和中标单位共同验收，验收报告报区教育信息中心备案。</w:t>
            </w:r>
          </w:p>
          <w:p>
            <w:pPr>
              <w:spacing w:line="340" w:lineRule="exact"/>
              <w:rPr>
                <w:bCs/>
                <w:color w:val="auto"/>
                <w:szCs w:val="21"/>
              </w:rPr>
            </w:pPr>
            <w:r>
              <w:rPr>
                <w:rFonts w:hint="eastAsia"/>
                <w:bCs/>
                <w:color w:val="auto"/>
                <w:szCs w:val="21"/>
                <w:lang w:val="en-US" w:eastAsia="zh-CN"/>
              </w:rPr>
              <w:t>2.2</w:t>
            </w:r>
            <w:r>
              <w:rPr>
                <w:rFonts w:hint="eastAsia"/>
                <w:bCs/>
                <w:color w:val="auto"/>
                <w:szCs w:val="21"/>
              </w:rPr>
              <w:t>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
                <w:color w:val="auto"/>
              </w:rPr>
            </w:pPr>
          </w:p>
        </w:tc>
        <w:tc>
          <w:tcPr>
            <w:tcW w:w="1620" w:type="dxa"/>
            <w:vMerge w:val="continue"/>
          </w:tcPr>
          <w:p>
            <w:pPr>
              <w:rPr>
                <w:b/>
                <w:color w:val="auto"/>
              </w:rPr>
            </w:pPr>
          </w:p>
        </w:tc>
        <w:tc>
          <w:tcPr>
            <w:tcW w:w="5940" w:type="dxa"/>
          </w:tcPr>
          <w:p>
            <w:pPr>
              <w:spacing w:line="340" w:lineRule="exact"/>
              <w:rPr>
                <w:bCs/>
                <w:color w:val="auto"/>
                <w:szCs w:val="21"/>
              </w:rPr>
            </w:pPr>
            <w:r>
              <w:rPr>
                <w:rFonts w:hint="eastAsia"/>
                <w:bCs/>
                <w:color w:val="auto"/>
                <w:szCs w:val="21"/>
              </w:rPr>
              <w:t>2.</w:t>
            </w:r>
            <w:r>
              <w:rPr>
                <w:rFonts w:hint="eastAsia"/>
                <w:bCs/>
                <w:color w:val="auto"/>
                <w:szCs w:val="21"/>
                <w:lang w:val="en-US" w:eastAsia="zh-CN"/>
              </w:rPr>
              <w:t>3</w:t>
            </w:r>
            <w:r>
              <w:rPr>
                <w:rFonts w:hint="eastAsia"/>
                <w:bCs/>
                <w:color w:val="auto"/>
                <w:szCs w:val="21"/>
              </w:rPr>
              <w:t>当满足以下条件时，采购人才向中标人签发货物验收报告：</w:t>
            </w:r>
          </w:p>
          <w:p>
            <w:pPr>
              <w:tabs>
                <w:tab w:val="left" w:pos="1260"/>
              </w:tabs>
              <w:spacing w:line="340" w:lineRule="exact"/>
              <w:rPr>
                <w:bCs/>
                <w:color w:val="auto"/>
                <w:szCs w:val="21"/>
              </w:rPr>
            </w:pPr>
            <w:r>
              <w:rPr>
                <w:bCs/>
                <w:color w:val="auto"/>
                <w:szCs w:val="21"/>
              </w:rPr>
              <w:t>a</w:t>
            </w:r>
            <w:r>
              <w:rPr>
                <w:rFonts w:hint="eastAsia"/>
                <w:bCs/>
                <w:color w:val="auto"/>
                <w:szCs w:val="21"/>
              </w:rPr>
              <w:t>、中标人已按照合同规定提供了全部产品及完整的技术资料。</w:t>
            </w:r>
          </w:p>
          <w:p>
            <w:pPr>
              <w:tabs>
                <w:tab w:val="left" w:pos="1260"/>
              </w:tabs>
              <w:spacing w:line="340" w:lineRule="exact"/>
              <w:rPr>
                <w:bCs/>
                <w:color w:val="auto"/>
                <w:szCs w:val="21"/>
              </w:rPr>
            </w:pPr>
            <w:r>
              <w:rPr>
                <w:bCs/>
                <w:color w:val="auto"/>
                <w:szCs w:val="21"/>
              </w:rPr>
              <w:t>b</w:t>
            </w:r>
            <w:r>
              <w:rPr>
                <w:rFonts w:hint="eastAsia"/>
                <w:bCs/>
                <w:color w:val="auto"/>
                <w:szCs w:val="21"/>
              </w:rPr>
              <w:t>、货物符合招标文件技术规格书的要求，性能满足要求。</w:t>
            </w:r>
          </w:p>
          <w:p>
            <w:pPr>
              <w:tabs>
                <w:tab w:val="left" w:pos="1260"/>
              </w:tabs>
              <w:spacing w:line="340" w:lineRule="exact"/>
              <w:rPr>
                <w:bCs/>
                <w:color w:val="auto"/>
                <w:szCs w:val="21"/>
              </w:rPr>
            </w:pPr>
            <w:r>
              <w:rPr>
                <w:bCs/>
                <w:color w:val="auto"/>
                <w:szCs w:val="21"/>
              </w:rPr>
              <w:t>c</w:t>
            </w:r>
            <w:r>
              <w:rPr>
                <w:rFonts w:hint="eastAsia"/>
                <w:bCs/>
                <w:color w:val="auto"/>
                <w:szCs w:val="21"/>
              </w:rPr>
              <w:t>、货物具备产品合格证。</w:t>
            </w:r>
          </w:p>
          <w:p>
            <w:pPr>
              <w:tabs>
                <w:tab w:val="left" w:pos="1260"/>
              </w:tabs>
              <w:spacing w:line="340" w:lineRule="exact"/>
              <w:rPr>
                <w:bCs/>
                <w:color w:val="auto"/>
                <w:szCs w:val="21"/>
              </w:rPr>
            </w:pPr>
            <w:r>
              <w:rPr>
                <w:rFonts w:hint="eastAsia"/>
                <w:bCs/>
                <w:color w:val="auto"/>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
                <w:color w:val="auto"/>
              </w:rPr>
            </w:pPr>
          </w:p>
        </w:tc>
        <w:tc>
          <w:tcPr>
            <w:tcW w:w="1620" w:type="dxa"/>
            <w:vMerge w:val="continue"/>
          </w:tcPr>
          <w:p>
            <w:pPr>
              <w:rPr>
                <w:b/>
                <w:color w:val="auto"/>
              </w:rPr>
            </w:pPr>
          </w:p>
        </w:tc>
        <w:tc>
          <w:tcPr>
            <w:tcW w:w="5940" w:type="dxa"/>
          </w:tcPr>
          <w:p>
            <w:pPr>
              <w:rPr>
                <w:rFonts w:hint="eastAsia"/>
                <w:b/>
                <w:bCs/>
                <w:color w:val="auto"/>
                <w:lang w:val="en-US" w:eastAsia="zh-CN"/>
              </w:rPr>
            </w:pPr>
            <w:r>
              <w:rPr>
                <w:rFonts w:hint="eastAsia"/>
                <w:b/>
                <w:bCs/>
                <w:color w:val="auto"/>
              </w:rPr>
              <w:t>★</w:t>
            </w:r>
            <w:r>
              <w:rPr>
                <w:rFonts w:hint="eastAsia"/>
                <w:b/>
                <w:bCs/>
                <w:color w:val="auto"/>
                <w:lang w:val="en-US" w:eastAsia="zh-CN"/>
              </w:rPr>
              <w:t>2.4中标供应商在签订合同时应提供投标文件打印稿贰份，并加盖公章（一份交给监理公司，一份交给学校），同时提供投标文件的OFFICE文档。</w:t>
            </w:r>
          </w:p>
          <w:p>
            <w:pPr>
              <w:rPr>
                <w:rFonts w:hint="eastAsia"/>
                <w:b/>
                <w:bCs/>
                <w:color w:val="auto"/>
                <w:lang w:val="en-US" w:eastAsia="zh-CN"/>
              </w:rPr>
            </w:pPr>
            <w:r>
              <w:rPr>
                <w:rFonts w:hint="eastAsia"/>
                <w:b/>
                <w:bCs/>
                <w:color w:val="auto"/>
              </w:rPr>
              <w:t>★</w:t>
            </w:r>
            <w:r>
              <w:rPr>
                <w:rFonts w:hint="eastAsia"/>
                <w:b/>
                <w:bCs/>
                <w:color w:val="auto"/>
                <w:lang w:val="en-US" w:eastAsia="zh-CN"/>
              </w:rPr>
              <w:t>2.5上报初验报告、终验报告时，除了表格中写明的材料外，还需要验收记录表、产品三证（指产品合格证、供货凭证（含产品授权或生产厂家证明）、产品检测证明（含第三方有资质检测机构出具的含有设备核心参数的有效检测报告、软件产品的软件测试报告和软件著作权证书）、已备案的三方合同及附件（局内招标项目提供三方合同及附件）；家具（含课桌椅）还需提供有害物质限量检测报告（现场抽样）；功能室在提交终验报告时还需提供室内环境污染检测报告。相应检测费用由中标商支付。（相关参照标准详见；第二章、招标项目需求五、检测报告）</w:t>
            </w:r>
          </w:p>
          <w:p>
            <w:pPr>
              <w:rPr>
                <w:rFonts w:hint="eastAsia"/>
                <w:b/>
                <w:bCs/>
                <w:color w:val="auto"/>
                <w:lang w:val="en-US" w:eastAsia="zh-CN"/>
              </w:rPr>
            </w:pPr>
            <w:r>
              <w:rPr>
                <w:rFonts w:hint="eastAsia"/>
                <w:b/>
                <w:bCs/>
                <w:color w:val="auto"/>
                <w:lang w:val="en-US" w:eastAsia="zh-CN"/>
              </w:rPr>
              <w:t>★2.6特别条款：对于单纯家具（含课桌椅）项目、含家具或装修的功能室项目在验收时还需提供以下材料（相关费用由中标人承担）：（相关参照标准详见；第二章、招标项目需求五、检测报告）</w:t>
            </w:r>
          </w:p>
          <w:p>
            <w:pPr>
              <w:rPr>
                <w:rFonts w:hint="default"/>
                <w:color w:val="auto"/>
                <w:lang w:val="en-US" w:eastAsia="zh-CN"/>
              </w:rPr>
            </w:pPr>
            <w:r>
              <w:rPr>
                <w:rFonts w:hint="eastAsia"/>
                <w:b/>
                <w:bCs/>
                <w:color w:val="auto"/>
                <w:lang w:val="en-US" w:eastAsia="zh-CN"/>
              </w:rPr>
              <w:t>★2.7投标商必须确保中标后提供的货物为正规渠道供货，不存在违反国家法律、法规的情况。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60" w:type="dxa"/>
            <w:vMerge w:val="restart"/>
            <w:vAlign w:val="center"/>
          </w:tcPr>
          <w:p>
            <w:pPr>
              <w:jc w:val="center"/>
              <w:rPr>
                <w:b w:val="0"/>
                <w:bCs/>
                <w:color w:val="auto"/>
              </w:rPr>
            </w:pPr>
            <w:r>
              <w:rPr>
                <w:rFonts w:hint="eastAsia"/>
                <w:b w:val="0"/>
                <w:bCs/>
                <w:color w:val="auto"/>
              </w:rPr>
              <w:t>3</w:t>
            </w:r>
          </w:p>
        </w:tc>
        <w:tc>
          <w:tcPr>
            <w:tcW w:w="1620" w:type="dxa"/>
            <w:vMerge w:val="restart"/>
            <w:vAlign w:val="center"/>
          </w:tcPr>
          <w:p>
            <w:pPr>
              <w:jc w:val="center"/>
              <w:rPr>
                <w:b w:val="0"/>
                <w:bCs w:val="0"/>
                <w:color w:val="auto"/>
              </w:rPr>
            </w:pPr>
            <w:r>
              <w:rPr>
                <w:rFonts w:hint="eastAsia"/>
                <w:b w:val="0"/>
                <w:bCs w:val="0"/>
                <w:color w:val="auto"/>
              </w:rPr>
              <w:t>关于违约</w:t>
            </w:r>
          </w:p>
        </w:tc>
        <w:tc>
          <w:tcPr>
            <w:tcW w:w="5940" w:type="dxa"/>
          </w:tcPr>
          <w:p>
            <w:pPr>
              <w:rPr>
                <w:b w:val="0"/>
                <w:bCs/>
                <w:color w:val="auto"/>
              </w:rPr>
            </w:pPr>
            <w:r>
              <w:rPr>
                <w:rFonts w:hint="eastAsia"/>
                <w:b w:val="0"/>
                <w:bCs/>
                <w:color w:val="auto"/>
              </w:rPr>
              <w:t>3.1中标人不能交货的，需偿付不能交货部分货款的</w:t>
            </w:r>
            <w:r>
              <w:rPr>
                <w:rFonts w:hint="eastAsia"/>
                <w:b w:val="0"/>
                <w:bCs/>
                <w:color w:val="auto"/>
                <w:u w:val="single"/>
              </w:rPr>
              <w:t xml:space="preserve">    </w:t>
            </w:r>
            <w:r>
              <w:rPr>
                <w:rFonts w:hint="eastAsia"/>
                <w:b w:val="0"/>
                <w:bCs/>
                <w:color w:val="auto"/>
              </w:rPr>
              <w:t>%的违约金并按主管部门相关规定处理。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60" w:type="dxa"/>
            <w:vMerge w:val="continue"/>
            <w:vAlign w:val="center"/>
          </w:tcPr>
          <w:p>
            <w:pPr>
              <w:jc w:val="center"/>
              <w:rPr>
                <w:b/>
                <w:color w:val="auto"/>
              </w:rPr>
            </w:pPr>
          </w:p>
        </w:tc>
        <w:tc>
          <w:tcPr>
            <w:tcW w:w="1620" w:type="dxa"/>
            <w:vMerge w:val="continue"/>
            <w:vAlign w:val="center"/>
          </w:tcPr>
          <w:p>
            <w:pPr>
              <w:jc w:val="center"/>
              <w:rPr>
                <w:b w:val="0"/>
                <w:bCs w:val="0"/>
                <w:color w:val="auto"/>
              </w:rPr>
            </w:pPr>
          </w:p>
        </w:tc>
        <w:tc>
          <w:tcPr>
            <w:tcW w:w="5940" w:type="dxa"/>
          </w:tcPr>
          <w:p>
            <w:pPr>
              <w:rPr>
                <w:b w:val="0"/>
                <w:bCs/>
                <w:color w:val="auto"/>
              </w:rPr>
            </w:pPr>
            <w:r>
              <w:rPr>
                <w:rFonts w:hint="eastAsia"/>
                <w:b w:val="0"/>
                <w:bCs/>
                <w:color w:val="auto"/>
              </w:rPr>
              <w:t>3.2中标人逾期交货的，将被没收履约保证金并按主管部门相关规定处理。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60" w:type="dxa"/>
            <w:vMerge w:val="continue"/>
            <w:vAlign w:val="center"/>
          </w:tcPr>
          <w:p>
            <w:pPr>
              <w:jc w:val="center"/>
              <w:rPr>
                <w:b/>
                <w:color w:val="auto"/>
              </w:rPr>
            </w:pPr>
          </w:p>
        </w:tc>
        <w:tc>
          <w:tcPr>
            <w:tcW w:w="1620" w:type="dxa"/>
            <w:vMerge w:val="continue"/>
            <w:vAlign w:val="center"/>
          </w:tcPr>
          <w:p>
            <w:pPr>
              <w:jc w:val="center"/>
              <w:rPr>
                <w:b w:val="0"/>
                <w:bCs w:val="0"/>
                <w:color w:val="auto"/>
              </w:rPr>
            </w:pPr>
          </w:p>
        </w:tc>
        <w:tc>
          <w:tcPr>
            <w:tcW w:w="5940" w:type="dxa"/>
          </w:tcPr>
          <w:p>
            <w:pPr>
              <w:rPr>
                <w:b w:val="0"/>
                <w:bCs/>
                <w:color w:val="auto"/>
              </w:rPr>
            </w:pPr>
            <w:r>
              <w:rPr>
                <w:rFonts w:hint="eastAsia"/>
                <w:b w:val="0"/>
                <w:bCs/>
                <w:color w:val="auto"/>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60" w:type="dxa"/>
            <w:vMerge w:val="continue"/>
            <w:vAlign w:val="center"/>
          </w:tcPr>
          <w:p>
            <w:pPr>
              <w:jc w:val="center"/>
              <w:rPr>
                <w:b/>
                <w:color w:val="auto"/>
              </w:rPr>
            </w:pPr>
          </w:p>
        </w:tc>
        <w:tc>
          <w:tcPr>
            <w:tcW w:w="1620" w:type="dxa"/>
            <w:vMerge w:val="continue"/>
            <w:vAlign w:val="center"/>
          </w:tcPr>
          <w:p>
            <w:pPr>
              <w:jc w:val="center"/>
              <w:rPr>
                <w:b w:val="0"/>
                <w:bCs w:val="0"/>
                <w:color w:val="auto"/>
              </w:rPr>
            </w:pPr>
          </w:p>
        </w:tc>
        <w:tc>
          <w:tcPr>
            <w:tcW w:w="5940" w:type="dxa"/>
          </w:tcPr>
          <w:p>
            <w:pPr>
              <w:rPr>
                <w:b w:val="0"/>
                <w:bCs/>
                <w:color w:val="auto"/>
              </w:rPr>
            </w:pPr>
            <w:r>
              <w:rPr>
                <w:rFonts w:hint="eastAsia"/>
                <w:b w:val="0"/>
                <w:bCs/>
                <w:color w:val="auto"/>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60" w:type="dxa"/>
            <w:vAlign w:val="center"/>
          </w:tcPr>
          <w:p>
            <w:pPr>
              <w:jc w:val="center"/>
              <w:rPr>
                <w:color w:val="auto"/>
              </w:rPr>
            </w:pPr>
            <w:r>
              <w:rPr>
                <w:rFonts w:hint="eastAsia"/>
                <w:color w:val="auto"/>
              </w:rPr>
              <w:t>4</w:t>
            </w:r>
          </w:p>
        </w:tc>
        <w:tc>
          <w:tcPr>
            <w:tcW w:w="1620" w:type="dxa"/>
            <w:vAlign w:val="center"/>
          </w:tcPr>
          <w:p>
            <w:pPr>
              <w:jc w:val="center"/>
              <w:rPr>
                <w:b w:val="0"/>
                <w:bCs w:val="0"/>
                <w:color w:val="auto"/>
              </w:rPr>
            </w:pPr>
            <w:r>
              <w:rPr>
                <w:rFonts w:hint="eastAsia"/>
                <w:b w:val="0"/>
                <w:bCs w:val="0"/>
                <w:color w:val="auto"/>
              </w:rPr>
              <w:t>关于付款</w:t>
            </w:r>
          </w:p>
        </w:tc>
        <w:tc>
          <w:tcPr>
            <w:tcW w:w="5940" w:type="dxa"/>
          </w:tcPr>
          <w:p>
            <w:pPr>
              <w:rPr>
                <w:b/>
                <w:bCs w:val="0"/>
                <w:color w:val="auto"/>
              </w:rPr>
            </w:pPr>
            <w:r>
              <w:rPr>
                <w:rFonts w:hint="eastAsia"/>
                <w:b/>
                <w:bCs w:val="0"/>
                <w:color w:val="auto"/>
                <w:lang w:val="en-US" w:eastAsia="zh-CN"/>
              </w:rPr>
              <w:t>3.1</w:t>
            </w:r>
            <w:r>
              <w:rPr>
                <w:rFonts w:hint="eastAsia"/>
                <w:b/>
                <w:bCs w:val="0"/>
                <w:color w:val="auto"/>
              </w:rPr>
              <w:t>本项目完工并经全面验收合格后，用户方向监理方支付工程结算总价2%的监理费。项目完成并经初验合格后，即付项目款总额的50%，全面验收合格后，即付项目款总额的50%；如果项目达到终验标准，也可直接进行全面验收，全面验收合格后，支付项目款总额的100%，支付要求及时限以财政部门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pPr>
              <w:jc w:val="center"/>
              <w:rPr>
                <w:b/>
                <w:color w:val="auto"/>
              </w:rPr>
            </w:pPr>
            <w:r>
              <w:rPr>
                <w:rFonts w:hint="eastAsia"/>
                <w:b/>
                <w:color w:val="auto"/>
              </w:rPr>
              <w:t>……</w:t>
            </w:r>
          </w:p>
        </w:tc>
        <w:tc>
          <w:tcPr>
            <w:tcW w:w="1620" w:type="dxa"/>
          </w:tcPr>
          <w:p>
            <w:pPr>
              <w:rPr>
                <w:b/>
                <w:color w:val="auto"/>
              </w:rPr>
            </w:pPr>
          </w:p>
        </w:tc>
        <w:tc>
          <w:tcPr>
            <w:tcW w:w="5940" w:type="dxa"/>
          </w:tcPr>
          <w:p>
            <w:pPr>
              <w:rPr>
                <w:b/>
                <w:bCs w:val="0"/>
                <w:color w:val="auto"/>
              </w:rPr>
            </w:pPr>
            <w:r>
              <w:rPr>
                <w:rFonts w:hint="eastAsia"/>
                <w:b/>
                <w:bCs w:val="0"/>
                <w:color w:val="auto"/>
                <w:lang w:val="en-US" w:eastAsia="zh-CN"/>
              </w:rPr>
              <w:t>3.2</w:t>
            </w:r>
            <w:r>
              <w:rPr>
                <w:rFonts w:hint="eastAsia"/>
                <w:b/>
                <w:bCs w:val="0"/>
                <w:color w:val="auto"/>
              </w:rPr>
              <w:t>报价要求：投标总价必须是完成该项目的一切费用总和，包括投标费、设备费、运输费、装卸费、保险费、技术培训费、设备安装费、调试费、国家规定的各项税费等。</w:t>
            </w:r>
          </w:p>
        </w:tc>
      </w:tr>
    </w:tbl>
    <w:p>
      <w:pPr>
        <w:pStyle w:val="8"/>
        <w:spacing w:before="60" w:beforeLines="25" w:after="60" w:afterLines="25"/>
        <w:ind w:firstLine="392" w:firstLineChars="187"/>
        <w:rPr>
          <w:rFonts w:ascii="宋体" w:hAnsi="宋体"/>
          <w:color w:val="auto"/>
          <w:szCs w:val="21"/>
        </w:rPr>
      </w:pPr>
    </w:p>
    <w:p>
      <w:pPr>
        <w:pStyle w:val="6"/>
        <w:spacing w:before="120" w:beforeLines="50" w:after="120" w:afterLines="50" w:line="360" w:lineRule="auto"/>
        <w:rPr>
          <w:rFonts w:ascii="新宋体" w:hAnsi="新宋体" w:eastAsia="新宋体"/>
          <w:color w:val="auto"/>
          <w:sz w:val="21"/>
          <w:szCs w:val="21"/>
        </w:rPr>
      </w:pPr>
      <w:r>
        <w:rPr>
          <w:rFonts w:hint="eastAsia" w:ascii="新宋体" w:hAnsi="新宋体" w:eastAsia="新宋体"/>
          <w:color w:val="auto"/>
          <w:sz w:val="21"/>
          <w:szCs w:val="21"/>
        </w:rPr>
        <w:t>九、政策导向</w:t>
      </w:r>
    </w:p>
    <w:p>
      <w:pPr>
        <w:spacing w:line="360" w:lineRule="auto"/>
        <w:ind w:firstLine="315" w:firstLineChars="150"/>
        <w:rPr>
          <w:rFonts w:ascii="新宋体" w:hAnsi="新宋体" w:eastAsia="新宋体"/>
          <w:bCs/>
          <w:color w:val="auto"/>
          <w:szCs w:val="21"/>
        </w:rPr>
      </w:pPr>
      <w:r>
        <w:rPr>
          <w:rFonts w:hint="eastAsia" w:ascii="新宋体" w:hAnsi="新宋体" w:eastAsia="新宋体"/>
          <w:bCs/>
          <w:color w:val="auto"/>
          <w:szCs w:val="21"/>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spacing w:line="360" w:lineRule="auto"/>
        <w:ind w:firstLine="405"/>
        <w:rPr>
          <w:rFonts w:ascii="新宋体" w:hAnsi="新宋体" w:eastAsia="新宋体"/>
          <w:color w:val="auto"/>
          <w:szCs w:val="21"/>
        </w:rPr>
      </w:pPr>
      <w:r>
        <w:rPr>
          <w:rFonts w:hint="eastAsia" w:ascii="新宋体" w:hAnsi="新宋体" w:eastAsia="新宋体"/>
          <w:color w:val="auto"/>
          <w:szCs w:val="21"/>
          <w:shd w:val="clear" w:color="auto" w:fill="FFFFFF"/>
        </w:rPr>
        <w:t>2、</w:t>
      </w:r>
      <w:r>
        <w:rPr>
          <w:rFonts w:hint="eastAsia" w:ascii="新宋体" w:hAnsi="新宋体" w:eastAsia="新宋体"/>
          <w:color w:val="auto"/>
          <w:szCs w:val="21"/>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pPr>
        <w:spacing w:line="360" w:lineRule="auto"/>
        <w:ind w:firstLine="405"/>
        <w:rPr>
          <w:rFonts w:ascii="新宋体" w:hAnsi="新宋体" w:eastAsia="新宋体"/>
          <w:color w:val="auto"/>
          <w:szCs w:val="21"/>
        </w:rPr>
      </w:pPr>
      <w:r>
        <w:rPr>
          <w:rFonts w:hint="eastAsia" w:ascii="新宋体" w:hAnsi="新宋体" w:eastAsia="新宋体"/>
          <w:color w:val="auto"/>
          <w:szCs w:val="21"/>
        </w:rPr>
        <w:t>3、“信用中国”、“中国政府采购网”以及“深圳市政府采购监管网”为供应商信用信息的查询渠道，相关信息以中标通知书发出前的查询结果为准。</w:t>
      </w:r>
      <w:r>
        <w:rPr>
          <w:rFonts w:hint="eastAsia" w:ascii="新宋体" w:hAnsi="新宋体" w:eastAsia="新宋体"/>
          <w:color w:val="auto"/>
          <w:szCs w:val="21"/>
        </w:rPr>
        <w:br w:type="textWrapping"/>
      </w:r>
      <w:r>
        <w:rPr>
          <w:rFonts w:hint="eastAsia" w:ascii="新宋体" w:hAnsi="新宋体" w:eastAsia="新宋体"/>
          <w:color w:val="auto"/>
          <w:szCs w:val="21"/>
        </w:rPr>
        <w:br w:type="textWrapping"/>
      </w:r>
      <w:r>
        <w:rPr>
          <w:rFonts w:hint="eastAsia" w:ascii="新宋体" w:hAnsi="新宋体" w:eastAsia="新宋体"/>
          <w:color w:val="auto"/>
          <w:szCs w:val="21"/>
        </w:rPr>
        <w:br w:type="textWrapping"/>
      </w:r>
      <w:r>
        <w:rPr>
          <w:rFonts w:hint="eastAsia" w:ascii="新宋体" w:hAnsi="新宋体" w:eastAsia="新宋体"/>
          <w:color w:val="auto"/>
          <w:szCs w:val="21"/>
        </w:rPr>
        <w:br w:type="textWrapping"/>
      </w:r>
      <w:r>
        <w:rPr>
          <w:rFonts w:hint="eastAsia" w:ascii="新宋体" w:hAnsi="新宋体" w:eastAsia="新宋体"/>
          <w:color w:val="auto"/>
          <w:szCs w:val="21"/>
        </w:rPr>
        <w:br w:type="textWrapping"/>
      </w:r>
      <w:r>
        <w:rPr>
          <w:rFonts w:hint="eastAsia" w:ascii="新宋体" w:hAnsi="新宋体" w:eastAsia="新宋体"/>
          <w:color w:val="auto"/>
          <w:szCs w:val="21"/>
        </w:rPr>
        <w:br w:type="textWrapping"/>
      </w:r>
      <w:r>
        <w:rPr>
          <w:rFonts w:hint="eastAsia" w:ascii="新宋体" w:hAnsi="新宋体" w:eastAsia="新宋体"/>
          <w:color w:val="auto"/>
          <w:szCs w:val="21"/>
        </w:rPr>
        <w:br w:type="textWrapping"/>
      </w:r>
      <w:r>
        <w:rPr>
          <w:rFonts w:hint="eastAsia" w:ascii="新宋体" w:hAnsi="新宋体" w:eastAsia="新宋体"/>
          <w:color w:val="auto"/>
          <w:szCs w:val="21"/>
        </w:rPr>
        <w:br w:type="textWrapping"/>
      </w:r>
      <w:r>
        <w:rPr>
          <w:rFonts w:hint="eastAsia" w:ascii="新宋体" w:hAnsi="新宋体" w:eastAsia="新宋体"/>
          <w:color w:val="auto"/>
          <w:szCs w:val="21"/>
        </w:rPr>
        <w:br w:type="textWrapping"/>
      </w:r>
      <w:r>
        <w:rPr>
          <w:rFonts w:hint="eastAsia" w:ascii="新宋体" w:hAnsi="新宋体" w:eastAsia="新宋体"/>
          <w:color w:val="auto"/>
          <w:szCs w:val="21"/>
        </w:rPr>
        <w:br w:type="textWrapping"/>
      </w:r>
      <w:r>
        <w:rPr>
          <w:rFonts w:hint="eastAsia" w:ascii="新宋体" w:hAnsi="新宋体" w:eastAsia="新宋体"/>
          <w:color w:val="auto"/>
          <w:szCs w:val="21"/>
        </w:rPr>
        <w:br w:type="textWrapping"/>
      </w:r>
      <w:bookmarkStart w:id="34" w:name="_GoBack"/>
      <w:bookmarkEnd w:id="34"/>
      <w:r>
        <w:rPr>
          <w:rFonts w:hint="eastAsia" w:ascii="新宋体" w:hAnsi="新宋体" w:eastAsia="新宋体"/>
          <w:color w:val="auto"/>
          <w:szCs w:val="21"/>
        </w:rPr>
        <w:br w:type="textWrapping"/>
      </w:r>
      <w:r>
        <w:rPr>
          <w:rFonts w:hint="eastAsia" w:ascii="新宋体" w:hAnsi="新宋体" w:eastAsia="新宋体"/>
          <w:color w:val="auto"/>
          <w:szCs w:val="21"/>
        </w:rPr>
        <w:br w:type="textWrapping"/>
      </w:r>
      <w:r>
        <w:rPr>
          <w:rFonts w:hint="eastAsia" w:ascii="新宋体" w:hAnsi="新宋体" w:eastAsia="新宋体"/>
          <w:color w:val="auto"/>
          <w:szCs w:val="21"/>
        </w:rPr>
        <w:br w:type="textWrapping"/>
      </w:r>
      <w:r>
        <w:rPr>
          <w:rFonts w:hint="eastAsia" w:ascii="新宋体" w:hAnsi="新宋体" w:eastAsia="新宋体"/>
          <w:color w:val="auto"/>
          <w:szCs w:val="21"/>
        </w:rPr>
        <w:br w:type="textWrapping"/>
      </w:r>
      <w:r>
        <w:rPr>
          <w:rFonts w:hint="eastAsia" w:ascii="新宋体" w:hAnsi="新宋体" w:eastAsia="新宋体"/>
          <w:color w:val="auto"/>
          <w:szCs w:val="21"/>
        </w:rPr>
        <w:br w:type="textWrapping"/>
      </w:r>
      <w:r>
        <w:rPr>
          <w:rFonts w:hint="eastAsia" w:ascii="新宋体" w:hAnsi="新宋体" w:eastAsia="新宋体"/>
          <w:color w:val="auto"/>
          <w:szCs w:val="21"/>
        </w:rPr>
        <w:br w:type="textWrapping"/>
      </w:r>
      <w:r>
        <w:rPr>
          <w:rFonts w:hint="eastAsia" w:ascii="新宋体" w:hAnsi="新宋体" w:eastAsia="新宋体"/>
          <w:color w:val="auto"/>
          <w:szCs w:val="21"/>
        </w:rPr>
        <w:br w:type="textWrapping"/>
      </w:r>
      <w:r>
        <w:rPr>
          <w:rFonts w:hint="eastAsia" w:ascii="新宋体" w:hAnsi="新宋体" w:eastAsia="新宋体"/>
          <w:color w:val="auto"/>
          <w:szCs w:val="21"/>
        </w:rPr>
        <w:br w:type="textWrapping"/>
      </w:r>
      <w:r>
        <w:rPr>
          <w:rFonts w:hint="eastAsia" w:ascii="新宋体" w:hAnsi="新宋体" w:eastAsia="新宋体"/>
          <w:color w:val="auto"/>
          <w:szCs w:val="21"/>
        </w:rPr>
        <w:br w:type="textWrapping"/>
      </w:r>
      <w:r>
        <w:rPr>
          <w:rFonts w:hint="eastAsia" w:ascii="新宋体" w:hAnsi="新宋体" w:eastAsia="新宋体"/>
          <w:color w:val="auto"/>
          <w:szCs w:val="21"/>
        </w:rPr>
        <w:br w:type="textWrapping"/>
      </w:r>
      <w:r>
        <w:rPr>
          <w:rFonts w:hint="eastAsia" w:ascii="新宋体" w:hAnsi="新宋体" w:eastAsia="新宋体"/>
          <w:color w:val="auto"/>
          <w:szCs w:val="21"/>
        </w:rPr>
        <w:br w:type="textWrapping"/>
      </w:r>
      <w:r>
        <w:rPr>
          <w:rFonts w:hint="eastAsia" w:ascii="新宋体" w:hAnsi="新宋体" w:eastAsia="新宋体"/>
          <w:color w:val="auto"/>
          <w:szCs w:val="21"/>
        </w:rPr>
        <w:br w:type="textWrapping"/>
      </w:r>
    </w:p>
    <w:p>
      <w:pPr>
        <w:spacing w:line="360" w:lineRule="auto"/>
        <w:ind w:firstLine="405"/>
        <w:rPr>
          <w:rFonts w:ascii="新宋体" w:hAnsi="新宋体" w:eastAsia="新宋体"/>
          <w:color w:val="auto"/>
          <w:szCs w:val="21"/>
        </w:rPr>
      </w:pPr>
    </w:p>
    <w:p>
      <w:pPr>
        <w:spacing w:line="360" w:lineRule="auto"/>
        <w:rPr>
          <w:rFonts w:ascii="新宋体" w:hAnsi="新宋体" w:eastAsia="新宋体"/>
          <w:color w:val="auto"/>
          <w:szCs w:val="21"/>
        </w:rPr>
      </w:pPr>
    </w:p>
    <w:p>
      <w:pPr>
        <w:pStyle w:val="6"/>
        <w:spacing w:line="360" w:lineRule="auto"/>
        <w:rPr>
          <w:rFonts w:ascii="新宋体" w:hAnsi="新宋体" w:eastAsia="新宋体"/>
          <w:color w:val="auto"/>
          <w:kern w:val="2"/>
          <w:sz w:val="21"/>
          <w:szCs w:val="21"/>
        </w:rPr>
      </w:pPr>
      <w:r>
        <w:rPr>
          <w:rFonts w:hint="eastAsia" w:ascii="新宋体" w:hAnsi="新宋体" w:eastAsia="新宋体"/>
          <w:color w:val="auto"/>
          <w:kern w:val="2"/>
          <w:sz w:val="21"/>
          <w:szCs w:val="21"/>
        </w:rPr>
        <w:br w:type="textWrapping"/>
      </w:r>
      <w:r>
        <w:rPr>
          <w:rFonts w:hint="eastAsia" w:ascii="新宋体" w:hAnsi="新宋体" w:eastAsia="新宋体"/>
          <w:color w:val="auto"/>
          <w:kern w:val="2"/>
          <w:sz w:val="21"/>
          <w:szCs w:val="21"/>
        </w:rPr>
        <w:t>第三章</w:t>
      </w:r>
      <w:r>
        <w:rPr>
          <w:rFonts w:ascii="新宋体" w:hAnsi="新宋体" w:eastAsia="新宋体"/>
          <w:color w:val="auto"/>
          <w:kern w:val="2"/>
          <w:sz w:val="21"/>
          <w:szCs w:val="21"/>
        </w:rPr>
        <w:t xml:space="preserve"> </w:t>
      </w:r>
      <w:r>
        <w:rPr>
          <w:rFonts w:hint="eastAsia" w:ascii="新宋体" w:hAnsi="新宋体" w:eastAsia="新宋体"/>
          <w:color w:val="auto"/>
          <w:kern w:val="2"/>
          <w:sz w:val="21"/>
          <w:szCs w:val="21"/>
        </w:rPr>
        <w:t xml:space="preserve"> 投标文件格式、附件</w:t>
      </w:r>
    </w:p>
    <w:p>
      <w:pPr>
        <w:spacing w:line="360" w:lineRule="auto"/>
        <w:rPr>
          <w:rStyle w:val="58"/>
          <w:rFonts w:ascii="新宋体" w:hAnsi="新宋体" w:eastAsia="新宋体"/>
          <w:color w:val="auto"/>
          <w:sz w:val="21"/>
          <w:szCs w:val="21"/>
        </w:rPr>
      </w:pPr>
      <w:r>
        <w:rPr>
          <w:rStyle w:val="58"/>
          <w:rFonts w:hint="eastAsia" w:ascii="新宋体" w:hAnsi="新宋体" w:eastAsia="新宋体"/>
          <w:color w:val="auto"/>
          <w:sz w:val="21"/>
          <w:szCs w:val="21"/>
        </w:rPr>
        <w:t>特别提醒：</w:t>
      </w:r>
    </w:p>
    <w:p>
      <w:pPr>
        <w:spacing w:line="360" w:lineRule="auto"/>
        <w:ind w:firstLine="420" w:firstLineChars="200"/>
        <w:rPr>
          <w:rFonts w:ascii="新宋体" w:hAnsi="新宋体" w:eastAsia="新宋体"/>
          <w:color w:val="auto"/>
          <w:szCs w:val="21"/>
        </w:rPr>
      </w:pPr>
      <w:r>
        <w:rPr>
          <w:rFonts w:hint="eastAsia" w:ascii="新宋体" w:hAnsi="新宋体" w:eastAsia="新宋体"/>
          <w:color w:val="auto"/>
          <w:szCs w:val="21"/>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spacing w:line="360" w:lineRule="auto"/>
        <w:rPr>
          <w:rFonts w:ascii="新宋体" w:hAnsi="新宋体" w:eastAsia="新宋体"/>
          <w:color w:val="auto"/>
          <w:szCs w:val="21"/>
        </w:rPr>
      </w:pPr>
      <w:r>
        <w:rPr>
          <w:rFonts w:hint="eastAsia" w:ascii="新宋体" w:hAnsi="新宋体" w:eastAsia="新宋体"/>
          <w:color w:val="auto"/>
          <w:szCs w:val="21"/>
        </w:rPr>
        <w:t xml:space="preserve">    投标文件正文（信息公开部分）必须编制于“投标书目录”部分，投标文件附件（非信息公开部分）必须编制于“投标书附件”部分，如下图所示。</w:t>
      </w:r>
    </w:p>
    <w:p>
      <w:pPr>
        <w:widowControl/>
        <w:jc w:val="left"/>
        <w:rPr>
          <w:rFonts w:ascii="宋体" w:hAnsi="宋体" w:cs="宋体"/>
          <w:color w:val="auto"/>
          <w:kern w:val="0"/>
          <w:sz w:val="24"/>
        </w:rPr>
      </w:pPr>
      <w:r>
        <w:rPr>
          <w:rFonts w:ascii="宋体" w:hAnsi="宋体" w:cs="宋体"/>
          <w:color w:val="auto"/>
          <w:kern w:val="0"/>
          <w:sz w:val="24"/>
        </w:rPr>
        <w:drawing>
          <wp:inline distT="0" distB="0" distL="0" distR="0">
            <wp:extent cx="4933950" cy="5172075"/>
            <wp:effectExtent l="19050" t="0" r="0" b="0"/>
            <wp:docPr id="11" name="图片 11" descr="C:\Users\Administrator\Documents\Tencent Files\9571728\Image\C2C\F9)3IDR8GS@SBU}%$MKJ18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ocuments\Tencent Files\9571728\Image\C2C\F9)3IDR8GS@SBU}%$MKJ18W.jpg"/>
                    <pic:cNvPicPr>
                      <a:picLocks noChangeAspect="1" noChangeArrowheads="1"/>
                    </pic:cNvPicPr>
                  </pic:nvPicPr>
                  <pic:blipFill>
                    <a:blip r:embed="rId7" cstate="print"/>
                    <a:srcRect/>
                    <a:stretch>
                      <a:fillRect/>
                    </a:stretch>
                  </pic:blipFill>
                  <pic:spPr>
                    <a:xfrm>
                      <a:off x="0" y="0"/>
                      <a:ext cx="4933950" cy="5172075"/>
                    </a:xfrm>
                    <a:prstGeom prst="rect">
                      <a:avLst/>
                    </a:prstGeom>
                    <a:noFill/>
                    <a:ln w="9525">
                      <a:noFill/>
                      <a:miter lim="800000"/>
                      <a:headEnd/>
                      <a:tailEnd/>
                    </a:ln>
                  </pic:spPr>
                </pic:pic>
              </a:graphicData>
            </a:graphic>
          </wp:inline>
        </w:drawing>
      </w:r>
    </w:p>
    <w:p>
      <w:pPr>
        <w:rPr>
          <w:rFonts w:ascii="仿宋_GB2312" w:eastAsia="仿宋_GB2312"/>
          <w:color w:val="auto"/>
          <w:sz w:val="24"/>
        </w:rPr>
      </w:pPr>
    </w:p>
    <w:p>
      <w:pPr>
        <w:jc w:val="center"/>
        <w:rPr>
          <w:rFonts w:ascii="仿宋_GB2312" w:eastAsia="仿宋_GB2312"/>
          <w:color w:val="auto"/>
          <w:sz w:val="24"/>
        </w:rPr>
      </w:pPr>
    </w:p>
    <w:p>
      <w:pPr>
        <w:spacing w:line="360" w:lineRule="auto"/>
        <w:ind w:firstLine="420" w:firstLineChars="200"/>
        <w:rPr>
          <w:rFonts w:ascii="新宋体" w:hAnsi="新宋体" w:eastAsia="新宋体"/>
          <w:color w:val="auto"/>
          <w:szCs w:val="21"/>
        </w:rPr>
      </w:pPr>
      <w:r>
        <w:rPr>
          <w:rFonts w:hint="eastAsia" w:ascii="新宋体" w:hAnsi="新宋体" w:eastAsia="新宋体"/>
          <w:color w:val="auto"/>
          <w:szCs w:val="21"/>
        </w:rPr>
        <w:t>我中心公布投标文件正文（信息公开部分）时为计算机截取信息自动公布，如投标人误将涉及个人隐私的信息放入投标文件正文，相关后果由投标人自负；如投标人将必须放于投标文件正文（信息公开部分）的内容放入投标文件附件（非信息公开部分）以回避信息公开，将作投标无效处理。</w:t>
      </w:r>
    </w:p>
    <w:p>
      <w:pPr>
        <w:spacing w:line="360" w:lineRule="auto"/>
        <w:ind w:firstLine="422" w:firstLineChars="200"/>
        <w:rPr>
          <w:rFonts w:ascii="新宋体" w:hAnsi="新宋体" w:eastAsia="新宋体"/>
          <w:b/>
          <w:color w:val="auto"/>
          <w:szCs w:val="21"/>
        </w:rPr>
      </w:pPr>
    </w:p>
    <w:p>
      <w:pPr>
        <w:spacing w:line="360" w:lineRule="auto"/>
        <w:ind w:firstLine="420" w:firstLineChars="200"/>
        <w:rPr>
          <w:rFonts w:ascii="新宋体" w:hAnsi="新宋体" w:eastAsia="新宋体"/>
          <w:color w:val="auto"/>
          <w:szCs w:val="21"/>
        </w:rPr>
      </w:pPr>
      <w:r>
        <w:rPr>
          <w:rFonts w:hint="eastAsia" w:ascii="新宋体" w:hAnsi="新宋体" w:eastAsia="新宋体"/>
          <w:color w:val="auto"/>
          <w:szCs w:val="21"/>
        </w:rPr>
        <w:t>各投标供应商：</w:t>
      </w:r>
    </w:p>
    <w:p>
      <w:pPr>
        <w:spacing w:line="360" w:lineRule="auto"/>
        <w:ind w:firstLine="420" w:firstLineChars="200"/>
        <w:rPr>
          <w:rFonts w:ascii="新宋体" w:hAnsi="新宋体" w:eastAsia="新宋体"/>
          <w:color w:val="auto"/>
          <w:szCs w:val="21"/>
        </w:rPr>
      </w:pPr>
      <w:r>
        <w:rPr>
          <w:rFonts w:hint="eastAsia" w:ascii="新宋体" w:hAnsi="新宋体" w:eastAsia="新宋体"/>
          <w:color w:val="auto"/>
          <w:szCs w:val="21"/>
        </w:rPr>
        <w:t>根据《中华人民共和国政府采购法》及《深圳经济特区政府采购条例》有关规定，为增强各供应商诚信守法、公平竞争意识，规范各供应商投标行为，有效遏制投标供应商在政府采购活动中的串标围标、造假等不诚信行为，促进我市政府采购市场诚信体系建设，确保我市政府采购工作公开、公平和公正，深圳市政府采购中心将依法依规对如下投标信息予以公示，望各投标供应商给予配合，履行好自身的权益和义务。</w:t>
      </w:r>
    </w:p>
    <w:p>
      <w:pPr>
        <w:spacing w:line="360" w:lineRule="auto"/>
        <w:ind w:firstLine="420" w:firstLineChars="200"/>
        <w:rPr>
          <w:rFonts w:ascii="新宋体" w:hAnsi="新宋体" w:eastAsia="新宋体"/>
          <w:color w:val="auto"/>
          <w:szCs w:val="21"/>
        </w:rPr>
      </w:pPr>
      <w:r>
        <w:rPr>
          <w:rFonts w:hint="eastAsia" w:ascii="新宋体" w:hAnsi="新宋体" w:eastAsia="新宋体"/>
          <w:color w:val="auto"/>
          <w:szCs w:val="21"/>
        </w:rPr>
        <w:t>1．公示的内容。营业执照、资质证书、项目业绩、履约验收报告及评价、社保证明、设备发票、职称、各种证件（身份证除外）、货物的规格型号及配置参数等。</w:t>
      </w:r>
    </w:p>
    <w:p>
      <w:pPr>
        <w:spacing w:line="360" w:lineRule="auto"/>
        <w:ind w:firstLine="420" w:firstLineChars="200"/>
        <w:rPr>
          <w:rFonts w:ascii="新宋体" w:hAnsi="新宋体" w:eastAsia="新宋体"/>
          <w:color w:val="auto"/>
          <w:szCs w:val="21"/>
        </w:rPr>
      </w:pPr>
      <w:r>
        <w:rPr>
          <w:rFonts w:hint="eastAsia" w:ascii="新宋体" w:hAnsi="新宋体" w:eastAsia="新宋体"/>
          <w:color w:val="auto"/>
          <w:szCs w:val="21"/>
        </w:rPr>
        <w:t>2．公示时间。从2014年9月10日起，所有新公告的政府采购项目的投标供应商的投标文件都进行公示。公示时间有两次，具体是：</w:t>
      </w:r>
    </w:p>
    <w:p>
      <w:pPr>
        <w:spacing w:line="360" w:lineRule="auto"/>
        <w:ind w:firstLine="420" w:firstLineChars="200"/>
        <w:rPr>
          <w:rFonts w:ascii="新宋体" w:hAnsi="新宋体" w:eastAsia="新宋体"/>
          <w:color w:val="auto"/>
          <w:szCs w:val="21"/>
        </w:rPr>
      </w:pPr>
      <w:r>
        <w:rPr>
          <w:rFonts w:hint="eastAsia" w:ascii="新宋体" w:hAnsi="新宋体" w:eastAsia="新宋体"/>
          <w:color w:val="auto"/>
          <w:szCs w:val="21"/>
        </w:rPr>
        <w:t>第一次公示时间：评标环节。当项目开标评审开始后，所有投标供应商的投标文件有关信息将随开标一览表向所有参与的投标供应商进行公开；</w:t>
      </w:r>
    </w:p>
    <w:p>
      <w:pPr>
        <w:spacing w:line="360" w:lineRule="auto"/>
        <w:ind w:firstLine="420" w:firstLineChars="200"/>
        <w:rPr>
          <w:rFonts w:ascii="新宋体" w:hAnsi="新宋体" w:eastAsia="新宋体"/>
          <w:color w:val="auto"/>
          <w:szCs w:val="21"/>
        </w:rPr>
      </w:pPr>
      <w:r>
        <w:rPr>
          <w:rFonts w:hint="eastAsia" w:ascii="新宋体" w:hAnsi="新宋体" w:eastAsia="新宋体"/>
          <w:color w:val="auto"/>
          <w:szCs w:val="21"/>
        </w:rPr>
        <w:t>第二次公示时间：中标结果公布环节。当发布中标结果时，同时向社会公布参加该政府采购项目的投标供应商（包括中标和未中标供应商）的投标文件。</w:t>
      </w:r>
    </w:p>
    <w:p>
      <w:pPr>
        <w:spacing w:line="360" w:lineRule="auto"/>
        <w:ind w:firstLine="420" w:firstLineChars="200"/>
        <w:rPr>
          <w:rFonts w:ascii="新宋体" w:hAnsi="新宋体" w:eastAsia="新宋体"/>
          <w:color w:val="auto"/>
          <w:szCs w:val="21"/>
        </w:rPr>
      </w:pPr>
      <w:r>
        <w:rPr>
          <w:rFonts w:hint="eastAsia" w:ascii="新宋体" w:hAnsi="新宋体" w:eastAsia="新宋体"/>
          <w:color w:val="auto"/>
          <w:szCs w:val="21"/>
        </w:rPr>
        <w:t>3．履行职责并及时指出有造假的行为。各投标人有权对公示内容进行监督，在第一次信息公开后的90分钟内，向中心反馈质疑和举报有造假行为的供应商，具体操作：</w:t>
      </w:r>
    </w:p>
    <w:p>
      <w:pPr>
        <w:spacing w:line="360" w:lineRule="auto"/>
        <w:ind w:firstLine="420" w:firstLineChars="200"/>
        <w:rPr>
          <w:rFonts w:ascii="新宋体" w:hAnsi="新宋体" w:eastAsia="新宋体"/>
          <w:color w:val="auto"/>
          <w:szCs w:val="21"/>
        </w:rPr>
      </w:pPr>
      <w:r>
        <w:rPr>
          <w:rFonts w:hint="eastAsia" w:ascii="新宋体" w:hAnsi="新宋体" w:eastAsia="新宋体"/>
          <w:color w:val="auto"/>
          <w:szCs w:val="21"/>
        </w:rPr>
        <w:t>点击“我要举报”按键，系统即显示所有投标人相关内容，选择有造假的供应商，在公示内容上点击。该内容下框会有“√”显示，当选择完后，确认提交至市政府采购中心辅助评标系统。评标委员会将于开标后的90分钟后打开该系统，如显示有被举报的供应商，评标委员会即启动取证环节的相关工作，当取证完成，经确认该投标人有造假，则该供应商投标无效，同时将依规定予以处罚。反之，如该项目无任何举报信息，评标继续进行。</w:t>
      </w:r>
    </w:p>
    <w:p>
      <w:pPr>
        <w:spacing w:line="360" w:lineRule="auto"/>
        <w:ind w:firstLine="420" w:firstLineChars="200"/>
        <w:rPr>
          <w:rFonts w:ascii="新宋体" w:hAnsi="新宋体" w:eastAsia="新宋体"/>
          <w:color w:val="auto"/>
          <w:szCs w:val="21"/>
        </w:rPr>
      </w:pPr>
    </w:p>
    <w:p>
      <w:pPr>
        <w:spacing w:line="360" w:lineRule="auto"/>
        <w:ind w:firstLine="420" w:firstLineChars="200"/>
        <w:rPr>
          <w:rFonts w:ascii="新宋体" w:hAnsi="新宋体" w:eastAsia="新宋体"/>
          <w:color w:val="auto"/>
          <w:szCs w:val="21"/>
        </w:rPr>
      </w:pPr>
      <w:r>
        <w:rPr>
          <w:rFonts w:hint="eastAsia" w:ascii="新宋体" w:hAnsi="新宋体" w:eastAsia="新宋体"/>
          <w:color w:val="auto"/>
          <w:szCs w:val="21"/>
        </w:rPr>
        <w:t>本项目各投标供应商，应在开标后始终保持本项目联系人手机畅通。当开标时间超过90分钟后，市政府采购中心将视举报信息反馈情况会与您通话（所有通话内容将会录音），如有要求提交公示内容正本（原件）的，务必在通话后的120分钟内送达至市政府采购中心，以便评委现场查验。如不按时送达或拒送原件的，您的投标将视为投标响应不足，评标委员会将终止对该企业的标书评审，投标文件将视为弃标，评标中止；如查验确为造假，则投标无效，并视情况再作进一步处理。</w:t>
      </w:r>
    </w:p>
    <w:p>
      <w:pPr>
        <w:spacing w:line="360" w:lineRule="auto"/>
        <w:ind w:firstLine="420" w:firstLineChars="200"/>
        <w:rPr>
          <w:rFonts w:ascii="新宋体" w:hAnsi="新宋体" w:eastAsia="新宋体"/>
          <w:color w:val="auto"/>
          <w:szCs w:val="21"/>
        </w:rPr>
      </w:pPr>
      <w:r>
        <w:rPr>
          <w:rFonts w:hint="eastAsia" w:ascii="新宋体" w:hAnsi="新宋体" w:eastAsia="新宋体"/>
          <w:color w:val="auto"/>
          <w:szCs w:val="21"/>
        </w:rPr>
        <w:t>第二次中标供应商信息公示的质疑，按现规定和做法执行。</w:t>
      </w:r>
    </w:p>
    <w:p>
      <w:pPr>
        <w:spacing w:line="360" w:lineRule="auto"/>
        <w:ind w:firstLine="420" w:firstLineChars="200"/>
        <w:rPr>
          <w:rFonts w:ascii="新宋体" w:hAnsi="新宋体" w:eastAsia="新宋体"/>
          <w:color w:val="auto"/>
          <w:szCs w:val="21"/>
        </w:rPr>
      </w:pPr>
      <w:r>
        <w:rPr>
          <w:rFonts w:hint="eastAsia" w:ascii="新宋体" w:hAnsi="新宋体" w:eastAsia="新宋体"/>
          <w:color w:val="auto"/>
          <w:szCs w:val="21"/>
        </w:rPr>
        <w:t>望各供应商要珍惜本次投标机会，诚实、守信、依法、依规投标。</w:t>
      </w:r>
    </w:p>
    <w:p>
      <w:pPr>
        <w:spacing w:line="360" w:lineRule="auto"/>
        <w:rPr>
          <w:rFonts w:ascii="新宋体" w:hAnsi="新宋体" w:eastAsia="新宋体"/>
          <w:color w:val="auto"/>
          <w:szCs w:val="21"/>
        </w:rPr>
      </w:pPr>
    </w:p>
    <w:p>
      <w:pPr>
        <w:spacing w:line="360" w:lineRule="auto"/>
        <w:rPr>
          <w:rFonts w:ascii="新宋体" w:hAnsi="新宋体" w:eastAsia="新宋体"/>
          <w:color w:val="auto"/>
          <w:szCs w:val="21"/>
        </w:rPr>
      </w:pPr>
    </w:p>
    <w:p>
      <w:pPr>
        <w:spacing w:line="360" w:lineRule="auto"/>
        <w:rPr>
          <w:rFonts w:ascii="新宋体" w:hAnsi="新宋体" w:eastAsia="新宋体"/>
          <w:color w:val="auto"/>
          <w:szCs w:val="21"/>
        </w:rPr>
      </w:pPr>
    </w:p>
    <w:p>
      <w:pPr>
        <w:spacing w:line="360" w:lineRule="auto"/>
        <w:rPr>
          <w:rFonts w:ascii="新宋体" w:hAnsi="新宋体" w:eastAsia="新宋体"/>
          <w:color w:val="auto"/>
          <w:szCs w:val="21"/>
        </w:rPr>
      </w:pPr>
    </w:p>
    <w:p>
      <w:pPr>
        <w:spacing w:line="360" w:lineRule="auto"/>
        <w:rPr>
          <w:rStyle w:val="58"/>
          <w:rFonts w:ascii="新宋体" w:hAnsi="新宋体" w:eastAsia="新宋体"/>
          <w:color w:val="auto"/>
          <w:sz w:val="21"/>
          <w:szCs w:val="21"/>
        </w:rPr>
      </w:pPr>
      <w:r>
        <w:rPr>
          <w:rStyle w:val="58"/>
          <w:rFonts w:hint="eastAsia" w:ascii="新宋体" w:hAnsi="新宋体" w:eastAsia="新宋体"/>
          <w:color w:val="auto"/>
          <w:sz w:val="21"/>
          <w:szCs w:val="21"/>
        </w:rPr>
        <w:t>投标文件组成：</w:t>
      </w:r>
    </w:p>
    <w:p>
      <w:pPr>
        <w:spacing w:line="360" w:lineRule="auto"/>
        <w:ind w:firstLine="1050" w:firstLineChars="500"/>
        <w:rPr>
          <w:rFonts w:ascii="新宋体" w:hAnsi="新宋体" w:eastAsia="新宋体"/>
          <w:color w:val="auto"/>
          <w:szCs w:val="21"/>
        </w:rPr>
      </w:pPr>
      <w:r>
        <w:rPr>
          <w:rFonts w:hint="eastAsia" w:ascii="新宋体" w:hAnsi="新宋体" w:eastAsia="新宋体"/>
          <w:color w:val="auto"/>
          <w:szCs w:val="21"/>
        </w:rPr>
        <w:t>1.投标文件正文</w:t>
      </w:r>
      <w:r>
        <w:rPr>
          <w:rFonts w:hint="eastAsia" w:ascii="新宋体" w:hAnsi="新宋体" w:eastAsia="新宋体"/>
          <w:b/>
          <w:color w:val="auto"/>
          <w:szCs w:val="21"/>
        </w:rPr>
        <w:t>（信息公开部分）</w:t>
      </w:r>
      <w:r>
        <w:rPr>
          <w:rFonts w:hint="eastAsia" w:ascii="新宋体" w:hAnsi="新宋体" w:eastAsia="新宋体"/>
          <w:color w:val="auto"/>
          <w:szCs w:val="21"/>
        </w:rPr>
        <w:t>，主要包括以下内容：</w:t>
      </w:r>
    </w:p>
    <w:p>
      <w:pPr>
        <w:spacing w:line="360" w:lineRule="auto"/>
        <w:ind w:left="718" w:leftChars="342" w:firstLine="1417" w:firstLineChars="675"/>
        <w:rPr>
          <w:rFonts w:ascii="新宋体" w:hAnsi="新宋体" w:eastAsia="新宋体"/>
          <w:color w:val="auto"/>
          <w:szCs w:val="21"/>
        </w:rPr>
      </w:pPr>
      <w:r>
        <w:rPr>
          <w:rFonts w:hint="eastAsia" w:ascii="新宋体" w:hAnsi="新宋体" w:eastAsia="新宋体"/>
          <w:color w:val="auto"/>
          <w:szCs w:val="21"/>
        </w:rPr>
        <w:t>（1）投标函</w:t>
      </w:r>
    </w:p>
    <w:p>
      <w:pPr>
        <w:spacing w:line="360" w:lineRule="auto"/>
        <w:ind w:left="718" w:leftChars="342" w:firstLine="1417" w:firstLineChars="675"/>
        <w:rPr>
          <w:rFonts w:ascii="新宋体" w:hAnsi="新宋体" w:eastAsia="新宋体"/>
          <w:color w:val="auto"/>
          <w:szCs w:val="21"/>
        </w:rPr>
      </w:pPr>
      <w:r>
        <w:rPr>
          <w:rFonts w:hint="eastAsia" w:ascii="新宋体" w:hAnsi="新宋体" w:eastAsia="新宋体"/>
          <w:color w:val="auto"/>
          <w:szCs w:val="21"/>
        </w:rPr>
        <w:t>（2）政府采购投标及履约承诺函</w:t>
      </w:r>
    </w:p>
    <w:p>
      <w:pPr>
        <w:spacing w:line="360" w:lineRule="auto"/>
        <w:ind w:left="718" w:leftChars="342" w:firstLine="1417" w:firstLineChars="675"/>
        <w:rPr>
          <w:rFonts w:ascii="新宋体" w:hAnsi="新宋体" w:eastAsia="新宋体"/>
          <w:color w:val="auto"/>
          <w:szCs w:val="21"/>
        </w:rPr>
      </w:pPr>
      <w:r>
        <w:rPr>
          <w:rFonts w:hint="eastAsia" w:ascii="新宋体" w:hAnsi="新宋体" w:eastAsia="新宋体"/>
          <w:color w:val="auto"/>
          <w:szCs w:val="21"/>
        </w:rPr>
        <w:t>（3）分项报价清单</w:t>
      </w:r>
    </w:p>
    <w:p>
      <w:pPr>
        <w:spacing w:line="360" w:lineRule="auto"/>
        <w:ind w:left="2692" w:leftChars="1017" w:hanging="556" w:hangingChars="265"/>
        <w:rPr>
          <w:rFonts w:ascii="新宋体" w:hAnsi="新宋体" w:eastAsia="新宋体"/>
          <w:color w:val="auto"/>
          <w:szCs w:val="21"/>
        </w:rPr>
      </w:pPr>
      <w:r>
        <w:rPr>
          <w:rFonts w:hint="eastAsia" w:ascii="新宋体" w:hAnsi="新宋体" w:eastAsia="新宋体"/>
          <w:color w:val="auto"/>
          <w:szCs w:val="21"/>
        </w:rPr>
        <w:t>（4）投标人情况介绍</w:t>
      </w:r>
    </w:p>
    <w:p>
      <w:pPr>
        <w:spacing w:line="360" w:lineRule="auto"/>
        <w:ind w:left="718" w:leftChars="342" w:firstLine="1417" w:firstLineChars="675"/>
        <w:rPr>
          <w:rFonts w:ascii="新宋体" w:hAnsi="新宋体" w:eastAsia="新宋体"/>
          <w:color w:val="auto"/>
          <w:szCs w:val="21"/>
        </w:rPr>
      </w:pPr>
      <w:r>
        <w:rPr>
          <w:rFonts w:hint="eastAsia" w:ascii="新宋体" w:hAnsi="新宋体" w:eastAsia="新宋体"/>
          <w:color w:val="auto"/>
          <w:szCs w:val="21"/>
        </w:rPr>
        <w:t>（5）货物说明一览表</w:t>
      </w:r>
    </w:p>
    <w:p>
      <w:pPr>
        <w:spacing w:line="360" w:lineRule="auto"/>
        <w:ind w:left="718" w:leftChars="342" w:firstLine="1417" w:firstLineChars="675"/>
        <w:rPr>
          <w:rFonts w:ascii="新宋体" w:hAnsi="新宋体" w:eastAsia="新宋体"/>
          <w:color w:val="auto"/>
          <w:szCs w:val="21"/>
        </w:rPr>
      </w:pPr>
      <w:r>
        <w:rPr>
          <w:rFonts w:hint="eastAsia" w:ascii="新宋体" w:hAnsi="新宋体" w:eastAsia="新宋体"/>
          <w:color w:val="auto"/>
          <w:szCs w:val="21"/>
        </w:rPr>
        <w:t>（6）技术规格偏离表</w:t>
      </w:r>
    </w:p>
    <w:p>
      <w:pPr>
        <w:spacing w:line="360" w:lineRule="auto"/>
        <w:ind w:left="718" w:leftChars="342" w:firstLine="1417" w:firstLineChars="675"/>
        <w:rPr>
          <w:rFonts w:ascii="新宋体" w:hAnsi="新宋体" w:eastAsia="新宋体"/>
          <w:color w:val="auto"/>
          <w:szCs w:val="21"/>
        </w:rPr>
      </w:pPr>
      <w:r>
        <w:rPr>
          <w:rFonts w:hint="eastAsia" w:ascii="新宋体" w:hAnsi="新宋体" w:eastAsia="新宋体"/>
          <w:color w:val="auto"/>
          <w:szCs w:val="21"/>
        </w:rPr>
        <w:t>（7）商务需求偏离表</w:t>
      </w:r>
    </w:p>
    <w:p>
      <w:pPr>
        <w:spacing w:line="360" w:lineRule="auto"/>
        <w:ind w:left="718" w:leftChars="342" w:firstLine="1417" w:firstLineChars="675"/>
        <w:rPr>
          <w:rFonts w:ascii="新宋体" w:hAnsi="新宋体" w:eastAsia="新宋体"/>
          <w:color w:val="auto"/>
          <w:szCs w:val="21"/>
        </w:rPr>
      </w:pPr>
      <w:r>
        <w:rPr>
          <w:rFonts w:hint="eastAsia" w:ascii="新宋体" w:hAnsi="新宋体" w:eastAsia="新宋体"/>
          <w:color w:val="auto"/>
          <w:szCs w:val="21"/>
        </w:rPr>
        <w:t>（8）投标人认为需要加以说明的其他内容</w:t>
      </w:r>
    </w:p>
    <w:p>
      <w:pPr>
        <w:spacing w:line="360" w:lineRule="auto"/>
        <w:ind w:left="718" w:leftChars="342" w:firstLine="1417" w:firstLineChars="675"/>
        <w:rPr>
          <w:rFonts w:ascii="新宋体" w:hAnsi="新宋体" w:eastAsia="新宋体"/>
          <w:color w:val="auto"/>
          <w:szCs w:val="21"/>
        </w:rPr>
      </w:pPr>
    </w:p>
    <w:p>
      <w:pPr>
        <w:spacing w:line="360" w:lineRule="auto"/>
        <w:ind w:firstLine="1050" w:firstLineChars="500"/>
        <w:rPr>
          <w:rFonts w:ascii="新宋体" w:hAnsi="新宋体" w:eastAsia="新宋体"/>
          <w:color w:val="auto"/>
          <w:szCs w:val="21"/>
        </w:rPr>
      </w:pPr>
      <w:r>
        <w:rPr>
          <w:rFonts w:hint="eastAsia" w:ascii="新宋体" w:hAnsi="新宋体" w:eastAsia="新宋体"/>
          <w:color w:val="auto"/>
          <w:szCs w:val="21"/>
        </w:rPr>
        <w:t>2.投标文件附件</w:t>
      </w:r>
      <w:r>
        <w:rPr>
          <w:rFonts w:hint="eastAsia" w:ascii="新宋体" w:hAnsi="新宋体" w:eastAsia="新宋体"/>
          <w:b/>
          <w:color w:val="auto"/>
          <w:szCs w:val="21"/>
        </w:rPr>
        <w:t>（信息不公开部分）</w:t>
      </w:r>
      <w:r>
        <w:rPr>
          <w:rFonts w:hint="eastAsia" w:ascii="新宋体" w:hAnsi="新宋体" w:eastAsia="新宋体"/>
          <w:color w:val="auto"/>
          <w:szCs w:val="21"/>
        </w:rPr>
        <w:t>：主要包括以下内容：</w:t>
      </w:r>
    </w:p>
    <w:p>
      <w:pPr>
        <w:spacing w:line="360" w:lineRule="auto"/>
        <w:ind w:firstLine="2100" w:firstLineChars="1000"/>
        <w:rPr>
          <w:rFonts w:ascii="新宋体" w:hAnsi="新宋体" w:eastAsia="新宋体"/>
          <w:color w:val="auto"/>
          <w:szCs w:val="21"/>
        </w:rPr>
      </w:pPr>
      <w:r>
        <w:rPr>
          <w:rFonts w:hint="eastAsia" w:ascii="新宋体" w:hAnsi="新宋体" w:eastAsia="新宋体"/>
          <w:color w:val="auto"/>
          <w:szCs w:val="21"/>
        </w:rPr>
        <w:t>（1）法定代表人证明书</w:t>
      </w:r>
    </w:p>
    <w:p>
      <w:pPr>
        <w:spacing w:line="360" w:lineRule="auto"/>
        <w:ind w:left="718" w:leftChars="342" w:firstLine="1417" w:firstLineChars="675"/>
        <w:rPr>
          <w:rFonts w:ascii="新宋体" w:hAnsi="新宋体" w:eastAsia="新宋体"/>
          <w:szCs w:val="21"/>
        </w:rPr>
      </w:pPr>
      <w:r>
        <w:rPr>
          <w:rFonts w:hint="eastAsia" w:ascii="新宋体" w:hAnsi="新宋体" w:eastAsia="新宋体"/>
          <w:szCs w:val="21"/>
        </w:rPr>
        <w:t>（2）投标文件签署授权委托书</w:t>
      </w:r>
    </w:p>
    <w:p>
      <w:pPr>
        <w:spacing w:line="360" w:lineRule="auto"/>
        <w:ind w:left="718" w:leftChars="342" w:firstLine="1417" w:firstLineChars="675"/>
        <w:rPr>
          <w:rFonts w:ascii="新宋体" w:hAnsi="新宋体" w:eastAsia="新宋体"/>
          <w:szCs w:val="21"/>
        </w:rPr>
      </w:pPr>
      <w:r>
        <w:rPr>
          <w:rFonts w:hint="eastAsia" w:ascii="新宋体" w:hAnsi="新宋体" w:eastAsia="新宋体"/>
          <w:szCs w:val="21"/>
        </w:rPr>
        <w:t>（3）实质性条款响应情况表</w:t>
      </w:r>
    </w:p>
    <w:p>
      <w:pPr>
        <w:spacing w:line="360" w:lineRule="auto"/>
        <w:ind w:left="718" w:leftChars="342" w:firstLine="1417" w:firstLineChars="675"/>
        <w:rPr>
          <w:rFonts w:ascii="新宋体" w:hAnsi="新宋体" w:eastAsia="新宋体"/>
          <w:szCs w:val="21"/>
        </w:rPr>
      </w:pPr>
      <w:r>
        <w:rPr>
          <w:rFonts w:hint="eastAsia" w:ascii="新宋体" w:hAnsi="新宋体" w:eastAsia="新宋体"/>
          <w:szCs w:val="21"/>
        </w:rPr>
        <w:t>（4）项目实施方案</w:t>
      </w:r>
    </w:p>
    <w:p>
      <w:pPr>
        <w:spacing w:line="360" w:lineRule="auto"/>
        <w:ind w:left="718" w:leftChars="342" w:firstLine="1417" w:firstLineChars="675"/>
        <w:rPr>
          <w:rFonts w:ascii="新宋体" w:hAnsi="新宋体" w:eastAsia="新宋体"/>
          <w:szCs w:val="21"/>
        </w:rPr>
      </w:pPr>
      <w:r>
        <w:rPr>
          <w:rFonts w:hint="eastAsia" w:ascii="新宋体" w:hAnsi="新宋体" w:eastAsia="新宋体"/>
          <w:szCs w:val="21"/>
        </w:rPr>
        <w:t>（5）售后服务方案</w:t>
      </w:r>
    </w:p>
    <w:p>
      <w:pPr>
        <w:ind w:left="718" w:leftChars="342" w:firstLine="1417" w:firstLineChars="675"/>
        <w:rPr>
          <w:szCs w:val="21"/>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spacing w:line="360" w:lineRule="auto"/>
        <w:jc w:val="center"/>
        <w:outlineLvl w:val="1"/>
        <w:rPr>
          <w:rFonts w:ascii="新宋体" w:hAnsi="新宋体" w:eastAsia="新宋体"/>
          <w:b/>
          <w:color w:val="FF0000"/>
          <w:szCs w:val="21"/>
        </w:rPr>
      </w:pPr>
      <w:r>
        <w:rPr>
          <w:rFonts w:hint="eastAsia" w:ascii="新宋体" w:hAnsi="新宋体" w:eastAsia="新宋体"/>
          <w:b/>
          <w:color w:val="FF0000"/>
          <w:szCs w:val="21"/>
        </w:rPr>
        <w:t>温馨提示</w:t>
      </w:r>
    </w:p>
    <w:p>
      <w:pPr>
        <w:spacing w:line="360" w:lineRule="auto"/>
        <w:rPr>
          <w:rFonts w:ascii="新宋体" w:hAnsi="新宋体" w:eastAsia="新宋体"/>
          <w:szCs w:val="21"/>
        </w:rPr>
      </w:pPr>
    </w:p>
    <w:p>
      <w:pPr>
        <w:spacing w:line="360" w:lineRule="auto"/>
        <w:ind w:firstLine="420" w:firstLineChars="200"/>
        <w:rPr>
          <w:rFonts w:ascii="新宋体" w:hAnsi="新宋体" w:eastAsia="新宋体"/>
          <w:color w:val="FF0000"/>
          <w:szCs w:val="21"/>
        </w:rPr>
      </w:pPr>
      <w:r>
        <w:rPr>
          <w:rFonts w:hint="eastAsia" w:ascii="新宋体" w:hAnsi="新宋体" w:eastAsia="新宋体"/>
          <w:color w:val="FF0000"/>
          <w:szCs w:val="21"/>
        </w:rPr>
        <w:t>投标文件中存在以下情况的，将会导致投标无效：</w:t>
      </w:r>
    </w:p>
    <w:p>
      <w:pPr>
        <w:spacing w:line="360" w:lineRule="auto"/>
        <w:ind w:firstLine="420" w:firstLineChars="200"/>
        <w:rPr>
          <w:rFonts w:ascii="新宋体" w:hAnsi="新宋体" w:eastAsia="新宋体"/>
          <w:color w:val="FF0000"/>
          <w:szCs w:val="21"/>
        </w:rPr>
      </w:pPr>
      <w:r>
        <w:rPr>
          <w:rFonts w:hint="eastAsia" w:ascii="新宋体" w:hAnsi="新宋体" w:eastAsia="新宋体"/>
          <w:color w:val="FF0000"/>
          <w:szCs w:val="21"/>
        </w:rPr>
        <w:t>1.未按投标人资格要求提供有效的营业执照或事业单位法人证扫描件、《政府采购投标及履约承诺函》声明、进口产品由设备制造商或授权的中国总代理签署的合法有效的保修维修承诺函、其他资格证明资料等；</w:t>
      </w:r>
    </w:p>
    <w:p>
      <w:pPr>
        <w:spacing w:line="360" w:lineRule="auto"/>
        <w:ind w:firstLine="420" w:firstLineChars="200"/>
        <w:rPr>
          <w:rFonts w:ascii="新宋体" w:hAnsi="新宋体" w:eastAsia="新宋体"/>
          <w:color w:val="FF0000"/>
          <w:szCs w:val="21"/>
        </w:rPr>
      </w:pPr>
      <w:r>
        <w:rPr>
          <w:rFonts w:hint="eastAsia" w:ascii="新宋体" w:hAnsi="新宋体" w:eastAsia="新宋体"/>
          <w:color w:val="FF0000"/>
          <w:szCs w:val="21"/>
        </w:rPr>
        <w:t>2.拒绝进口项目或允许部分进口项目的拒绝进口部分选用了进口产品；</w:t>
      </w:r>
    </w:p>
    <w:p>
      <w:pPr>
        <w:spacing w:line="360" w:lineRule="auto"/>
        <w:ind w:firstLine="420" w:firstLineChars="200"/>
        <w:rPr>
          <w:rFonts w:ascii="新宋体" w:hAnsi="新宋体" w:eastAsia="新宋体"/>
          <w:color w:val="FF0000"/>
          <w:szCs w:val="21"/>
        </w:rPr>
      </w:pPr>
      <w:r>
        <w:rPr>
          <w:rFonts w:hint="eastAsia" w:ascii="新宋体" w:hAnsi="新宋体" w:eastAsia="新宋体"/>
          <w:color w:val="FF0000"/>
          <w:szCs w:val="21"/>
        </w:rPr>
        <w:t>3.投标报价不符合要求，包括但不限于：投标总价或项目报价表中单个采购预算条目报价超过对应的财政预算限额、投标文件报价出现前后不一致且按照法定程序进行修正后投标人不确认的；</w:t>
      </w:r>
    </w:p>
    <w:p>
      <w:pPr>
        <w:spacing w:line="360" w:lineRule="auto"/>
        <w:ind w:firstLine="420" w:firstLineChars="200"/>
        <w:rPr>
          <w:rFonts w:ascii="新宋体" w:hAnsi="新宋体" w:eastAsia="新宋体"/>
          <w:color w:val="FF0000"/>
          <w:szCs w:val="21"/>
        </w:rPr>
      </w:pPr>
      <w:r>
        <w:rPr>
          <w:rFonts w:hint="eastAsia" w:ascii="新宋体" w:hAnsi="新宋体" w:eastAsia="新宋体"/>
          <w:color w:val="FF0000"/>
          <w:szCs w:val="21"/>
        </w:rPr>
        <w:t>4. 具体技术要求、商务需求偏离表中带“★”要求未填写偏离情况或说明、填写为负偏离、填写为正偏离但与评审委员会判定不一致，《技术规格偏离表》《商务需求偏离表》填写的“投标技术响应”与《具体技术要求》《商务需求》的“招标技术要求”“招标商务条款”存在填写不全的情况；</w:t>
      </w:r>
    </w:p>
    <w:p>
      <w:pPr>
        <w:spacing w:line="360" w:lineRule="auto"/>
        <w:ind w:firstLine="420" w:firstLineChars="200"/>
        <w:rPr>
          <w:rFonts w:ascii="新宋体" w:hAnsi="新宋体" w:eastAsia="新宋体"/>
          <w:color w:val="FF0000"/>
          <w:szCs w:val="21"/>
        </w:rPr>
      </w:pPr>
      <w:r>
        <w:rPr>
          <w:rFonts w:hint="eastAsia" w:ascii="新宋体" w:hAnsi="新宋体" w:eastAsia="新宋体"/>
          <w:color w:val="FF0000"/>
          <w:szCs w:val="21"/>
        </w:rPr>
        <w:t xml:space="preserve">5. 投标文件正文（信息公开部分）内容缺漏，包括但不限于：《投标函》中未填写项目编号或名称、《政府采购投标及履约承诺函》未署名投标人名称； </w:t>
      </w:r>
    </w:p>
    <w:p>
      <w:pPr>
        <w:spacing w:line="360" w:lineRule="auto"/>
        <w:ind w:firstLine="420" w:firstLineChars="200"/>
        <w:rPr>
          <w:rFonts w:ascii="新宋体" w:hAnsi="新宋体" w:eastAsia="新宋体"/>
          <w:color w:val="FF0000"/>
          <w:szCs w:val="21"/>
        </w:rPr>
      </w:pPr>
      <w:r>
        <w:rPr>
          <w:rFonts w:hint="eastAsia" w:ascii="新宋体" w:hAnsi="新宋体" w:eastAsia="新宋体"/>
          <w:color w:val="FF0000"/>
          <w:szCs w:val="21"/>
        </w:rPr>
        <w:t>6. 投标文件附件（信息不公开部分）内容缺漏，包括但不限于：未提供完整的法定代表人证明书（含法定代表人身份证正反两面扫描件）、投标文件签署授权委托书（含授权委托代理人身份证正反两面扫描件）；</w:t>
      </w:r>
    </w:p>
    <w:p>
      <w:pPr>
        <w:spacing w:line="360" w:lineRule="auto"/>
        <w:ind w:firstLine="420" w:firstLineChars="200"/>
        <w:rPr>
          <w:rFonts w:ascii="新宋体" w:hAnsi="新宋体" w:eastAsia="新宋体"/>
          <w:color w:val="FF0000"/>
          <w:szCs w:val="21"/>
        </w:rPr>
      </w:pPr>
      <w:r>
        <w:rPr>
          <w:rFonts w:hint="eastAsia" w:ascii="新宋体" w:hAnsi="新宋体" w:eastAsia="新宋体"/>
          <w:color w:val="FF0000"/>
          <w:szCs w:val="21"/>
        </w:rPr>
        <w:t>7.投标文件正文（信息公开部分）内容未放置于投标文件信息公开部分；</w:t>
      </w:r>
    </w:p>
    <w:p>
      <w:pPr>
        <w:spacing w:line="360" w:lineRule="auto"/>
        <w:ind w:firstLine="420" w:firstLineChars="200"/>
        <w:rPr>
          <w:rFonts w:ascii="新宋体" w:hAnsi="新宋体" w:eastAsia="新宋体"/>
          <w:color w:val="FF0000"/>
          <w:szCs w:val="21"/>
        </w:rPr>
      </w:pPr>
      <w:r>
        <w:rPr>
          <w:rFonts w:hint="eastAsia" w:ascii="新宋体" w:hAnsi="新宋体" w:eastAsia="新宋体"/>
          <w:color w:val="FF0000"/>
          <w:szCs w:val="21"/>
        </w:rPr>
        <w:t>8. 构成投标文件的暗标标书的任何地方出现投标人公司名称、人员姓名和投标人特有的标志及图案，具体包括投标人公司全称、简称、外文名称、特有logo及人员姓名；</w:t>
      </w: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outlineLvl w:val="1"/>
        <w:rPr>
          <w:rFonts w:ascii="宋体" w:hAnsi="宋体"/>
          <w:b/>
          <w:color w:val="FF0000"/>
          <w:sz w:val="28"/>
          <w:szCs w:val="28"/>
        </w:rPr>
      </w:pPr>
      <w:r>
        <w:rPr>
          <w:rFonts w:hint="eastAsia" w:ascii="宋体" w:hAnsi="宋体"/>
          <w:b/>
          <w:color w:val="FF0000"/>
          <w:sz w:val="28"/>
          <w:szCs w:val="28"/>
        </w:rPr>
        <w:t>投标文件正文（信息公开部分）</w:t>
      </w:r>
    </w:p>
    <w:p>
      <w:pPr>
        <w:pStyle w:val="4"/>
        <w:spacing w:line="360" w:lineRule="auto"/>
        <w:jc w:val="center"/>
        <w:rPr>
          <w:rFonts w:ascii="新宋体" w:hAnsi="新宋体" w:eastAsia="新宋体"/>
          <w:b w:val="0"/>
          <w:sz w:val="21"/>
          <w:szCs w:val="21"/>
        </w:rPr>
      </w:pPr>
      <w:r>
        <w:rPr>
          <w:rFonts w:hint="eastAsia" w:ascii="新宋体" w:hAnsi="新宋体" w:eastAsia="新宋体"/>
          <w:b w:val="0"/>
          <w:sz w:val="21"/>
          <w:szCs w:val="21"/>
        </w:rPr>
        <w:t>一、投标函</w:t>
      </w:r>
    </w:p>
    <w:p>
      <w:pPr>
        <w:spacing w:line="360" w:lineRule="auto"/>
        <w:rPr>
          <w:rFonts w:ascii="新宋体" w:hAnsi="新宋体" w:eastAsia="新宋体"/>
          <w:color w:val="FF0000"/>
          <w:szCs w:val="21"/>
        </w:rPr>
      </w:pPr>
      <w:r>
        <w:rPr>
          <w:rFonts w:hint="eastAsia" w:ascii="新宋体" w:hAnsi="新宋体" w:eastAsia="新宋体"/>
          <w:color w:val="FF0000"/>
          <w:szCs w:val="21"/>
        </w:rPr>
        <w:t>致：</w:t>
      </w:r>
      <w:r>
        <w:rPr>
          <w:rFonts w:hint="eastAsia" w:ascii="新宋体" w:hAnsi="新宋体" w:eastAsia="新宋体"/>
          <w:color w:val="FF0000"/>
          <w:szCs w:val="21"/>
          <w:u w:val="single"/>
        </w:rPr>
        <w:t xml:space="preserve">  </w:t>
      </w:r>
      <w:r>
        <w:rPr>
          <w:rFonts w:hint="eastAsia" w:ascii="新宋体" w:hAnsi="新宋体" w:eastAsia="新宋体" w:cs="宋体"/>
          <w:kern w:val="0"/>
          <w:szCs w:val="21"/>
          <w:u w:val="single"/>
        </w:rPr>
        <w:t>深圳市瑞凝信招标咨询有限公司</w:t>
      </w:r>
      <w:r>
        <w:rPr>
          <w:rFonts w:hint="eastAsia" w:ascii="新宋体" w:hAnsi="新宋体" w:eastAsia="新宋体"/>
          <w:color w:val="FF0000"/>
          <w:szCs w:val="21"/>
          <w:u w:val="single"/>
        </w:rPr>
        <w:t xml:space="preserve">  </w:t>
      </w:r>
    </w:p>
    <w:p>
      <w:pPr>
        <w:spacing w:after="120" w:afterLines="50" w:line="360" w:lineRule="auto"/>
        <w:ind w:firstLine="420" w:firstLineChars="200"/>
        <w:rPr>
          <w:rFonts w:ascii="新宋体" w:hAnsi="新宋体" w:eastAsia="新宋体"/>
          <w:szCs w:val="21"/>
        </w:rPr>
      </w:pPr>
      <w:r>
        <w:rPr>
          <w:rFonts w:hint="eastAsia" w:ascii="新宋体" w:hAnsi="新宋体" w:eastAsia="新宋体"/>
          <w:szCs w:val="21"/>
        </w:rPr>
        <w:t>1、根据已收到贵方的招标编号</w:t>
      </w:r>
      <w:r>
        <w:rPr>
          <w:rFonts w:hint="eastAsia" w:ascii="新宋体" w:hAnsi="新宋体" w:eastAsia="新宋体"/>
          <w:color w:val="FF0000"/>
          <w:szCs w:val="21"/>
        </w:rPr>
        <w:t>为</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的</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项目</w:t>
      </w:r>
      <w:r>
        <w:rPr>
          <w:rFonts w:hint="eastAsia" w:ascii="新宋体" w:hAnsi="新宋体" w:eastAsia="新宋体"/>
          <w:szCs w:val="21"/>
        </w:rPr>
        <w:t>的招标文件，遵照《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并修补其任何缺陷。</w:t>
      </w:r>
    </w:p>
    <w:p>
      <w:pPr>
        <w:spacing w:after="120" w:afterLines="50" w:line="360" w:lineRule="auto"/>
        <w:ind w:firstLine="420" w:firstLineChars="200"/>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20" w:afterLines="50" w:line="360" w:lineRule="auto"/>
        <w:ind w:firstLine="420" w:firstLineChars="200"/>
        <w:rPr>
          <w:rFonts w:ascii="新宋体" w:hAnsi="新宋体" w:eastAsia="新宋体"/>
          <w:szCs w:val="21"/>
        </w:rPr>
      </w:pPr>
      <w:r>
        <w:rPr>
          <w:rFonts w:hint="eastAsia" w:ascii="新宋体" w:hAnsi="新宋体" w:eastAsia="新宋体"/>
          <w:szCs w:val="21"/>
        </w:rPr>
        <w:t>3、如果我方中标，我方将按照规定提交上述总价</w:t>
      </w:r>
      <w:r>
        <w:rPr>
          <w:rFonts w:hint="eastAsia" w:ascii="新宋体" w:hAnsi="新宋体" w:eastAsia="新宋体"/>
          <w:szCs w:val="21"/>
          <w:u w:val="single"/>
        </w:rPr>
        <w:t xml:space="preserve">      </w:t>
      </w:r>
      <w:r>
        <w:rPr>
          <w:rFonts w:hint="eastAsia" w:ascii="新宋体" w:hAnsi="新宋体" w:eastAsia="新宋体"/>
          <w:szCs w:val="21"/>
        </w:rPr>
        <w:t>％（或</w:t>
      </w:r>
      <w:r>
        <w:rPr>
          <w:rFonts w:hint="eastAsia" w:ascii="新宋体" w:hAnsi="新宋体" w:eastAsia="新宋体"/>
          <w:szCs w:val="21"/>
          <w:u w:val="single"/>
        </w:rPr>
        <w:t xml:space="preserve">   </w:t>
      </w:r>
      <w:r>
        <w:rPr>
          <w:rFonts w:hint="eastAsia" w:ascii="新宋体" w:hAnsi="新宋体" w:eastAsia="新宋体"/>
          <w:szCs w:val="21"/>
        </w:rPr>
        <w:t>万元）作为履约担保。</w:t>
      </w:r>
    </w:p>
    <w:p>
      <w:pPr>
        <w:spacing w:after="120" w:afterLines="50" w:line="360" w:lineRule="auto"/>
        <w:ind w:firstLine="411" w:firstLineChars="196"/>
        <w:rPr>
          <w:rFonts w:ascii="新宋体" w:hAnsi="新宋体" w:eastAsia="新宋体"/>
          <w:szCs w:val="21"/>
        </w:rPr>
      </w:pPr>
      <w:r>
        <w:rPr>
          <w:rFonts w:hint="eastAsia" w:ascii="新宋体" w:hAnsi="新宋体" w:eastAsia="新宋体"/>
          <w:szCs w:val="21"/>
        </w:rPr>
        <w:t>4、我方同意所递交的投标文件在“对通用条款的补充内容”中的投标有效期内有效，在此期间内我方的投标有可能中标，我方将受此约束。</w:t>
      </w:r>
    </w:p>
    <w:p>
      <w:pPr>
        <w:spacing w:after="120" w:afterLines="50" w:line="360" w:lineRule="auto"/>
        <w:ind w:firstLine="411" w:firstLineChars="196"/>
        <w:rPr>
          <w:rFonts w:ascii="新宋体" w:hAnsi="新宋体" w:eastAsia="新宋体"/>
          <w:szCs w:val="21"/>
        </w:rPr>
      </w:pPr>
      <w:r>
        <w:rPr>
          <w:rFonts w:hint="eastAsia" w:ascii="新宋体" w:hAnsi="新宋体" w:eastAsia="新宋体"/>
          <w:szCs w:val="21"/>
        </w:rPr>
        <w:t>5、除非另外达成协议并生效，贵方的中标通知书和本投标文件将构成约束我们双方的合同。</w:t>
      </w:r>
    </w:p>
    <w:p>
      <w:pPr>
        <w:spacing w:after="120" w:afterLines="50" w:line="360" w:lineRule="auto"/>
        <w:ind w:firstLine="411" w:firstLineChars="196"/>
        <w:rPr>
          <w:rFonts w:ascii="新宋体" w:hAnsi="新宋体" w:eastAsia="新宋体"/>
          <w:szCs w:val="21"/>
        </w:rPr>
      </w:pPr>
      <w:r>
        <w:rPr>
          <w:rFonts w:hint="eastAsia" w:ascii="新宋体" w:hAnsi="新宋体" w:eastAsia="新宋体"/>
          <w:szCs w:val="21"/>
        </w:rPr>
        <w:t>6、我方理解贵方将不受必须接受你们所收到的最低标价或其它任何投标文件的约束。</w:t>
      </w:r>
    </w:p>
    <w:p>
      <w:pPr>
        <w:spacing w:line="360" w:lineRule="auto"/>
        <w:ind w:left="540" w:leftChars="257"/>
        <w:rPr>
          <w:rFonts w:ascii="新宋体" w:hAnsi="新宋体" w:eastAsia="新宋体"/>
          <w:szCs w:val="21"/>
          <w:u w:val="single"/>
        </w:rPr>
      </w:pPr>
      <w:r>
        <w:rPr>
          <w:rFonts w:hint="eastAsia" w:ascii="新宋体" w:hAnsi="新宋体" w:eastAsia="新宋体"/>
          <w:color w:val="FF0000"/>
          <w:szCs w:val="21"/>
        </w:rPr>
        <w:t>投标人：</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 xml:space="preserve"> </w:t>
      </w:r>
      <w:r>
        <w:rPr>
          <w:rFonts w:hint="eastAsia" w:ascii="新宋体" w:hAnsi="新宋体" w:eastAsia="新宋体"/>
          <w:szCs w:val="21"/>
        </w:rPr>
        <w:t xml:space="preserve">   单位地址：</w:t>
      </w:r>
      <w:r>
        <w:rPr>
          <w:rFonts w:hint="eastAsia" w:ascii="新宋体" w:hAnsi="新宋体" w:eastAsia="新宋体"/>
          <w:szCs w:val="21"/>
          <w:u w:val="single"/>
        </w:rPr>
        <w:t xml:space="preserve">               </w:t>
      </w:r>
    </w:p>
    <w:p>
      <w:pPr>
        <w:spacing w:line="360" w:lineRule="auto"/>
        <w:ind w:left="540" w:leftChars="257"/>
        <w:rPr>
          <w:rFonts w:ascii="新宋体" w:hAnsi="新宋体" w:eastAsia="新宋体"/>
          <w:szCs w:val="21"/>
          <w:u w:val="single"/>
        </w:rPr>
      </w:pPr>
      <w:r>
        <w:rPr>
          <w:rFonts w:hint="eastAsia" w:ascii="新宋体" w:hAnsi="新宋体" w:eastAsia="新宋体"/>
          <w:color w:val="FF0000"/>
          <w:szCs w:val="21"/>
        </w:rPr>
        <w:t>法定代表人或其委托代理人：</w:t>
      </w:r>
      <w:r>
        <w:rPr>
          <w:rFonts w:hint="eastAsia" w:ascii="新宋体" w:hAnsi="新宋体" w:eastAsia="新宋体"/>
          <w:color w:val="FF0000"/>
          <w:szCs w:val="21"/>
          <w:u w:val="single"/>
        </w:rPr>
        <w:t xml:space="preserve">                   </w:t>
      </w:r>
    </w:p>
    <w:p>
      <w:pPr>
        <w:spacing w:line="360" w:lineRule="auto"/>
        <w:ind w:left="540" w:leftChars="257"/>
        <w:rPr>
          <w:rFonts w:ascii="新宋体" w:hAnsi="新宋体" w:eastAsia="新宋体"/>
          <w:szCs w:val="21"/>
          <w:u w:val="single"/>
        </w:rPr>
      </w:pPr>
      <w:r>
        <w:rPr>
          <w:rFonts w:hint="eastAsia" w:ascii="新宋体" w:hAnsi="新宋体" w:eastAsia="新宋体"/>
          <w:szCs w:val="21"/>
        </w:rPr>
        <w:t>邮政编码：</w:t>
      </w:r>
      <w:r>
        <w:rPr>
          <w:rFonts w:hint="eastAsia" w:ascii="新宋体" w:hAnsi="新宋体" w:eastAsia="新宋体"/>
          <w:szCs w:val="21"/>
          <w:u w:val="single"/>
        </w:rPr>
        <w:t xml:space="preserve">          </w:t>
      </w:r>
      <w:r>
        <w:rPr>
          <w:rFonts w:hint="eastAsia" w:ascii="新宋体" w:hAnsi="新宋体" w:eastAsia="新宋体"/>
          <w:szCs w:val="21"/>
        </w:rPr>
        <w:t xml:space="preserve">  电话：</w:t>
      </w:r>
      <w:r>
        <w:rPr>
          <w:rFonts w:hint="eastAsia" w:ascii="新宋体" w:hAnsi="新宋体" w:eastAsia="新宋体"/>
          <w:szCs w:val="21"/>
          <w:u w:val="single"/>
        </w:rPr>
        <w:t xml:space="preserve">          </w:t>
      </w:r>
      <w:r>
        <w:rPr>
          <w:rFonts w:hint="eastAsia" w:ascii="新宋体" w:hAnsi="新宋体" w:eastAsia="新宋体"/>
          <w:szCs w:val="21"/>
        </w:rPr>
        <w:t xml:space="preserve">  传真：</w:t>
      </w:r>
      <w:r>
        <w:rPr>
          <w:rFonts w:hint="eastAsia" w:ascii="新宋体" w:hAnsi="新宋体" w:eastAsia="新宋体"/>
          <w:szCs w:val="21"/>
          <w:u w:val="single"/>
        </w:rPr>
        <w:t xml:space="preserve">            </w:t>
      </w:r>
    </w:p>
    <w:p>
      <w:pPr>
        <w:spacing w:line="360" w:lineRule="auto"/>
        <w:ind w:left="540" w:leftChars="257"/>
        <w:rPr>
          <w:rFonts w:ascii="新宋体" w:hAnsi="新宋体" w:eastAsia="新宋体"/>
          <w:szCs w:val="21"/>
        </w:rPr>
      </w:pPr>
      <w:r>
        <w:rPr>
          <w:rFonts w:hint="eastAsia" w:ascii="新宋体" w:hAnsi="新宋体" w:eastAsia="新宋体"/>
          <w:szCs w:val="21"/>
        </w:rPr>
        <w:t>开户银行名称：</w:t>
      </w:r>
      <w:r>
        <w:rPr>
          <w:rFonts w:hint="eastAsia" w:ascii="新宋体" w:hAnsi="新宋体" w:eastAsia="新宋体"/>
          <w:szCs w:val="21"/>
          <w:u w:val="single"/>
        </w:rPr>
        <w:tab/>
      </w:r>
      <w:r>
        <w:rPr>
          <w:rFonts w:hint="eastAsia" w:ascii="新宋体" w:hAnsi="新宋体" w:eastAsia="新宋体"/>
          <w:szCs w:val="21"/>
          <w:u w:val="single"/>
        </w:rPr>
        <w:tab/>
      </w:r>
      <w:r>
        <w:rPr>
          <w:rFonts w:hint="eastAsia" w:ascii="新宋体" w:hAnsi="新宋体" w:eastAsia="新宋体"/>
          <w:szCs w:val="21"/>
          <w:u w:val="single"/>
        </w:rPr>
        <w:tab/>
      </w:r>
      <w:r>
        <w:rPr>
          <w:rFonts w:hint="eastAsia" w:ascii="新宋体" w:hAnsi="新宋体" w:eastAsia="新宋体"/>
          <w:szCs w:val="21"/>
          <w:u w:val="single"/>
        </w:rPr>
        <w:tab/>
      </w:r>
      <w:r>
        <w:rPr>
          <w:rFonts w:hint="eastAsia" w:ascii="新宋体" w:hAnsi="新宋体" w:eastAsia="新宋体"/>
          <w:szCs w:val="21"/>
        </w:rPr>
        <w:tab/>
      </w:r>
      <w:r>
        <w:rPr>
          <w:rFonts w:hint="eastAsia" w:ascii="新宋体" w:hAnsi="新宋体" w:eastAsia="新宋体"/>
          <w:szCs w:val="21"/>
        </w:rPr>
        <w:t>开户银行帐号：</w:t>
      </w:r>
      <w:r>
        <w:rPr>
          <w:rFonts w:hint="eastAsia" w:ascii="新宋体" w:hAnsi="新宋体" w:eastAsia="新宋体"/>
          <w:szCs w:val="21"/>
          <w:u w:val="single"/>
        </w:rPr>
        <w:tab/>
      </w:r>
      <w:r>
        <w:rPr>
          <w:rFonts w:hint="eastAsia" w:ascii="新宋体" w:hAnsi="新宋体" w:eastAsia="新宋体"/>
          <w:szCs w:val="21"/>
          <w:u w:val="single"/>
        </w:rPr>
        <w:tab/>
      </w:r>
      <w:r>
        <w:rPr>
          <w:rFonts w:hint="eastAsia" w:ascii="新宋体" w:hAnsi="新宋体" w:eastAsia="新宋体"/>
          <w:szCs w:val="21"/>
          <w:u w:val="single"/>
        </w:rPr>
        <w:tab/>
      </w:r>
      <w:r>
        <w:rPr>
          <w:rFonts w:hint="eastAsia" w:ascii="新宋体" w:hAnsi="新宋体" w:eastAsia="新宋体"/>
          <w:szCs w:val="21"/>
          <w:u w:val="single"/>
        </w:rPr>
        <w:tab/>
      </w:r>
    </w:p>
    <w:p>
      <w:pPr>
        <w:spacing w:line="360" w:lineRule="auto"/>
        <w:ind w:left="540" w:leftChars="257"/>
        <w:rPr>
          <w:rFonts w:ascii="新宋体" w:hAnsi="新宋体" w:eastAsia="新宋体"/>
          <w:szCs w:val="21"/>
        </w:rPr>
      </w:pPr>
      <w:r>
        <w:rPr>
          <w:rFonts w:hint="eastAsia" w:ascii="新宋体" w:hAnsi="新宋体" w:eastAsia="新宋体"/>
          <w:szCs w:val="21"/>
        </w:rPr>
        <w:t>开户银行地址：</w:t>
      </w:r>
      <w:r>
        <w:rPr>
          <w:rFonts w:hint="eastAsia" w:ascii="新宋体" w:hAnsi="新宋体" w:eastAsia="新宋体"/>
          <w:szCs w:val="21"/>
          <w:u w:val="single"/>
        </w:rPr>
        <w:tab/>
      </w:r>
      <w:r>
        <w:rPr>
          <w:rFonts w:hint="eastAsia" w:ascii="新宋体" w:hAnsi="新宋体" w:eastAsia="新宋体"/>
          <w:szCs w:val="21"/>
          <w:u w:val="single"/>
        </w:rPr>
        <w:tab/>
      </w:r>
      <w:r>
        <w:rPr>
          <w:rFonts w:hint="eastAsia" w:ascii="新宋体" w:hAnsi="新宋体" w:eastAsia="新宋体"/>
          <w:szCs w:val="21"/>
          <w:u w:val="single"/>
        </w:rPr>
        <w:tab/>
      </w:r>
      <w:r>
        <w:rPr>
          <w:rFonts w:hint="eastAsia" w:ascii="新宋体" w:hAnsi="新宋体" w:eastAsia="新宋体"/>
          <w:szCs w:val="21"/>
          <w:u w:val="single"/>
        </w:rPr>
        <w:tab/>
      </w:r>
      <w:r>
        <w:rPr>
          <w:rFonts w:hint="eastAsia" w:ascii="新宋体" w:hAnsi="新宋体" w:eastAsia="新宋体"/>
          <w:szCs w:val="21"/>
        </w:rPr>
        <w:tab/>
      </w:r>
      <w:r>
        <w:rPr>
          <w:rFonts w:hint="eastAsia" w:ascii="新宋体" w:hAnsi="新宋体" w:eastAsia="新宋体"/>
          <w:szCs w:val="21"/>
        </w:rPr>
        <w:t>开户银行电话：</w:t>
      </w:r>
      <w:r>
        <w:rPr>
          <w:rFonts w:hint="eastAsia" w:ascii="新宋体" w:hAnsi="新宋体" w:eastAsia="新宋体"/>
          <w:szCs w:val="21"/>
          <w:u w:val="single"/>
        </w:rPr>
        <w:tab/>
      </w:r>
      <w:r>
        <w:rPr>
          <w:rFonts w:hint="eastAsia" w:ascii="新宋体" w:hAnsi="新宋体" w:eastAsia="新宋体"/>
          <w:szCs w:val="21"/>
          <w:u w:val="single"/>
        </w:rPr>
        <w:tab/>
      </w:r>
      <w:r>
        <w:rPr>
          <w:rFonts w:hint="eastAsia" w:ascii="新宋体" w:hAnsi="新宋体" w:eastAsia="新宋体"/>
          <w:szCs w:val="21"/>
          <w:u w:val="single"/>
        </w:rPr>
        <w:tab/>
      </w:r>
      <w:r>
        <w:rPr>
          <w:rFonts w:hint="eastAsia" w:ascii="新宋体" w:hAnsi="新宋体" w:eastAsia="新宋体"/>
          <w:szCs w:val="21"/>
          <w:u w:val="single"/>
        </w:rPr>
        <w:tab/>
      </w:r>
    </w:p>
    <w:p>
      <w:pPr>
        <w:spacing w:line="360" w:lineRule="auto"/>
        <w:ind w:firstLine="539" w:firstLineChars="257"/>
        <w:rPr>
          <w:sz w:val="24"/>
        </w:rPr>
      </w:pPr>
      <w:r>
        <w:rPr>
          <w:rFonts w:hint="eastAsia" w:ascii="新宋体" w:hAnsi="新宋体" w:eastAsia="新宋体"/>
          <w:color w:val="FF0000"/>
          <w:szCs w:val="21"/>
        </w:rPr>
        <w:t>日期：</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年</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月</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 xml:space="preserve">日 </w:t>
      </w:r>
      <w:r>
        <w:rPr>
          <w:rFonts w:hint="eastAsia" w:ascii="新宋体" w:hAnsi="新宋体" w:eastAsia="新宋体"/>
          <w:szCs w:val="21"/>
        </w:rPr>
        <w:t xml:space="preserve">                              </w:t>
      </w:r>
      <w:r>
        <w:rPr>
          <w:rFonts w:hint="eastAsia"/>
          <w:sz w:val="24"/>
        </w:rPr>
        <w:t xml:space="preserve"> </w:t>
      </w:r>
    </w:p>
    <w:p>
      <w:pPr>
        <w:rPr>
          <w:rFonts w:ascii="黑体" w:hAnsi="宋体" w:eastAsia="黑体"/>
        </w:rPr>
      </w:pPr>
    </w:p>
    <w:p>
      <w:pPr>
        <w:rPr>
          <w:rFonts w:ascii="黑体" w:hAnsi="宋体" w:eastAsia="黑体"/>
        </w:rPr>
      </w:pPr>
    </w:p>
    <w:p>
      <w:pPr>
        <w:rPr>
          <w:rFonts w:ascii="黑体" w:hAnsi="宋体" w:eastAsia="黑体"/>
        </w:rPr>
      </w:pPr>
    </w:p>
    <w:p>
      <w:pPr>
        <w:rPr>
          <w:rFonts w:ascii="黑体" w:hAnsi="宋体" w:eastAsia="黑体"/>
        </w:rPr>
      </w:pPr>
    </w:p>
    <w:p>
      <w:pPr>
        <w:rPr>
          <w:rFonts w:ascii="黑体" w:hAnsi="宋体" w:eastAsia="黑体"/>
        </w:rPr>
      </w:pPr>
    </w:p>
    <w:p>
      <w:pPr>
        <w:rPr>
          <w:rFonts w:ascii="黑体" w:hAnsi="宋体" w:eastAsia="黑体"/>
        </w:rPr>
      </w:pPr>
    </w:p>
    <w:p>
      <w:pPr>
        <w:rPr>
          <w:rFonts w:ascii="黑体" w:hAnsi="宋体" w:eastAsia="黑体"/>
        </w:rPr>
      </w:pPr>
    </w:p>
    <w:p>
      <w:pPr>
        <w:rPr>
          <w:rFonts w:ascii="黑体" w:hAnsi="宋体" w:eastAsia="黑体"/>
        </w:rPr>
      </w:pPr>
    </w:p>
    <w:p>
      <w:pPr>
        <w:rPr>
          <w:rFonts w:ascii="黑体" w:hAnsi="宋体" w:eastAsia="黑体"/>
        </w:rPr>
      </w:pPr>
    </w:p>
    <w:p>
      <w:pPr>
        <w:rPr>
          <w:rFonts w:ascii="黑体" w:hAnsi="宋体" w:eastAsia="黑体"/>
        </w:rPr>
      </w:pPr>
    </w:p>
    <w:p>
      <w:pPr>
        <w:rPr>
          <w:rFonts w:ascii="黑体" w:hAnsi="宋体" w:eastAsia="黑体"/>
        </w:rPr>
      </w:pPr>
    </w:p>
    <w:p>
      <w:pPr>
        <w:rPr>
          <w:rFonts w:ascii="黑体" w:hAnsi="宋体" w:eastAsia="黑体"/>
        </w:rPr>
      </w:pPr>
    </w:p>
    <w:p>
      <w:pPr>
        <w:pStyle w:val="4"/>
        <w:jc w:val="center"/>
        <w:rPr>
          <w:rFonts w:ascii="黑体" w:eastAsia="黑体"/>
          <w:b w:val="0"/>
          <w:sz w:val="24"/>
        </w:rPr>
      </w:pPr>
      <w:r>
        <w:rPr>
          <w:rFonts w:hint="eastAsia" w:ascii="黑体" w:eastAsia="黑体"/>
          <w:b w:val="0"/>
          <w:sz w:val="24"/>
        </w:rPr>
        <w:t>二、</w:t>
      </w:r>
      <w:r>
        <w:rPr>
          <w:rFonts w:hint="eastAsia"/>
          <w:szCs w:val="21"/>
        </w:rPr>
        <w:t>政府采购投标及履约承诺函</w:t>
      </w:r>
    </w:p>
    <w:p>
      <w:pPr>
        <w:spacing w:line="360" w:lineRule="auto"/>
        <w:rPr>
          <w:rFonts w:ascii="新宋体" w:hAnsi="新宋体" w:eastAsia="新宋体"/>
          <w:color w:val="FF0000"/>
          <w:szCs w:val="21"/>
        </w:rPr>
      </w:pPr>
      <w:r>
        <w:rPr>
          <w:rFonts w:hint="eastAsia" w:ascii="新宋体" w:hAnsi="新宋体" w:eastAsia="新宋体"/>
          <w:color w:val="FF0000"/>
          <w:szCs w:val="21"/>
        </w:rPr>
        <w:t>致：</w:t>
      </w:r>
      <w:r>
        <w:rPr>
          <w:rFonts w:hint="eastAsia" w:ascii="新宋体" w:hAnsi="新宋体" w:eastAsia="新宋体" w:cs="宋体"/>
          <w:kern w:val="0"/>
          <w:szCs w:val="18"/>
        </w:rPr>
        <w:t>深圳市瑞凝信招标咨询有限公司</w:t>
      </w:r>
    </w:p>
    <w:p>
      <w:pPr>
        <w:spacing w:line="360" w:lineRule="auto"/>
        <w:ind w:right="-815" w:firstLine="420" w:firstLineChars="200"/>
        <w:rPr>
          <w:rFonts w:ascii="新宋体" w:hAnsi="新宋体" w:eastAsia="新宋体"/>
          <w:szCs w:val="21"/>
        </w:rPr>
      </w:pPr>
      <w:r>
        <w:rPr>
          <w:rFonts w:hint="eastAsia" w:ascii="新宋体" w:hAnsi="新宋体" w:eastAsia="新宋体"/>
          <w:szCs w:val="21"/>
        </w:rPr>
        <w:t>我公司承诺：</w:t>
      </w:r>
    </w:p>
    <w:p>
      <w:pPr>
        <w:spacing w:line="360" w:lineRule="auto"/>
        <w:ind w:firstLine="420" w:firstLineChars="200"/>
        <w:rPr>
          <w:rFonts w:ascii="新宋体" w:hAnsi="新宋体" w:eastAsia="新宋体"/>
          <w:szCs w:val="21"/>
        </w:rPr>
      </w:pPr>
      <w:r>
        <w:rPr>
          <w:rFonts w:hint="eastAsia" w:ascii="新宋体" w:hAnsi="新宋体" w:eastAsia="新宋体"/>
          <w:szCs w:val="21"/>
        </w:rPr>
        <w:t>1.我公司本招标项目所提供的货物或服务未侵犯知识产权。</w:t>
      </w:r>
    </w:p>
    <w:p>
      <w:pPr>
        <w:spacing w:line="360" w:lineRule="auto"/>
        <w:ind w:firstLine="420" w:firstLineChars="200"/>
        <w:rPr>
          <w:rFonts w:ascii="新宋体" w:hAnsi="新宋体" w:eastAsia="新宋体"/>
          <w:szCs w:val="21"/>
        </w:rPr>
      </w:pPr>
      <w:r>
        <w:rPr>
          <w:rFonts w:hint="eastAsia" w:ascii="新宋体" w:hAnsi="新宋体" w:eastAsia="新宋体"/>
          <w:szCs w:val="21"/>
        </w:rPr>
        <w:t>2.我公司参与本项目投标前三年内，在经营活动中没有重大违法记录。</w:t>
      </w:r>
    </w:p>
    <w:p>
      <w:pPr>
        <w:spacing w:line="360" w:lineRule="auto"/>
        <w:ind w:firstLine="420" w:firstLineChars="200"/>
        <w:rPr>
          <w:rFonts w:ascii="新宋体" w:hAnsi="新宋体" w:eastAsia="新宋体"/>
          <w:szCs w:val="21"/>
        </w:rPr>
      </w:pPr>
      <w:r>
        <w:rPr>
          <w:rFonts w:hint="eastAsia" w:ascii="新宋体" w:hAnsi="新宋体" w:eastAsia="新宋体"/>
          <w:szCs w:val="21"/>
        </w:rPr>
        <w:t>3.我公司参与本项目</w:t>
      </w:r>
      <w:r>
        <w:rPr>
          <w:rFonts w:hint="eastAsia" w:ascii="新宋体" w:hAnsi="新宋体" w:eastAsia="新宋体"/>
        </w:rPr>
        <w:t>政府采购活动时不存在被有关部门禁止参与政府采购活动且在有效期内的情况。</w:t>
      </w:r>
    </w:p>
    <w:p>
      <w:pPr>
        <w:spacing w:line="360" w:lineRule="auto"/>
        <w:ind w:firstLine="420" w:firstLineChars="200"/>
        <w:rPr>
          <w:rFonts w:ascii="新宋体" w:hAnsi="新宋体" w:eastAsia="新宋体"/>
          <w:szCs w:val="21"/>
        </w:rPr>
      </w:pPr>
      <w:r>
        <w:rPr>
          <w:rFonts w:hint="eastAsia" w:ascii="新宋体" w:hAnsi="新宋体" w:eastAsia="新宋体"/>
          <w:szCs w:val="21"/>
        </w:rPr>
        <w:t>4.我公司具备《中华人民共和国政府采购法》第二十二条第一款规定的六项条件。</w:t>
      </w:r>
    </w:p>
    <w:p>
      <w:pPr>
        <w:spacing w:line="360" w:lineRule="auto"/>
        <w:ind w:firstLine="420" w:firstLineChars="200"/>
        <w:rPr>
          <w:rFonts w:ascii="新宋体" w:hAnsi="新宋体" w:eastAsia="新宋体"/>
          <w:szCs w:val="21"/>
        </w:rPr>
      </w:pPr>
      <w:r>
        <w:rPr>
          <w:rFonts w:hint="eastAsia" w:ascii="新宋体" w:hAnsi="新宋体" w:eastAsia="新宋体"/>
          <w:szCs w:val="21"/>
        </w:rPr>
        <w:t>5.我公司</w:t>
      </w:r>
      <w:r>
        <w:rPr>
          <w:rFonts w:hint="eastAsia" w:ascii="新宋体" w:hAnsi="新宋体" w:eastAsia="新宋体"/>
        </w:rPr>
        <w:t>未被列入失信被执行人、重大税收违法案件当事人名单、政府采购严重违法失信行为记录名单</w:t>
      </w:r>
    </w:p>
    <w:p>
      <w:pPr>
        <w:spacing w:line="360" w:lineRule="auto"/>
        <w:ind w:firstLine="420" w:firstLineChars="200"/>
        <w:rPr>
          <w:rFonts w:ascii="新宋体" w:hAnsi="新宋体" w:eastAsia="新宋体"/>
          <w:szCs w:val="21"/>
        </w:rPr>
      </w:pPr>
      <w:r>
        <w:rPr>
          <w:rFonts w:hint="eastAsia" w:ascii="新宋体" w:hAnsi="新宋体" w:eastAsia="新宋体"/>
          <w:szCs w:val="21"/>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spacing w:line="360" w:lineRule="auto"/>
        <w:ind w:firstLine="420" w:firstLineChars="200"/>
        <w:rPr>
          <w:rFonts w:ascii="新宋体" w:hAnsi="新宋体" w:eastAsia="新宋体"/>
          <w:szCs w:val="21"/>
        </w:rPr>
      </w:pPr>
      <w:r>
        <w:rPr>
          <w:rFonts w:hint="eastAsia" w:ascii="新宋体" w:hAnsi="新宋体" w:eastAsia="新宋体"/>
          <w:szCs w:val="21"/>
        </w:rPr>
        <w:t>7.我公司如果中标，做到守信，不偷工减料，依照本项目招标文件需求内容、签署的采购合同及本公司在投标中所作的一切承诺履约。项目验收达到全部指标合格，力争优良。</w:t>
      </w:r>
    </w:p>
    <w:p>
      <w:pPr>
        <w:spacing w:line="360" w:lineRule="auto"/>
        <w:ind w:firstLine="420" w:firstLineChars="200"/>
        <w:rPr>
          <w:rFonts w:ascii="新宋体" w:hAnsi="新宋体" w:eastAsia="新宋体"/>
          <w:szCs w:val="21"/>
        </w:rPr>
      </w:pPr>
      <w:r>
        <w:rPr>
          <w:rFonts w:hint="eastAsia" w:ascii="新宋体" w:hAnsi="新宋体" w:eastAsia="新宋体"/>
          <w:szCs w:val="21"/>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360" w:lineRule="auto"/>
        <w:ind w:firstLine="420" w:firstLineChars="200"/>
        <w:rPr>
          <w:rFonts w:ascii="新宋体" w:hAnsi="新宋体" w:eastAsia="新宋体"/>
          <w:szCs w:val="21"/>
        </w:rPr>
      </w:pPr>
      <w:r>
        <w:rPr>
          <w:rFonts w:hint="eastAsia" w:ascii="新宋体" w:hAnsi="新宋体" w:eastAsia="新宋体"/>
          <w:szCs w:val="21"/>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360" w:lineRule="auto"/>
        <w:ind w:firstLine="420" w:firstLineChars="200"/>
        <w:rPr>
          <w:rFonts w:ascii="新宋体" w:hAnsi="新宋体" w:eastAsia="新宋体"/>
          <w:szCs w:val="21"/>
        </w:rPr>
      </w:pPr>
      <w:r>
        <w:rPr>
          <w:rFonts w:hint="eastAsia" w:ascii="新宋体" w:hAnsi="新宋体" w:eastAsia="新宋体"/>
          <w:szCs w:val="21"/>
        </w:rPr>
        <w:t>10.我公司承诺不非法转包、分包。</w:t>
      </w:r>
    </w:p>
    <w:p>
      <w:pPr>
        <w:spacing w:line="360" w:lineRule="auto"/>
        <w:ind w:firstLine="420" w:firstLineChars="200"/>
        <w:rPr>
          <w:rFonts w:ascii="新宋体" w:hAnsi="新宋体" w:eastAsia="新宋体"/>
          <w:szCs w:val="21"/>
        </w:rPr>
      </w:pPr>
      <w:r>
        <w:rPr>
          <w:rFonts w:hint="eastAsia" w:ascii="新宋体" w:hAnsi="新宋体" w:eastAsia="新宋体"/>
          <w:szCs w:val="21"/>
        </w:rPr>
        <w:t>以上承诺，如有违反，愿依照国家相关法律处理，并承担由此给采购人带来的损失。</w:t>
      </w:r>
    </w:p>
    <w:p>
      <w:pPr>
        <w:spacing w:before="60" w:beforeLines="25" w:after="60" w:afterLines="25" w:line="360" w:lineRule="auto"/>
        <w:ind w:firstLine="5460" w:firstLineChars="2600"/>
        <w:rPr>
          <w:rFonts w:ascii="新宋体" w:hAnsi="新宋体" w:eastAsia="新宋体"/>
          <w:szCs w:val="21"/>
        </w:rPr>
      </w:pPr>
      <w:r>
        <w:rPr>
          <w:rFonts w:hint="eastAsia" w:ascii="新宋体" w:hAnsi="新宋体" w:eastAsia="新宋体"/>
          <w:szCs w:val="21"/>
        </w:rPr>
        <w:t xml:space="preserve">                                    </w:t>
      </w:r>
    </w:p>
    <w:p>
      <w:pPr>
        <w:spacing w:before="60" w:beforeLines="25" w:after="60" w:afterLines="25" w:line="360" w:lineRule="auto"/>
        <w:ind w:firstLine="5460" w:firstLineChars="2600"/>
        <w:rPr>
          <w:rFonts w:ascii="新宋体" w:hAnsi="新宋体" w:eastAsia="新宋体"/>
          <w:color w:val="FF0000"/>
        </w:rPr>
      </w:pPr>
      <w:r>
        <w:rPr>
          <w:rFonts w:hint="eastAsia" w:ascii="新宋体" w:hAnsi="新宋体" w:eastAsia="新宋体"/>
          <w:color w:val="FF0000"/>
          <w:szCs w:val="21"/>
        </w:rPr>
        <w:t>投标人：</w:t>
      </w:r>
      <w:r>
        <w:rPr>
          <w:rFonts w:hint="eastAsia" w:ascii="新宋体" w:hAnsi="新宋体" w:eastAsia="新宋体"/>
          <w:color w:val="FF0000"/>
          <w:szCs w:val="21"/>
          <w:u w:val="single"/>
        </w:rPr>
        <w:t xml:space="preserve">              </w:t>
      </w:r>
    </w:p>
    <w:p>
      <w:pPr>
        <w:spacing w:line="360" w:lineRule="auto"/>
        <w:ind w:firstLine="645"/>
        <w:rPr>
          <w:rFonts w:ascii="新宋体" w:hAnsi="新宋体" w:eastAsia="新宋体"/>
          <w:color w:val="FF0000"/>
          <w:szCs w:val="21"/>
        </w:rPr>
      </w:pPr>
      <w:r>
        <w:rPr>
          <w:rFonts w:hint="eastAsia" w:ascii="新宋体" w:hAnsi="新宋体" w:eastAsia="新宋体"/>
          <w:color w:val="FF0000"/>
          <w:szCs w:val="21"/>
        </w:rPr>
        <w:t xml:space="preserve">                                              日期：</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年</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月</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日</w:t>
      </w:r>
    </w:p>
    <w:p>
      <w:pPr>
        <w:ind w:firstLine="645"/>
        <w:rPr>
          <w:rFonts w:ascii="宋体" w:hAnsi="宋体"/>
          <w:szCs w:val="21"/>
        </w:rPr>
      </w:pPr>
    </w:p>
    <w:p>
      <w:pPr>
        <w:ind w:firstLine="645"/>
        <w:rPr>
          <w:rFonts w:ascii="宋体" w:hAnsi="宋体"/>
          <w:szCs w:val="21"/>
        </w:rPr>
      </w:pPr>
    </w:p>
    <w:p>
      <w:pPr>
        <w:ind w:firstLine="645"/>
        <w:rPr>
          <w:rFonts w:ascii="宋体" w:hAnsi="宋体"/>
          <w:szCs w:val="21"/>
        </w:rPr>
      </w:pPr>
    </w:p>
    <w:p>
      <w:pPr>
        <w:ind w:firstLine="645"/>
        <w:rPr>
          <w:rFonts w:ascii="宋体"/>
          <w:b/>
          <w:szCs w:val="21"/>
        </w:rPr>
      </w:pPr>
    </w:p>
    <w:p>
      <w:pPr>
        <w:pStyle w:val="4"/>
        <w:jc w:val="center"/>
        <w:rPr>
          <w:rFonts w:ascii="黑体" w:eastAsia="黑体"/>
          <w:b w:val="0"/>
          <w:sz w:val="24"/>
          <w:szCs w:val="24"/>
        </w:rPr>
      </w:pPr>
      <w:r>
        <w:rPr>
          <w:rFonts w:hint="eastAsia" w:ascii="黑体" w:eastAsia="黑体"/>
          <w:b w:val="0"/>
          <w:sz w:val="24"/>
          <w:szCs w:val="24"/>
        </w:rPr>
        <w:t>三、分项报价清单</w:t>
      </w:r>
    </w:p>
    <w:p>
      <w:pPr>
        <w:numPr>
          <w:ilvl w:val="0"/>
          <w:numId w:val="10"/>
        </w:numPr>
        <w:jc w:val="center"/>
        <w:rPr>
          <w:b/>
          <w:sz w:val="24"/>
        </w:rPr>
      </w:pPr>
      <w:r>
        <w:rPr>
          <w:rFonts w:hint="eastAsia"/>
          <w:b/>
          <w:sz w:val="24"/>
        </w:rPr>
        <w:t>项目报价表</w:t>
      </w:r>
    </w:p>
    <w:p/>
    <w:tbl>
      <w:tblPr>
        <w:tblStyle w:val="4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64"/>
        <w:gridCol w:w="1424"/>
        <w:gridCol w:w="695"/>
        <w:gridCol w:w="737"/>
        <w:gridCol w:w="1001"/>
        <w:gridCol w:w="464"/>
        <w:gridCol w:w="590"/>
        <w:gridCol w:w="637"/>
        <w:gridCol w:w="637"/>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233" w:type="pct"/>
          </w:tcPr>
          <w:p>
            <w:pPr>
              <w:jc w:val="center"/>
              <w:rPr>
                <w:rFonts w:ascii="新宋体" w:hAnsi="新宋体" w:eastAsia="新宋体"/>
                <w:szCs w:val="21"/>
              </w:rPr>
            </w:pPr>
            <w:r>
              <w:rPr>
                <w:rFonts w:hint="eastAsia" w:ascii="新宋体" w:hAnsi="新宋体" w:eastAsia="新宋体"/>
                <w:szCs w:val="21"/>
              </w:rPr>
              <w:t>序号</w:t>
            </w:r>
          </w:p>
        </w:tc>
        <w:tc>
          <w:tcPr>
            <w:tcW w:w="675" w:type="pct"/>
            <w:vAlign w:val="center"/>
          </w:tcPr>
          <w:p>
            <w:pPr>
              <w:jc w:val="center"/>
              <w:rPr>
                <w:rFonts w:ascii="新宋体" w:hAnsi="新宋体" w:eastAsia="新宋体"/>
                <w:szCs w:val="21"/>
              </w:rPr>
            </w:pPr>
            <w:r>
              <w:rPr>
                <w:rFonts w:hint="eastAsia" w:ascii="新宋体" w:hAnsi="新宋体" w:eastAsia="新宋体"/>
                <w:szCs w:val="21"/>
              </w:rPr>
              <w:t>采购计划编号</w:t>
            </w:r>
          </w:p>
        </w:tc>
        <w:tc>
          <w:tcPr>
            <w:tcW w:w="886" w:type="pct"/>
            <w:vAlign w:val="center"/>
          </w:tcPr>
          <w:p>
            <w:pPr>
              <w:jc w:val="center"/>
              <w:rPr>
                <w:rFonts w:ascii="新宋体" w:hAnsi="新宋体" w:eastAsia="新宋体"/>
                <w:szCs w:val="21"/>
              </w:rPr>
            </w:pPr>
            <w:r>
              <w:rPr>
                <w:rFonts w:hint="eastAsia" w:ascii="新宋体" w:hAnsi="新宋体" w:eastAsia="新宋体"/>
                <w:szCs w:val="21"/>
              </w:rPr>
              <w:t>货物名称</w:t>
            </w:r>
          </w:p>
        </w:tc>
        <w:tc>
          <w:tcPr>
            <w:tcW w:w="458" w:type="pct"/>
            <w:vAlign w:val="center"/>
          </w:tcPr>
          <w:p>
            <w:pPr>
              <w:jc w:val="center"/>
              <w:rPr>
                <w:rFonts w:ascii="新宋体" w:hAnsi="新宋体" w:eastAsia="新宋体"/>
                <w:szCs w:val="21"/>
              </w:rPr>
            </w:pPr>
            <w:r>
              <w:rPr>
                <w:rFonts w:hint="eastAsia" w:ascii="新宋体" w:hAnsi="新宋体" w:eastAsia="新宋体"/>
                <w:szCs w:val="21"/>
              </w:rPr>
              <w:t>规格/型号</w:t>
            </w:r>
          </w:p>
        </w:tc>
        <w:tc>
          <w:tcPr>
            <w:tcW w:w="483" w:type="pct"/>
            <w:vAlign w:val="center"/>
          </w:tcPr>
          <w:p>
            <w:pPr>
              <w:jc w:val="center"/>
              <w:rPr>
                <w:rFonts w:ascii="新宋体" w:hAnsi="新宋体" w:eastAsia="新宋体"/>
                <w:b/>
                <w:color w:val="FF0000"/>
                <w:szCs w:val="21"/>
              </w:rPr>
            </w:pPr>
            <w:r>
              <w:rPr>
                <w:rFonts w:hint="eastAsia" w:ascii="新宋体" w:hAnsi="新宋体" w:eastAsia="新宋体"/>
                <w:b/>
                <w:color w:val="FF0000"/>
                <w:szCs w:val="21"/>
              </w:rPr>
              <w:t>原产地</w:t>
            </w:r>
          </w:p>
        </w:tc>
        <w:tc>
          <w:tcPr>
            <w:tcW w:w="638" w:type="pct"/>
            <w:vAlign w:val="center"/>
          </w:tcPr>
          <w:p>
            <w:pPr>
              <w:jc w:val="center"/>
              <w:rPr>
                <w:rFonts w:ascii="新宋体" w:hAnsi="新宋体" w:eastAsia="新宋体"/>
                <w:szCs w:val="21"/>
              </w:rPr>
            </w:pPr>
            <w:r>
              <w:rPr>
                <w:rFonts w:hint="eastAsia" w:ascii="新宋体" w:hAnsi="新宋体" w:eastAsia="新宋体"/>
                <w:szCs w:val="21"/>
              </w:rPr>
              <w:t>制造商名称</w:t>
            </w:r>
          </w:p>
        </w:tc>
        <w:tc>
          <w:tcPr>
            <w:tcW w:w="322" w:type="pct"/>
            <w:vAlign w:val="center"/>
          </w:tcPr>
          <w:p>
            <w:pPr>
              <w:jc w:val="center"/>
              <w:rPr>
                <w:rFonts w:ascii="新宋体" w:hAnsi="新宋体" w:eastAsia="新宋体"/>
                <w:szCs w:val="21"/>
              </w:rPr>
            </w:pPr>
            <w:r>
              <w:rPr>
                <w:rFonts w:hint="eastAsia" w:ascii="新宋体" w:hAnsi="新宋体" w:eastAsia="新宋体"/>
                <w:szCs w:val="21"/>
              </w:rPr>
              <w:t>数量</w:t>
            </w:r>
          </w:p>
        </w:tc>
        <w:tc>
          <w:tcPr>
            <w:tcW w:w="396" w:type="pct"/>
            <w:vAlign w:val="center"/>
          </w:tcPr>
          <w:p>
            <w:pPr>
              <w:jc w:val="center"/>
              <w:rPr>
                <w:rFonts w:ascii="新宋体" w:hAnsi="新宋体" w:eastAsia="新宋体"/>
                <w:szCs w:val="21"/>
              </w:rPr>
            </w:pPr>
            <w:r>
              <w:rPr>
                <w:rFonts w:hint="eastAsia" w:ascii="新宋体" w:hAnsi="新宋体" w:eastAsia="新宋体"/>
                <w:szCs w:val="21"/>
              </w:rPr>
              <w:t>单位</w:t>
            </w:r>
          </w:p>
        </w:tc>
        <w:tc>
          <w:tcPr>
            <w:tcW w:w="396" w:type="pct"/>
            <w:vAlign w:val="center"/>
          </w:tcPr>
          <w:p>
            <w:pPr>
              <w:jc w:val="center"/>
              <w:rPr>
                <w:rFonts w:ascii="新宋体" w:hAnsi="新宋体" w:eastAsia="新宋体"/>
                <w:szCs w:val="21"/>
              </w:rPr>
            </w:pPr>
            <w:r>
              <w:rPr>
                <w:rFonts w:hint="eastAsia" w:ascii="新宋体" w:hAnsi="新宋体" w:eastAsia="新宋体"/>
                <w:szCs w:val="21"/>
              </w:rPr>
              <w:t>单价(元)</w:t>
            </w:r>
          </w:p>
        </w:tc>
        <w:tc>
          <w:tcPr>
            <w:tcW w:w="297" w:type="pct"/>
            <w:vAlign w:val="center"/>
          </w:tcPr>
          <w:p>
            <w:pPr>
              <w:jc w:val="center"/>
              <w:rPr>
                <w:rFonts w:ascii="新宋体" w:hAnsi="新宋体" w:eastAsia="新宋体"/>
                <w:szCs w:val="21"/>
              </w:rPr>
            </w:pPr>
            <w:r>
              <w:rPr>
                <w:rFonts w:hint="eastAsia" w:ascii="新宋体" w:hAnsi="新宋体" w:eastAsia="新宋体"/>
                <w:szCs w:val="21"/>
              </w:rPr>
              <w:t>合价(元)</w:t>
            </w:r>
          </w:p>
        </w:tc>
        <w:tc>
          <w:tcPr>
            <w:tcW w:w="210" w:type="pct"/>
            <w:vAlign w:val="center"/>
          </w:tcPr>
          <w:p>
            <w:pPr>
              <w:jc w:val="center"/>
              <w:rPr>
                <w:rFonts w:ascii="新宋体" w:hAnsi="新宋体" w:eastAsia="新宋体"/>
                <w:szCs w:val="21"/>
              </w:rPr>
            </w:pPr>
            <w:r>
              <w:rPr>
                <w:rFonts w:hint="eastAsia" w:ascii="新宋体" w:hAnsi="新宋体" w:eastAsia="新宋体"/>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3" w:type="pct"/>
          </w:tcPr>
          <w:p>
            <w:pPr>
              <w:rPr>
                <w:rFonts w:ascii="新宋体" w:hAnsi="新宋体" w:eastAsia="新宋体"/>
                <w:szCs w:val="21"/>
              </w:rPr>
            </w:pPr>
          </w:p>
        </w:tc>
        <w:tc>
          <w:tcPr>
            <w:tcW w:w="675" w:type="pct"/>
          </w:tcPr>
          <w:p>
            <w:pPr>
              <w:rPr>
                <w:rFonts w:ascii="新宋体" w:hAnsi="新宋体" w:eastAsia="新宋体"/>
                <w:szCs w:val="21"/>
              </w:rPr>
            </w:pPr>
          </w:p>
        </w:tc>
        <w:tc>
          <w:tcPr>
            <w:tcW w:w="886" w:type="pct"/>
          </w:tcPr>
          <w:p>
            <w:pPr>
              <w:rPr>
                <w:rFonts w:ascii="新宋体" w:hAnsi="新宋体" w:eastAsia="新宋体"/>
                <w:szCs w:val="21"/>
              </w:rPr>
            </w:pPr>
          </w:p>
        </w:tc>
        <w:tc>
          <w:tcPr>
            <w:tcW w:w="458" w:type="pct"/>
          </w:tcPr>
          <w:p>
            <w:pPr>
              <w:rPr>
                <w:rFonts w:ascii="新宋体" w:hAnsi="新宋体" w:eastAsia="新宋体"/>
                <w:szCs w:val="21"/>
              </w:rPr>
            </w:pPr>
          </w:p>
        </w:tc>
        <w:tc>
          <w:tcPr>
            <w:tcW w:w="483" w:type="pct"/>
          </w:tcPr>
          <w:p>
            <w:pPr>
              <w:rPr>
                <w:rFonts w:ascii="新宋体" w:hAnsi="新宋体" w:eastAsia="新宋体"/>
                <w:szCs w:val="21"/>
              </w:rPr>
            </w:pPr>
          </w:p>
        </w:tc>
        <w:tc>
          <w:tcPr>
            <w:tcW w:w="638" w:type="pct"/>
          </w:tcPr>
          <w:p>
            <w:pPr>
              <w:rPr>
                <w:rFonts w:ascii="新宋体" w:hAnsi="新宋体" w:eastAsia="新宋体"/>
                <w:szCs w:val="21"/>
              </w:rPr>
            </w:pPr>
          </w:p>
        </w:tc>
        <w:tc>
          <w:tcPr>
            <w:tcW w:w="322" w:type="pct"/>
          </w:tcPr>
          <w:p>
            <w:pPr>
              <w:rPr>
                <w:rFonts w:ascii="新宋体" w:hAnsi="新宋体" w:eastAsia="新宋体"/>
                <w:szCs w:val="21"/>
              </w:rPr>
            </w:pPr>
          </w:p>
        </w:tc>
        <w:tc>
          <w:tcPr>
            <w:tcW w:w="396" w:type="pct"/>
          </w:tcPr>
          <w:p>
            <w:pPr>
              <w:rPr>
                <w:rFonts w:ascii="新宋体" w:hAnsi="新宋体" w:eastAsia="新宋体"/>
                <w:szCs w:val="21"/>
              </w:rPr>
            </w:pPr>
          </w:p>
        </w:tc>
        <w:tc>
          <w:tcPr>
            <w:tcW w:w="396" w:type="pct"/>
          </w:tcPr>
          <w:p>
            <w:pPr>
              <w:rPr>
                <w:rFonts w:ascii="新宋体" w:hAnsi="新宋体" w:eastAsia="新宋体"/>
                <w:szCs w:val="21"/>
              </w:rPr>
            </w:pPr>
          </w:p>
        </w:tc>
        <w:tc>
          <w:tcPr>
            <w:tcW w:w="297" w:type="pct"/>
          </w:tcPr>
          <w:p>
            <w:pPr>
              <w:rPr>
                <w:rFonts w:ascii="新宋体" w:hAnsi="新宋体" w:eastAsia="新宋体"/>
                <w:szCs w:val="21"/>
              </w:rPr>
            </w:pPr>
          </w:p>
        </w:tc>
        <w:tc>
          <w:tcPr>
            <w:tcW w:w="210" w:type="pct"/>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3" w:type="pct"/>
          </w:tcPr>
          <w:p>
            <w:pPr>
              <w:rPr>
                <w:rFonts w:ascii="新宋体" w:hAnsi="新宋体" w:eastAsia="新宋体"/>
                <w:szCs w:val="21"/>
              </w:rPr>
            </w:pPr>
          </w:p>
        </w:tc>
        <w:tc>
          <w:tcPr>
            <w:tcW w:w="675" w:type="pct"/>
          </w:tcPr>
          <w:p>
            <w:pPr>
              <w:rPr>
                <w:rFonts w:ascii="新宋体" w:hAnsi="新宋体" w:eastAsia="新宋体"/>
                <w:szCs w:val="21"/>
              </w:rPr>
            </w:pPr>
          </w:p>
        </w:tc>
        <w:tc>
          <w:tcPr>
            <w:tcW w:w="886" w:type="pct"/>
          </w:tcPr>
          <w:p>
            <w:pPr>
              <w:rPr>
                <w:rFonts w:ascii="新宋体" w:hAnsi="新宋体" w:eastAsia="新宋体"/>
                <w:szCs w:val="21"/>
              </w:rPr>
            </w:pPr>
          </w:p>
        </w:tc>
        <w:tc>
          <w:tcPr>
            <w:tcW w:w="458" w:type="pct"/>
          </w:tcPr>
          <w:p>
            <w:pPr>
              <w:rPr>
                <w:rFonts w:ascii="新宋体" w:hAnsi="新宋体" w:eastAsia="新宋体"/>
                <w:szCs w:val="21"/>
              </w:rPr>
            </w:pPr>
          </w:p>
        </w:tc>
        <w:tc>
          <w:tcPr>
            <w:tcW w:w="483" w:type="pct"/>
          </w:tcPr>
          <w:p>
            <w:pPr>
              <w:rPr>
                <w:rFonts w:ascii="新宋体" w:hAnsi="新宋体" w:eastAsia="新宋体"/>
                <w:szCs w:val="21"/>
              </w:rPr>
            </w:pPr>
          </w:p>
        </w:tc>
        <w:tc>
          <w:tcPr>
            <w:tcW w:w="638" w:type="pct"/>
          </w:tcPr>
          <w:p>
            <w:pPr>
              <w:rPr>
                <w:rFonts w:ascii="新宋体" w:hAnsi="新宋体" w:eastAsia="新宋体"/>
                <w:szCs w:val="21"/>
              </w:rPr>
            </w:pPr>
          </w:p>
        </w:tc>
        <w:tc>
          <w:tcPr>
            <w:tcW w:w="322" w:type="pct"/>
          </w:tcPr>
          <w:p>
            <w:pPr>
              <w:rPr>
                <w:rFonts w:ascii="新宋体" w:hAnsi="新宋体" w:eastAsia="新宋体"/>
                <w:szCs w:val="21"/>
              </w:rPr>
            </w:pPr>
          </w:p>
        </w:tc>
        <w:tc>
          <w:tcPr>
            <w:tcW w:w="396" w:type="pct"/>
          </w:tcPr>
          <w:p>
            <w:pPr>
              <w:rPr>
                <w:rFonts w:ascii="新宋体" w:hAnsi="新宋体" w:eastAsia="新宋体"/>
                <w:szCs w:val="21"/>
              </w:rPr>
            </w:pPr>
          </w:p>
        </w:tc>
        <w:tc>
          <w:tcPr>
            <w:tcW w:w="396" w:type="pct"/>
          </w:tcPr>
          <w:p>
            <w:pPr>
              <w:rPr>
                <w:rFonts w:ascii="新宋体" w:hAnsi="新宋体" w:eastAsia="新宋体"/>
                <w:szCs w:val="21"/>
              </w:rPr>
            </w:pPr>
          </w:p>
        </w:tc>
        <w:tc>
          <w:tcPr>
            <w:tcW w:w="297" w:type="pct"/>
          </w:tcPr>
          <w:p>
            <w:pPr>
              <w:rPr>
                <w:rFonts w:ascii="新宋体" w:hAnsi="新宋体" w:eastAsia="新宋体"/>
                <w:szCs w:val="21"/>
              </w:rPr>
            </w:pPr>
          </w:p>
        </w:tc>
        <w:tc>
          <w:tcPr>
            <w:tcW w:w="210" w:type="pct"/>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3" w:type="pct"/>
          </w:tcPr>
          <w:p>
            <w:pPr>
              <w:rPr>
                <w:rFonts w:ascii="新宋体" w:hAnsi="新宋体" w:eastAsia="新宋体"/>
                <w:szCs w:val="21"/>
              </w:rPr>
            </w:pPr>
          </w:p>
        </w:tc>
        <w:tc>
          <w:tcPr>
            <w:tcW w:w="675" w:type="pct"/>
          </w:tcPr>
          <w:p>
            <w:pPr>
              <w:rPr>
                <w:rFonts w:ascii="新宋体" w:hAnsi="新宋体" w:eastAsia="新宋体"/>
                <w:szCs w:val="21"/>
              </w:rPr>
            </w:pPr>
          </w:p>
        </w:tc>
        <w:tc>
          <w:tcPr>
            <w:tcW w:w="886" w:type="pct"/>
          </w:tcPr>
          <w:p>
            <w:pPr>
              <w:rPr>
                <w:rFonts w:ascii="新宋体" w:hAnsi="新宋体" w:eastAsia="新宋体"/>
                <w:szCs w:val="21"/>
              </w:rPr>
            </w:pPr>
          </w:p>
        </w:tc>
        <w:tc>
          <w:tcPr>
            <w:tcW w:w="458" w:type="pct"/>
          </w:tcPr>
          <w:p>
            <w:pPr>
              <w:rPr>
                <w:rFonts w:ascii="新宋体" w:hAnsi="新宋体" w:eastAsia="新宋体"/>
                <w:szCs w:val="21"/>
              </w:rPr>
            </w:pPr>
          </w:p>
        </w:tc>
        <w:tc>
          <w:tcPr>
            <w:tcW w:w="483" w:type="pct"/>
          </w:tcPr>
          <w:p>
            <w:pPr>
              <w:rPr>
                <w:rFonts w:ascii="新宋体" w:hAnsi="新宋体" w:eastAsia="新宋体"/>
                <w:szCs w:val="21"/>
              </w:rPr>
            </w:pPr>
          </w:p>
        </w:tc>
        <w:tc>
          <w:tcPr>
            <w:tcW w:w="638" w:type="pct"/>
          </w:tcPr>
          <w:p>
            <w:pPr>
              <w:rPr>
                <w:rFonts w:ascii="新宋体" w:hAnsi="新宋体" w:eastAsia="新宋体"/>
                <w:szCs w:val="21"/>
              </w:rPr>
            </w:pPr>
          </w:p>
        </w:tc>
        <w:tc>
          <w:tcPr>
            <w:tcW w:w="322" w:type="pct"/>
          </w:tcPr>
          <w:p>
            <w:pPr>
              <w:rPr>
                <w:rFonts w:ascii="新宋体" w:hAnsi="新宋体" w:eastAsia="新宋体"/>
                <w:szCs w:val="21"/>
              </w:rPr>
            </w:pPr>
          </w:p>
        </w:tc>
        <w:tc>
          <w:tcPr>
            <w:tcW w:w="396" w:type="pct"/>
          </w:tcPr>
          <w:p>
            <w:pPr>
              <w:rPr>
                <w:rFonts w:ascii="新宋体" w:hAnsi="新宋体" w:eastAsia="新宋体"/>
                <w:szCs w:val="21"/>
              </w:rPr>
            </w:pPr>
          </w:p>
        </w:tc>
        <w:tc>
          <w:tcPr>
            <w:tcW w:w="396" w:type="pct"/>
          </w:tcPr>
          <w:p>
            <w:pPr>
              <w:rPr>
                <w:rFonts w:ascii="新宋体" w:hAnsi="新宋体" w:eastAsia="新宋体"/>
                <w:szCs w:val="21"/>
              </w:rPr>
            </w:pPr>
          </w:p>
        </w:tc>
        <w:tc>
          <w:tcPr>
            <w:tcW w:w="297" w:type="pct"/>
          </w:tcPr>
          <w:p>
            <w:pPr>
              <w:rPr>
                <w:rFonts w:ascii="新宋体" w:hAnsi="新宋体" w:eastAsia="新宋体"/>
                <w:szCs w:val="21"/>
              </w:rPr>
            </w:pPr>
          </w:p>
        </w:tc>
        <w:tc>
          <w:tcPr>
            <w:tcW w:w="210" w:type="pct"/>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3" w:type="pct"/>
          </w:tcPr>
          <w:p>
            <w:pPr>
              <w:rPr>
                <w:rFonts w:ascii="新宋体" w:hAnsi="新宋体" w:eastAsia="新宋体"/>
                <w:szCs w:val="21"/>
              </w:rPr>
            </w:pPr>
          </w:p>
        </w:tc>
        <w:tc>
          <w:tcPr>
            <w:tcW w:w="675" w:type="pct"/>
          </w:tcPr>
          <w:p>
            <w:pPr>
              <w:rPr>
                <w:rFonts w:ascii="新宋体" w:hAnsi="新宋体" w:eastAsia="新宋体"/>
                <w:szCs w:val="21"/>
              </w:rPr>
            </w:pPr>
          </w:p>
        </w:tc>
        <w:tc>
          <w:tcPr>
            <w:tcW w:w="886" w:type="pct"/>
          </w:tcPr>
          <w:p>
            <w:pPr>
              <w:rPr>
                <w:rFonts w:ascii="新宋体" w:hAnsi="新宋体" w:eastAsia="新宋体"/>
                <w:szCs w:val="21"/>
              </w:rPr>
            </w:pPr>
          </w:p>
        </w:tc>
        <w:tc>
          <w:tcPr>
            <w:tcW w:w="458" w:type="pct"/>
          </w:tcPr>
          <w:p>
            <w:pPr>
              <w:rPr>
                <w:rFonts w:ascii="新宋体" w:hAnsi="新宋体" w:eastAsia="新宋体"/>
                <w:szCs w:val="21"/>
              </w:rPr>
            </w:pPr>
          </w:p>
        </w:tc>
        <w:tc>
          <w:tcPr>
            <w:tcW w:w="483" w:type="pct"/>
          </w:tcPr>
          <w:p>
            <w:pPr>
              <w:rPr>
                <w:rFonts w:ascii="新宋体" w:hAnsi="新宋体" w:eastAsia="新宋体"/>
                <w:szCs w:val="21"/>
              </w:rPr>
            </w:pPr>
          </w:p>
        </w:tc>
        <w:tc>
          <w:tcPr>
            <w:tcW w:w="638" w:type="pct"/>
          </w:tcPr>
          <w:p>
            <w:pPr>
              <w:rPr>
                <w:rFonts w:ascii="新宋体" w:hAnsi="新宋体" w:eastAsia="新宋体"/>
                <w:szCs w:val="21"/>
              </w:rPr>
            </w:pPr>
          </w:p>
        </w:tc>
        <w:tc>
          <w:tcPr>
            <w:tcW w:w="322" w:type="pct"/>
          </w:tcPr>
          <w:p>
            <w:pPr>
              <w:rPr>
                <w:rFonts w:ascii="新宋体" w:hAnsi="新宋体" w:eastAsia="新宋体"/>
                <w:szCs w:val="21"/>
              </w:rPr>
            </w:pPr>
          </w:p>
        </w:tc>
        <w:tc>
          <w:tcPr>
            <w:tcW w:w="396" w:type="pct"/>
          </w:tcPr>
          <w:p>
            <w:pPr>
              <w:rPr>
                <w:rFonts w:ascii="新宋体" w:hAnsi="新宋体" w:eastAsia="新宋体"/>
                <w:szCs w:val="21"/>
              </w:rPr>
            </w:pPr>
          </w:p>
        </w:tc>
        <w:tc>
          <w:tcPr>
            <w:tcW w:w="396" w:type="pct"/>
          </w:tcPr>
          <w:p>
            <w:pPr>
              <w:rPr>
                <w:rFonts w:ascii="新宋体" w:hAnsi="新宋体" w:eastAsia="新宋体"/>
                <w:szCs w:val="21"/>
              </w:rPr>
            </w:pPr>
          </w:p>
        </w:tc>
        <w:tc>
          <w:tcPr>
            <w:tcW w:w="297" w:type="pct"/>
          </w:tcPr>
          <w:p>
            <w:pPr>
              <w:rPr>
                <w:rFonts w:ascii="新宋体" w:hAnsi="新宋体" w:eastAsia="新宋体"/>
                <w:szCs w:val="21"/>
              </w:rPr>
            </w:pPr>
          </w:p>
        </w:tc>
        <w:tc>
          <w:tcPr>
            <w:tcW w:w="210" w:type="pct"/>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3" w:type="pct"/>
          </w:tcPr>
          <w:p>
            <w:pPr>
              <w:rPr>
                <w:rFonts w:ascii="新宋体" w:hAnsi="新宋体" w:eastAsia="新宋体"/>
                <w:szCs w:val="21"/>
              </w:rPr>
            </w:pPr>
          </w:p>
        </w:tc>
        <w:tc>
          <w:tcPr>
            <w:tcW w:w="675" w:type="pct"/>
          </w:tcPr>
          <w:p>
            <w:pPr>
              <w:rPr>
                <w:rFonts w:ascii="新宋体" w:hAnsi="新宋体" w:eastAsia="新宋体"/>
                <w:szCs w:val="21"/>
              </w:rPr>
            </w:pPr>
          </w:p>
        </w:tc>
        <w:tc>
          <w:tcPr>
            <w:tcW w:w="886" w:type="pct"/>
          </w:tcPr>
          <w:p>
            <w:pPr>
              <w:rPr>
                <w:rFonts w:ascii="新宋体" w:hAnsi="新宋体" w:eastAsia="新宋体"/>
                <w:szCs w:val="21"/>
              </w:rPr>
            </w:pPr>
          </w:p>
        </w:tc>
        <w:tc>
          <w:tcPr>
            <w:tcW w:w="458" w:type="pct"/>
          </w:tcPr>
          <w:p>
            <w:pPr>
              <w:rPr>
                <w:rFonts w:ascii="新宋体" w:hAnsi="新宋体" w:eastAsia="新宋体"/>
                <w:szCs w:val="21"/>
              </w:rPr>
            </w:pPr>
          </w:p>
        </w:tc>
        <w:tc>
          <w:tcPr>
            <w:tcW w:w="483" w:type="pct"/>
          </w:tcPr>
          <w:p>
            <w:pPr>
              <w:rPr>
                <w:rFonts w:ascii="新宋体" w:hAnsi="新宋体" w:eastAsia="新宋体"/>
                <w:szCs w:val="21"/>
              </w:rPr>
            </w:pPr>
          </w:p>
        </w:tc>
        <w:tc>
          <w:tcPr>
            <w:tcW w:w="638" w:type="pct"/>
          </w:tcPr>
          <w:p>
            <w:pPr>
              <w:rPr>
                <w:rFonts w:ascii="新宋体" w:hAnsi="新宋体" w:eastAsia="新宋体"/>
                <w:szCs w:val="21"/>
              </w:rPr>
            </w:pPr>
          </w:p>
        </w:tc>
        <w:tc>
          <w:tcPr>
            <w:tcW w:w="322" w:type="pct"/>
          </w:tcPr>
          <w:p>
            <w:pPr>
              <w:rPr>
                <w:rFonts w:ascii="新宋体" w:hAnsi="新宋体" w:eastAsia="新宋体"/>
                <w:szCs w:val="21"/>
              </w:rPr>
            </w:pPr>
          </w:p>
        </w:tc>
        <w:tc>
          <w:tcPr>
            <w:tcW w:w="396" w:type="pct"/>
          </w:tcPr>
          <w:p>
            <w:pPr>
              <w:rPr>
                <w:rFonts w:ascii="新宋体" w:hAnsi="新宋体" w:eastAsia="新宋体"/>
                <w:szCs w:val="21"/>
              </w:rPr>
            </w:pPr>
          </w:p>
        </w:tc>
        <w:tc>
          <w:tcPr>
            <w:tcW w:w="396" w:type="pct"/>
          </w:tcPr>
          <w:p>
            <w:pPr>
              <w:rPr>
                <w:rFonts w:ascii="新宋体" w:hAnsi="新宋体" w:eastAsia="新宋体"/>
                <w:szCs w:val="21"/>
              </w:rPr>
            </w:pPr>
          </w:p>
        </w:tc>
        <w:tc>
          <w:tcPr>
            <w:tcW w:w="297" w:type="pct"/>
          </w:tcPr>
          <w:p>
            <w:pPr>
              <w:rPr>
                <w:rFonts w:ascii="新宋体" w:hAnsi="新宋体" w:eastAsia="新宋体"/>
                <w:szCs w:val="21"/>
              </w:rPr>
            </w:pPr>
          </w:p>
        </w:tc>
        <w:tc>
          <w:tcPr>
            <w:tcW w:w="210" w:type="pct"/>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3" w:type="pct"/>
          </w:tcPr>
          <w:p>
            <w:pPr>
              <w:rPr>
                <w:rFonts w:ascii="新宋体" w:hAnsi="新宋体" w:eastAsia="新宋体"/>
                <w:szCs w:val="21"/>
              </w:rPr>
            </w:pPr>
          </w:p>
        </w:tc>
        <w:tc>
          <w:tcPr>
            <w:tcW w:w="675" w:type="pct"/>
          </w:tcPr>
          <w:p>
            <w:pPr>
              <w:rPr>
                <w:rFonts w:ascii="新宋体" w:hAnsi="新宋体" w:eastAsia="新宋体"/>
                <w:szCs w:val="21"/>
              </w:rPr>
            </w:pPr>
          </w:p>
        </w:tc>
        <w:tc>
          <w:tcPr>
            <w:tcW w:w="886" w:type="pct"/>
          </w:tcPr>
          <w:p>
            <w:pPr>
              <w:rPr>
                <w:rFonts w:ascii="新宋体" w:hAnsi="新宋体" w:eastAsia="新宋体"/>
                <w:szCs w:val="21"/>
              </w:rPr>
            </w:pPr>
          </w:p>
        </w:tc>
        <w:tc>
          <w:tcPr>
            <w:tcW w:w="458" w:type="pct"/>
          </w:tcPr>
          <w:p>
            <w:pPr>
              <w:rPr>
                <w:rFonts w:ascii="新宋体" w:hAnsi="新宋体" w:eastAsia="新宋体"/>
                <w:szCs w:val="21"/>
              </w:rPr>
            </w:pPr>
          </w:p>
        </w:tc>
        <w:tc>
          <w:tcPr>
            <w:tcW w:w="483" w:type="pct"/>
          </w:tcPr>
          <w:p>
            <w:pPr>
              <w:rPr>
                <w:rFonts w:ascii="新宋体" w:hAnsi="新宋体" w:eastAsia="新宋体"/>
                <w:szCs w:val="21"/>
              </w:rPr>
            </w:pPr>
          </w:p>
        </w:tc>
        <w:tc>
          <w:tcPr>
            <w:tcW w:w="638" w:type="pct"/>
          </w:tcPr>
          <w:p>
            <w:pPr>
              <w:rPr>
                <w:rFonts w:ascii="新宋体" w:hAnsi="新宋体" w:eastAsia="新宋体"/>
                <w:szCs w:val="21"/>
              </w:rPr>
            </w:pPr>
          </w:p>
        </w:tc>
        <w:tc>
          <w:tcPr>
            <w:tcW w:w="322" w:type="pct"/>
          </w:tcPr>
          <w:p>
            <w:pPr>
              <w:rPr>
                <w:rFonts w:ascii="新宋体" w:hAnsi="新宋体" w:eastAsia="新宋体"/>
                <w:szCs w:val="21"/>
              </w:rPr>
            </w:pPr>
          </w:p>
        </w:tc>
        <w:tc>
          <w:tcPr>
            <w:tcW w:w="396" w:type="pct"/>
          </w:tcPr>
          <w:p>
            <w:pPr>
              <w:rPr>
                <w:rFonts w:ascii="新宋体" w:hAnsi="新宋体" w:eastAsia="新宋体"/>
                <w:szCs w:val="21"/>
              </w:rPr>
            </w:pPr>
          </w:p>
        </w:tc>
        <w:tc>
          <w:tcPr>
            <w:tcW w:w="396" w:type="pct"/>
          </w:tcPr>
          <w:p>
            <w:pPr>
              <w:rPr>
                <w:rFonts w:ascii="新宋体" w:hAnsi="新宋体" w:eastAsia="新宋体"/>
                <w:szCs w:val="21"/>
              </w:rPr>
            </w:pPr>
          </w:p>
        </w:tc>
        <w:tc>
          <w:tcPr>
            <w:tcW w:w="297" w:type="pct"/>
          </w:tcPr>
          <w:p>
            <w:pPr>
              <w:rPr>
                <w:rFonts w:ascii="新宋体" w:hAnsi="新宋体" w:eastAsia="新宋体"/>
                <w:szCs w:val="21"/>
              </w:rPr>
            </w:pPr>
          </w:p>
        </w:tc>
        <w:tc>
          <w:tcPr>
            <w:tcW w:w="210" w:type="pct"/>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000" w:type="pct"/>
            <w:gridSpan w:val="11"/>
          </w:tcPr>
          <w:p>
            <w:pPr>
              <w:rPr>
                <w:rFonts w:ascii="新宋体" w:hAnsi="新宋体" w:eastAsia="新宋体"/>
                <w:szCs w:val="21"/>
              </w:rPr>
            </w:pPr>
            <w:r>
              <w:rPr>
                <w:rFonts w:hint="eastAsia" w:ascii="新宋体" w:hAnsi="新宋体" w:eastAsia="新宋体"/>
                <w:szCs w:val="21"/>
              </w:rPr>
              <w:t>合计（即：投标总价；币种：人民币；单位：元）：</w:t>
            </w:r>
            <w:r>
              <w:rPr>
                <w:rFonts w:hint="eastAsia" w:ascii="新宋体" w:hAnsi="新宋体" w:eastAsia="新宋体"/>
                <w:color w:val="FF0000"/>
                <w:szCs w:val="21"/>
              </w:rPr>
              <w:t>大写：</w:t>
            </w:r>
          </w:p>
        </w:tc>
      </w:tr>
    </w:tbl>
    <w:p>
      <w:pPr>
        <w:rPr>
          <w:rFonts w:ascii="宋体" w:hAnsi="宋体"/>
          <w:szCs w:val="21"/>
        </w:rPr>
      </w:pPr>
    </w:p>
    <w:p>
      <w:pPr>
        <w:spacing w:line="360" w:lineRule="auto"/>
        <w:rPr>
          <w:rFonts w:ascii="新宋体" w:hAnsi="新宋体" w:eastAsia="新宋体"/>
          <w:b/>
          <w:color w:val="FF0000"/>
          <w:szCs w:val="21"/>
        </w:rPr>
      </w:pPr>
      <w:r>
        <w:rPr>
          <w:rFonts w:hint="eastAsia" w:ascii="新宋体" w:hAnsi="新宋体" w:eastAsia="新宋体"/>
          <w:b/>
          <w:color w:val="FF0000"/>
          <w:szCs w:val="21"/>
        </w:rPr>
        <w:t>注：1. 请根据“第二章 招标项目需求” “二、货物清单”填写；本表格式不得修改。</w:t>
      </w:r>
    </w:p>
    <w:p>
      <w:pPr>
        <w:spacing w:line="360" w:lineRule="auto"/>
        <w:rPr>
          <w:rFonts w:ascii="新宋体" w:hAnsi="新宋体" w:eastAsia="新宋体"/>
          <w:b/>
          <w:color w:val="FF0000"/>
          <w:szCs w:val="21"/>
        </w:rPr>
      </w:pPr>
      <w:r>
        <w:rPr>
          <w:rFonts w:ascii="新宋体" w:hAnsi="新宋体" w:eastAsia="新宋体"/>
          <w:b/>
          <w:color w:val="FF0000"/>
          <w:szCs w:val="21"/>
        </w:rPr>
        <w:t xml:space="preserve">    2</w:t>
      </w:r>
      <w:r>
        <w:rPr>
          <w:rFonts w:hint="eastAsia" w:ascii="新宋体" w:hAnsi="新宋体" w:eastAsia="新宋体"/>
          <w:b/>
          <w:color w:val="FF0000"/>
          <w:szCs w:val="21"/>
        </w:rPr>
        <w:t>. 所有价格应按“招标文件”中规定的货币单位填写；投标总价应为以上各分项价格之和；投标总价和项目报价表中单个采购预算条目报价均不得超过对应的财政预算限额，否则将导致无效投标。</w:t>
      </w:r>
    </w:p>
    <w:p>
      <w:pPr>
        <w:spacing w:line="360" w:lineRule="auto"/>
        <w:ind w:firstLine="422" w:firstLineChars="200"/>
        <w:rPr>
          <w:rFonts w:ascii="新宋体" w:hAnsi="新宋体" w:eastAsia="新宋体"/>
          <w:b/>
          <w:color w:val="FF0000"/>
          <w:szCs w:val="21"/>
        </w:rPr>
      </w:pPr>
      <w:r>
        <w:rPr>
          <w:rFonts w:hint="eastAsia" w:ascii="新宋体" w:hAnsi="新宋体" w:eastAsia="新宋体"/>
          <w:b/>
          <w:color w:val="FF0000"/>
          <w:szCs w:val="21"/>
        </w:rPr>
        <w:t>3.</w:t>
      </w:r>
      <w:r>
        <w:rPr>
          <w:rFonts w:ascii="新宋体" w:hAnsi="新宋体" w:eastAsia="新宋体"/>
          <w:b/>
          <w:color w:val="FF0000"/>
          <w:szCs w:val="21"/>
        </w:rPr>
        <w:t xml:space="preserve"> </w:t>
      </w:r>
      <w:r>
        <w:rPr>
          <w:rFonts w:hint="eastAsia" w:ascii="新宋体" w:hAnsi="新宋体" w:eastAsia="新宋体"/>
          <w:b/>
          <w:color w:val="FF0000"/>
          <w:szCs w:val="21"/>
        </w:rPr>
        <w:t>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ind w:firstLine="422" w:firstLineChars="200"/>
        <w:rPr>
          <w:rFonts w:ascii="新宋体" w:hAnsi="新宋体" w:eastAsia="新宋体"/>
          <w:b/>
          <w:color w:val="FF0000"/>
          <w:szCs w:val="21"/>
        </w:rPr>
      </w:pPr>
      <w:r>
        <w:rPr>
          <w:rFonts w:hint="eastAsia" w:ascii="新宋体" w:hAnsi="新宋体" w:eastAsia="新宋体"/>
          <w:b/>
          <w:color w:val="FF0000"/>
          <w:szCs w:val="21"/>
        </w:rPr>
        <w:t>4.</w:t>
      </w:r>
      <w:r>
        <w:rPr>
          <w:rFonts w:ascii="新宋体" w:hAnsi="新宋体" w:eastAsia="新宋体"/>
          <w:b/>
          <w:color w:val="FF0000"/>
          <w:szCs w:val="21"/>
        </w:rPr>
        <w:t xml:space="preserve"> </w:t>
      </w:r>
      <w:r>
        <w:rPr>
          <w:rFonts w:hint="eastAsia" w:ascii="新宋体" w:hAnsi="新宋体" w:eastAsia="新宋体"/>
          <w:b/>
          <w:color w:val="FF0000"/>
          <w:szCs w:val="21"/>
        </w:rPr>
        <w:t>开标一览表的投标总价应当与项目报价表的投标总价一致。</w:t>
      </w:r>
    </w:p>
    <w:p>
      <w:pPr>
        <w:spacing w:line="360" w:lineRule="auto"/>
        <w:ind w:firstLine="413" w:firstLineChars="196"/>
        <w:rPr>
          <w:rFonts w:ascii="新宋体" w:hAnsi="新宋体" w:eastAsia="新宋体"/>
          <w:b/>
          <w:color w:val="FF0000"/>
          <w:szCs w:val="21"/>
        </w:rPr>
      </w:pPr>
      <w:r>
        <w:rPr>
          <w:rFonts w:hint="eastAsia" w:ascii="新宋体" w:hAnsi="新宋体" w:eastAsia="新宋体"/>
          <w:b/>
          <w:color w:val="FF0000"/>
          <w:szCs w:val="21"/>
        </w:rPr>
        <w:t>5.</w:t>
      </w:r>
      <w:r>
        <w:rPr>
          <w:rFonts w:ascii="新宋体" w:hAnsi="新宋体" w:eastAsia="新宋体"/>
          <w:b/>
          <w:color w:val="FF0000"/>
          <w:szCs w:val="21"/>
        </w:rPr>
        <w:t xml:space="preserve"> </w:t>
      </w:r>
      <w:r>
        <w:rPr>
          <w:rFonts w:hint="eastAsia" w:ascii="新宋体" w:hAnsi="新宋体" w:eastAsia="新宋体"/>
          <w:b/>
          <w:color w:val="FF0000"/>
          <w:szCs w:val="21"/>
        </w:rPr>
        <w:t>“原产地”是指该产品的实际生产加工地，而非品牌总公司所在地。</w:t>
      </w:r>
    </w:p>
    <w:p>
      <w:pPr>
        <w:spacing w:line="360" w:lineRule="auto"/>
        <w:ind w:firstLine="413" w:firstLineChars="196"/>
        <w:rPr>
          <w:rFonts w:ascii="新宋体" w:hAnsi="新宋体" w:eastAsia="新宋体"/>
          <w:b/>
          <w:color w:val="FF0000"/>
          <w:szCs w:val="21"/>
        </w:rPr>
      </w:pPr>
      <w:r>
        <w:rPr>
          <w:rFonts w:hint="eastAsia" w:ascii="新宋体" w:hAnsi="新宋体" w:eastAsia="新宋体"/>
          <w:b/>
          <w:color w:val="FF0000"/>
          <w:szCs w:val="21"/>
        </w:rPr>
        <w:t>6.</w:t>
      </w:r>
      <w:r>
        <w:rPr>
          <w:rFonts w:hint="eastAsia" w:ascii="新宋体" w:hAnsi="新宋体" w:eastAsia="新宋体"/>
          <w:szCs w:val="21"/>
        </w:rPr>
        <w:t xml:space="preserve"> </w:t>
      </w:r>
      <w:r>
        <w:rPr>
          <w:rFonts w:hint="eastAsia" w:ascii="新宋体" w:hAnsi="新宋体" w:eastAsia="新宋体"/>
          <w:b/>
          <w:color w:val="FF0000"/>
          <w:szCs w:val="21"/>
        </w:rPr>
        <w:t>详细填写所投货物的制造商名称；若如所投产品属于定制类的非量产货物或无具体型号的货物，可以不填写型号等信息，但应当标注投标产品为定制产品。</w:t>
      </w:r>
    </w:p>
    <w:p>
      <w:pPr>
        <w:ind w:firstLine="482" w:firstLineChars="200"/>
        <w:rPr>
          <w:rFonts w:ascii="宋体" w:hAnsi="宋体"/>
          <w:b/>
          <w:color w:val="FF0000"/>
          <w:sz w:val="24"/>
        </w:rPr>
      </w:pPr>
    </w:p>
    <w:p>
      <w:pPr>
        <w:ind w:firstLine="482" w:firstLineChars="200"/>
        <w:rPr>
          <w:rFonts w:ascii="宋体" w:hAnsi="宋体"/>
          <w:b/>
          <w:color w:val="FF0000"/>
          <w:sz w:val="24"/>
        </w:rPr>
      </w:pPr>
    </w:p>
    <w:p>
      <w:pPr>
        <w:ind w:firstLine="482" w:firstLineChars="200"/>
        <w:rPr>
          <w:rFonts w:ascii="宋体" w:hAnsi="宋体"/>
          <w:b/>
          <w:color w:val="FF0000"/>
          <w:sz w:val="24"/>
        </w:rPr>
      </w:pPr>
    </w:p>
    <w:p>
      <w:pPr>
        <w:numPr>
          <w:ilvl w:val="0"/>
          <w:numId w:val="10"/>
        </w:numPr>
        <w:ind w:left="482" w:hanging="482"/>
        <w:jc w:val="center"/>
        <w:rPr>
          <w:rFonts w:ascii="新宋体" w:hAnsi="新宋体" w:eastAsia="新宋体"/>
          <w:b/>
          <w:szCs w:val="21"/>
        </w:rPr>
      </w:pPr>
      <w:r>
        <w:rPr>
          <w:rFonts w:hint="eastAsia" w:ascii="新宋体" w:hAnsi="新宋体" w:eastAsia="新宋体"/>
          <w:b/>
          <w:szCs w:val="21"/>
        </w:rPr>
        <w:t>核心产品的品牌情况</w:t>
      </w:r>
    </w:p>
    <w:p>
      <w:pPr>
        <w:ind w:firstLine="422" w:firstLineChars="200"/>
        <w:rPr>
          <w:rFonts w:ascii="新宋体" w:hAnsi="新宋体" w:eastAsia="新宋体"/>
          <w:b/>
          <w:color w:val="FF0000"/>
          <w:szCs w:val="21"/>
        </w:rPr>
      </w:pPr>
    </w:p>
    <w:p>
      <w:pPr>
        <w:ind w:firstLine="422" w:firstLineChars="200"/>
        <w:rPr>
          <w:rFonts w:ascii="新宋体" w:hAnsi="新宋体" w:eastAsia="新宋体"/>
          <w:b/>
          <w:color w:val="FF0000"/>
          <w:szCs w:val="21"/>
        </w:rPr>
      </w:pPr>
      <w:r>
        <w:rPr>
          <w:rFonts w:hint="eastAsia" w:ascii="新宋体" w:hAnsi="新宋体" w:eastAsia="新宋体"/>
          <w:b/>
          <w:color w:val="FF0000"/>
          <w:szCs w:val="21"/>
        </w:rPr>
        <w:t>我公司所投核心产品的品牌为：</w:t>
      </w:r>
      <w:r>
        <w:rPr>
          <w:rFonts w:hint="eastAsia" w:ascii="新宋体" w:hAnsi="新宋体" w:eastAsia="新宋体"/>
          <w:b/>
          <w:color w:val="FF0000"/>
          <w:szCs w:val="21"/>
          <w:u w:val="single"/>
        </w:rPr>
        <w:t xml:space="preserve">               </w:t>
      </w:r>
      <w:r>
        <w:rPr>
          <w:rFonts w:hint="eastAsia" w:ascii="新宋体" w:hAnsi="新宋体" w:eastAsia="新宋体"/>
          <w:b/>
          <w:color w:val="FF0000"/>
          <w:szCs w:val="21"/>
        </w:rPr>
        <w:t>。</w:t>
      </w:r>
    </w:p>
    <w:p>
      <w:pPr>
        <w:ind w:firstLine="422" w:firstLineChars="200"/>
        <w:rPr>
          <w:rFonts w:ascii="新宋体" w:hAnsi="新宋体" w:eastAsia="新宋体"/>
          <w:b/>
          <w:color w:val="FF0000"/>
          <w:szCs w:val="21"/>
        </w:rPr>
      </w:pPr>
    </w:p>
    <w:p>
      <w:pPr>
        <w:ind w:firstLine="420" w:firstLineChars="200"/>
        <w:rPr>
          <w:rFonts w:ascii="新宋体" w:hAnsi="新宋体" w:eastAsia="新宋体"/>
          <w:szCs w:val="21"/>
        </w:rPr>
      </w:pPr>
      <w:r>
        <w:rPr>
          <w:rFonts w:hint="eastAsia" w:ascii="新宋体" w:hAnsi="新宋体" w:eastAsia="新宋体"/>
          <w:szCs w:val="21"/>
        </w:rPr>
        <w:t>备注：招标文件未列明核心产品的，无需填写该项。</w:t>
      </w:r>
    </w:p>
    <w:p>
      <w:pPr>
        <w:ind w:firstLine="422" w:firstLineChars="200"/>
        <w:rPr>
          <w:rFonts w:ascii="新宋体" w:hAnsi="新宋体" w:eastAsia="新宋体"/>
          <w:b/>
          <w:color w:val="FF0000"/>
          <w:szCs w:val="21"/>
        </w:rPr>
      </w:pPr>
    </w:p>
    <w:p>
      <w:pPr>
        <w:ind w:firstLine="422" w:firstLineChars="200"/>
        <w:rPr>
          <w:rFonts w:ascii="新宋体" w:hAnsi="新宋体" w:eastAsia="新宋体"/>
          <w:b/>
          <w:color w:val="FF0000"/>
          <w:szCs w:val="21"/>
        </w:rPr>
      </w:pPr>
    </w:p>
    <w:p>
      <w:pPr>
        <w:rPr>
          <w:rFonts w:ascii="新宋体" w:hAnsi="新宋体" w:eastAsia="新宋体"/>
          <w:b/>
          <w:szCs w:val="21"/>
        </w:rPr>
      </w:pPr>
    </w:p>
    <w:p>
      <w:pPr>
        <w:numPr>
          <w:ilvl w:val="0"/>
          <w:numId w:val="10"/>
        </w:numPr>
        <w:ind w:left="482" w:hanging="482"/>
        <w:jc w:val="center"/>
        <w:rPr>
          <w:rFonts w:ascii="新宋体" w:hAnsi="新宋体" w:eastAsia="新宋体"/>
          <w:b/>
          <w:szCs w:val="21"/>
        </w:rPr>
      </w:pPr>
      <w:r>
        <w:rPr>
          <w:rFonts w:hint="eastAsia" w:ascii="新宋体" w:hAnsi="新宋体" w:eastAsia="新宋体"/>
          <w:b/>
          <w:szCs w:val="21"/>
        </w:rPr>
        <w:t>可选配件报价清单（不包括在总报价内）</w:t>
      </w:r>
    </w:p>
    <w:p>
      <w:pPr>
        <w:ind w:firstLine="422" w:firstLineChars="200"/>
        <w:rPr>
          <w:rFonts w:ascii="新宋体" w:hAnsi="新宋体" w:eastAsia="新宋体"/>
          <w:b/>
          <w:bCs/>
          <w:szCs w:val="21"/>
        </w:rPr>
      </w:pPr>
      <w:r>
        <w:rPr>
          <w:rFonts w:hint="eastAsia" w:ascii="新宋体" w:hAnsi="新宋体" w:eastAsia="新宋体"/>
          <w:b/>
          <w:bCs/>
          <w:szCs w:val="21"/>
        </w:rPr>
        <w:t>注：格式参照《（一）项目报价表》表格，但须提供相应的品牌（没有品牌的，可提供制造商名称）、规格型号、原产地、单价等详细信息</w:t>
      </w:r>
    </w:p>
    <w:p>
      <w:pPr>
        <w:ind w:firstLine="422" w:firstLineChars="200"/>
        <w:rPr>
          <w:rFonts w:ascii="新宋体" w:hAnsi="新宋体" w:eastAsia="新宋体"/>
          <w:b/>
          <w:bCs/>
          <w:szCs w:val="21"/>
        </w:rPr>
      </w:pPr>
    </w:p>
    <w:p>
      <w:pPr>
        <w:ind w:firstLine="422" w:firstLineChars="200"/>
        <w:rPr>
          <w:rFonts w:ascii="新宋体" w:hAnsi="新宋体" w:eastAsia="新宋体"/>
          <w:b/>
          <w:bCs/>
          <w:szCs w:val="21"/>
        </w:rPr>
      </w:pPr>
    </w:p>
    <w:p>
      <w:pPr>
        <w:numPr>
          <w:ilvl w:val="0"/>
          <w:numId w:val="10"/>
        </w:numPr>
        <w:ind w:left="482" w:hanging="482"/>
        <w:jc w:val="center"/>
        <w:rPr>
          <w:rFonts w:ascii="新宋体" w:hAnsi="新宋体" w:eastAsia="新宋体"/>
          <w:b/>
          <w:szCs w:val="21"/>
        </w:rPr>
      </w:pPr>
      <w:r>
        <w:rPr>
          <w:rFonts w:hint="eastAsia" w:ascii="新宋体" w:hAnsi="新宋体" w:eastAsia="新宋体"/>
          <w:b/>
          <w:szCs w:val="21"/>
        </w:rPr>
        <w:t>供应商认为需要涉及的其他内容报价清单</w:t>
      </w:r>
    </w:p>
    <w:p>
      <w:pPr>
        <w:ind w:firstLine="422" w:firstLineChars="200"/>
        <w:jc w:val="center"/>
        <w:rPr>
          <w:rFonts w:ascii="新宋体" w:hAnsi="新宋体" w:eastAsia="新宋体"/>
          <w:b/>
          <w:bCs/>
          <w:szCs w:val="21"/>
        </w:rPr>
      </w:pPr>
    </w:p>
    <w:p>
      <w:pPr>
        <w:pStyle w:val="4"/>
        <w:jc w:val="center"/>
        <w:rPr>
          <w:rFonts w:ascii="新宋体" w:hAnsi="新宋体" w:eastAsia="新宋体"/>
          <w:b w:val="0"/>
          <w:sz w:val="21"/>
          <w:szCs w:val="21"/>
        </w:rPr>
      </w:pPr>
      <w:r>
        <w:rPr>
          <w:rFonts w:hint="eastAsia" w:ascii="新宋体" w:hAnsi="新宋体" w:eastAsia="新宋体"/>
          <w:b w:val="0"/>
          <w:sz w:val="21"/>
          <w:szCs w:val="21"/>
        </w:rPr>
        <w:t>四、投标人情况介绍</w:t>
      </w:r>
    </w:p>
    <w:p>
      <w:pPr>
        <w:rPr>
          <w:b/>
          <w:bCs/>
          <w:sz w:val="24"/>
        </w:rPr>
      </w:pPr>
    </w:p>
    <w:p>
      <w:pPr>
        <w:rPr>
          <w:b/>
          <w:bCs/>
          <w:sz w:val="24"/>
        </w:rPr>
      </w:pPr>
    </w:p>
    <w:p>
      <w:pPr>
        <w:spacing w:line="360" w:lineRule="auto"/>
        <w:rPr>
          <w:rFonts w:ascii="新宋体" w:hAnsi="新宋体" w:eastAsia="新宋体"/>
          <w:b/>
          <w:bCs/>
          <w:szCs w:val="21"/>
        </w:rPr>
      </w:pPr>
    </w:p>
    <w:p>
      <w:pPr>
        <w:spacing w:line="360" w:lineRule="auto"/>
        <w:outlineLvl w:val="3"/>
        <w:rPr>
          <w:rFonts w:ascii="新宋体" w:hAnsi="新宋体" w:eastAsia="新宋体"/>
          <w:b/>
          <w:bCs/>
          <w:szCs w:val="21"/>
        </w:rPr>
      </w:pPr>
      <w:r>
        <w:rPr>
          <w:rFonts w:hint="eastAsia" w:ascii="新宋体" w:hAnsi="新宋体" w:eastAsia="新宋体"/>
          <w:b/>
          <w:bCs/>
          <w:szCs w:val="21"/>
        </w:rPr>
        <w:t>（一）投标人</w:t>
      </w:r>
      <w:r>
        <w:rPr>
          <w:rFonts w:hint="eastAsia" w:ascii="新宋体" w:hAnsi="新宋体" w:eastAsia="新宋体"/>
          <w:b/>
          <w:szCs w:val="21"/>
        </w:rPr>
        <w:t>资格证明文件</w:t>
      </w:r>
    </w:p>
    <w:p>
      <w:pPr>
        <w:spacing w:before="120" w:beforeLines="50" w:line="360" w:lineRule="auto"/>
        <w:rPr>
          <w:rFonts w:ascii="新宋体" w:hAnsi="新宋体" w:eastAsia="新宋体"/>
          <w:b/>
          <w:bCs/>
          <w:color w:val="FF0000"/>
          <w:szCs w:val="21"/>
        </w:rPr>
      </w:pPr>
      <w:r>
        <w:rPr>
          <w:rFonts w:hint="eastAsia" w:ascii="新宋体" w:hAnsi="新宋体" w:eastAsia="新宋体"/>
          <w:b/>
          <w:bCs/>
          <w:color w:val="FF0000"/>
          <w:szCs w:val="21"/>
        </w:rPr>
        <w:t>（特别提示：投标人须按本招标文件第一章招标公告 “投标人资质要求”提供相关的资质证明，未提供或提供不完整、不符合要求的，投标文件将按无效投标处理。）</w:t>
      </w:r>
    </w:p>
    <w:p>
      <w:pPr>
        <w:spacing w:line="360" w:lineRule="auto"/>
        <w:rPr>
          <w:rFonts w:ascii="新宋体" w:hAnsi="新宋体" w:eastAsia="新宋体"/>
          <w:b/>
          <w:bCs/>
          <w:szCs w:val="21"/>
        </w:rPr>
      </w:pPr>
    </w:p>
    <w:p>
      <w:pPr>
        <w:spacing w:line="360" w:lineRule="auto"/>
        <w:rPr>
          <w:rFonts w:ascii="新宋体" w:hAnsi="新宋体" w:eastAsia="新宋体"/>
          <w:b/>
          <w:bCs/>
          <w:szCs w:val="21"/>
        </w:rPr>
      </w:pPr>
    </w:p>
    <w:p>
      <w:pPr>
        <w:spacing w:line="360" w:lineRule="auto"/>
        <w:rPr>
          <w:rFonts w:ascii="新宋体" w:hAnsi="新宋体" w:eastAsia="新宋体"/>
          <w:b/>
          <w:bCs/>
          <w:szCs w:val="21"/>
        </w:rPr>
      </w:pPr>
    </w:p>
    <w:p>
      <w:pPr>
        <w:spacing w:line="360" w:lineRule="auto"/>
        <w:outlineLvl w:val="3"/>
        <w:rPr>
          <w:rFonts w:ascii="新宋体" w:hAnsi="新宋体" w:eastAsia="新宋体"/>
          <w:b/>
          <w:szCs w:val="21"/>
        </w:rPr>
      </w:pPr>
      <w:r>
        <w:rPr>
          <w:rFonts w:hint="eastAsia" w:ascii="新宋体" w:hAnsi="新宋体" w:eastAsia="新宋体"/>
          <w:b/>
          <w:bCs/>
          <w:szCs w:val="21"/>
        </w:rPr>
        <w:t>（二）技术保障措施及</w:t>
      </w:r>
      <w:r>
        <w:rPr>
          <w:rFonts w:hint="eastAsia" w:ascii="新宋体" w:hAnsi="新宋体" w:eastAsia="新宋体"/>
          <w:b/>
          <w:szCs w:val="21"/>
        </w:rPr>
        <w:t>实施本项目的主要技术人员情况表（格式自定，可选）</w:t>
      </w:r>
    </w:p>
    <w:p>
      <w:pPr>
        <w:spacing w:line="360" w:lineRule="auto"/>
        <w:rPr>
          <w:rFonts w:ascii="新宋体" w:hAnsi="新宋体" w:eastAsia="新宋体"/>
          <w:b/>
          <w:bCs/>
          <w:color w:val="FF0000"/>
          <w:szCs w:val="21"/>
        </w:rPr>
      </w:pPr>
      <w:r>
        <w:rPr>
          <w:rFonts w:hint="eastAsia" w:ascii="新宋体" w:hAnsi="新宋体" w:eastAsia="新宋体"/>
          <w:b/>
          <w:bCs/>
          <w:color w:val="FF0000"/>
          <w:szCs w:val="21"/>
        </w:rPr>
        <w:t>（特别提示：投标人须按本招标文件评标信息中 “技术保障措施”这一评审因素要求，提供相关技术保障方案或其它证明资料）</w:t>
      </w:r>
    </w:p>
    <w:p>
      <w:pPr>
        <w:spacing w:line="360" w:lineRule="auto"/>
        <w:rPr>
          <w:rFonts w:ascii="新宋体" w:hAnsi="新宋体" w:eastAsia="新宋体"/>
          <w:b/>
          <w:bCs/>
          <w:szCs w:val="21"/>
        </w:rPr>
      </w:pPr>
    </w:p>
    <w:p>
      <w:pPr>
        <w:spacing w:line="360" w:lineRule="auto"/>
        <w:outlineLvl w:val="3"/>
        <w:rPr>
          <w:rFonts w:ascii="新宋体" w:hAnsi="新宋体" w:eastAsia="新宋体"/>
          <w:b/>
          <w:bCs/>
          <w:szCs w:val="21"/>
        </w:rPr>
      </w:pPr>
      <w:r>
        <w:rPr>
          <w:rFonts w:hint="eastAsia" w:ascii="新宋体" w:hAnsi="新宋体" w:eastAsia="新宋体"/>
          <w:b/>
          <w:bCs/>
          <w:szCs w:val="21"/>
        </w:rPr>
        <w:t>（三）施工安全保障措施（可选）</w:t>
      </w:r>
    </w:p>
    <w:p>
      <w:pPr>
        <w:spacing w:line="360" w:lineRule="auto"/>
        <w:rPr>
          <w:rFonts w:ascii="新宋体" w:hAnsi="新宋体" w:eastAsia="新宋体"/>
          <w:b/>
          <w:bCs/>
          <w:color w:val="FF0000"/>
          <w:szCs w:val="21"/>
        </w:rPr>
      </w:pPr>
      <w:r>
        <w:rPr>
          <w:rFonts w:hint="eastAsia" w:ascii="新宋体" w:hAnsi="新宋体" w:eastAsia="新宋体"/>
          <w:b/>
          <w:bCs/>
          <w:color w:val="FF0000"/>
          <w:szCs w:val="21"/>
        </w:rPr>
        <w:t>（特别提示：投标人须按本招标文件评标信息中 “施工安全保障措施”这一评审因素要求，提供详细的施工安全保障方案或其它证明资料）</w:t>
      </w:r>
    </w:p>
    <w:p>
      <w:pPr>
        <w:spacing w:line="360" w:lineRule="auto"/>
        <w:rPr>
          <w:rFonts w:ascii="新宋体" w:hAnsi="新宋体" w:eastAsia="新宋体"/>
          <w:b/>
          <w:szCs w:val="21"/>
        </w:rPr>
      </w:pPr>
    </w:p>
    <w:p>
      <w:pPr>
        <w:spacing w:line="360" w:lineRule="auto"/>
        <w:outlineLvl w:val="3"/>
        <w:rPr>
          <w:rFonts w:ascii="新宋体" w:hAnsi="新宋体" w:eastAsia="新宋体"/>
          <w:b/>
          <w:szCs w:val="21"/>
        </w:rPr>
      </w:pPr>
      <w:r>
        <w:rPr>
          <w:rFonts w:hint="eastAsia" w:ascii="新宋体" w:hAnsi="新宋体" w:eastAsia="新宋体"/>
          <w:b/>
          <w:szCs w:val="21"/>
        </w:rPr>
        <w:t>（四）检测报告（可选）</w:t>
      </w:r>
    </w:p>
    <w:p>
      <w:pPr>
        <w:spacing w:line="360" w:lineRule="auto"/>
        <w:rPr>
          <w:rFonts w:ascii="新宋体" w:hAnsi="新宋体" w:eastAsia="新宋体"/>
          <w:b/>
          <w:bCs/>
          <w:color w:val="FF0000"/>
          <w:szCs w:val="21"/>
        </w:rPr>
      </w:pPr>
      <w:r>
        <w:rPr>
          <w:rFonts w:hint="eastAsia" w:ascii="新宋体" w:hAnsi="新宋体" w:eastAsia="新宋体"/>
          <w:b/>
          <w:bCs/>
          <w:color w:val="FF0000"/>
          <w:szCs w:val="21"/>
        </w:rPr>
        <w:t>（特别提示：投标人须按本招标文件评标信息中 “检测报告”这一评审因素要求，提供详细的检测报告或其它证明资料）</w:t>
      </w:r>
    </w:p>
    <w:p>
      <w:pPr>
        <w:spacing w:line="360" w:lineRule="auto"/>
        <w:rPr>
          <w:rFonts w:ascii="新宋体" w:hAnsi="新宋体" w:eastAsia="新宋体"/>
          <w:b/>
          <w:szCs w:val="21"/>
        </w:rPr>
      </w:pPr>
    </w:p>
    <w:p>
      <w:pPr>
        <w:spacing w:line="360" w:lineRule="auto"/>
        <w:outlineLvl w:val="3"/>
        <w:rPr>
          <w:rFonts w:ascii="新宋体" w:hAnsi="新宋体" w:eastAsia="新宋体"/>
          <w:b/>
          <w:color w:val="000000"/>
          <w:szCs w:val="21"/>
        </w:rPr>
      </w:pPr>
      <w:r>
        <w:rPr>
          <w:rFonts w:hint="eastAsia" w:ascii="新宋体" w:hAnsi="新宋体" w:eastAsia="新宋体"/>
          <w:b/>
          <w:szCs w:val="21"/>
        </w:rPr>
        <w:t>（五）奖项（可选）</w:t>
      </w:r>
    </w:p>
    <w:p>
      <w:pPr>
        <w:spacing w:line="360" w:lineRule="auto"/>
        <w:rPr>
          <w:rFonts w:ascii="新宋体" w:hAnsi="新宋体" w:eastAsia="新宋体"/>
          <w:b/>
          <w:bCs/>
          <w:color w:val="FF0000"/>
          <w:szCs w:val="21"/>
        </w:rPr>
      </w:pPr>
      <w:r>
        <w:rPr>
          <w:rFonts w:hint="eastAsia" w:ascii="新宋体" w:hAnsi="新宋体" w:eastAsia="新宋体"/>
          <w:b/>
          <w:bCs/>
          <w:color w:val="FF0000"/>
          <w:szCs w:val="21"/>
        </w:rPr>
        <w:t>（特别提示：投标人须按本招标文件评标信息中 “奖项”这一评审因素要求，提供相提供详细证明资料）</w:t>
      </w:r>
    </w:p>
    <w:p>
      <w:pPr>
        <w:spacing w:line="360" w:lineRule="auto"/>
        <w:rPr>
          <w:rFonts w:ascii="新宋体" w:hAnsi="新宋体" w:eastAsia="新宋体"/>
          <w:b/>
          <w:szCs w:val="21"/>
        </w:rPr>
      </w:pPr>
    </w:p>
    <w:p>
      <w:pPr>
        <w:spacing w:line="360" w:lineRule="auto"/>
        <w:outlineLvl w:val="3"/>
        <w:rPr>
          <w:rFonts w:ascii="新宋体" w:hAnsi="新宋体" w:eastAsia="新宋体"/>
          <w:b/>
          <w:bCs/>
          <w:szCs w:val="21"/>
        </w:rPr>
      </w:pPr>
      <w:r>
        <w:rPr>
          <w:rFonts w:hint="eastAsia" w:ascii="新宋体" w:hAnsi="新宋体" w:eastAsia="新宋体"/>
          <w:b/>
          <w:bCs/>
          <w:szCs w:val="21"/>
        </w:rPr>
        <w:t>（</w:t>
      </w:r>
      <w:r>
        <w:rPr>
          <w:rFonts w:hint="eastAsia" w:ascii="新宋体" w:hAnsi="新宋体" w:eastAsia="新宋体"/>
          <w:b/>
          <w:szCs w:val="21"/>
        </w:rPr>
        <w:t>六）</w:t>
      </w:r>
      <w:r>
        <w:rPr>
          <w:rFonts w:hint="eastAsia" w:ascii="新宋体" w:hAnsi="新宋体" w:eastAsia="新宋体"/>
          <w:b/>
          <w:bCs/>
          <w:szCs w:val="21"/>
        </w:rPr>
        <w:t>近三年同类业绩</w:t>
      </w:r>
      <w:r>
        <w:rPr>
          <w:rFonts w:hint="eastAsia" w:ascii="新宋体" w:hAnsi="新宋体" w:eastAsia="新宋体"/>
          <w:b/>
          <w:szCs w:val="21"/>
        </w:rPr>
        <w:t>（可选）</w:t>
      </w:r>
    </w:p>
    <w:tbl>
      <w:tblPr>
        <w:tblStyle w:val="43"/>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1583"/>
        <w:gridCol w:w="1421"/>
        <w:gridCol w:w="1342"/>
        <w:gridCol w:w="1344"/>
        <w:gridCol w:w="135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6"/>
            <w:vAlign w:val="center"/>
          </w:tcPr>
          <w:p>
            <w:pPr>
              <w:ind w:firstLine="420" w:firstLineChars="20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71" w:type="pct"/>
            <w:vAlign w:val="center"/>
          </w:tcPr>
          <w:p>
            <w:pPr>
              <w:ind w:firstLine="420" w:firstLineChars="200"/>
              <w:rPr>
                <w:rFonts w:ascii="宋体" w:hAnsi="宋体"/>
                <w:szCs w:val="21"/>
              </w:rPr>
            </w:pPr>
            <w:r>
              <w:rPr>
                <w:rFonts w:hint="eastAsia" w:ascii="宋体" w:hAnsi="宋体"/>
                <w:szCs w:val="21"/>
              </w:rPr>
              <w:t>采购人</w:t>
            </w:r>
          </w:p>
        </w:tc>
        <w:tc>
          <w:tcPr>
            <w:tcW w:w="928" w:type="pct"/>
            <w:vAlign w:val="center"/>
          </w:tcPr>
          <w:p>
            <w:pPr>
              <w:ind w:firstLine="420" w:firstLineChars="200"/>
              <w:rPr>
                <w:rFonts w:ascii="宋体" w:hAnsi="宋体"/>
                <w:szCs w:val="21"/>
              </w:rPr>
            </w:pPr>
            <w:r>
              <w:rPr>
                <w:rFonts w:hint="eastAsia" w:ascii="宋体" w:hAnsi="宋体"/>
                <w:szCs w:val="21"/>
              </w:rPr>
              <w:t>项目名称</w:t>
            </w:r>
          </w:p>
        </w:tc>
        <w:tc>
          <w:tcPr>
            <w:tcW w:w="833" w:type="pct"/>
            <w:vAlign w:val="center"/>
          </w:tcPr>
          <w:p>
            <w:pPr>
              <w:ind w:firstLine="420" w:firstLineChars="200"/>
              <w:rPr>
                <w:rFonts w:ascii="宋体" w:hAnsi="宋体"/>
                <w:szCs w:val="21"/>
              </w:rPr>
            </w:pPr>
            <w:r>
              <w:rPr>
                <w:rFonts w:hint="eastAsia" w:ascii="宋体" w:hAnsi="宋体"/>
                <w:szCs w:val="21"/>
              </w:rPr>
              <w:t>项目规模（金额）</w:t>
            </w:r>
          </w:p>
        </w:tc>
        <w:tc>
          <w:tcPr>
            <w:tcW w:w="787" w:type="pct"/>
            <w:vAlign w:val="center"/>
          </w:tcPr>
          <w:p>
            <w:pPr>
              <w:ind w:firstLine="420" w:firstLineChars="200"/>
              <w:rPr>
                <w:rFonts w:ascii="宋体" w:hAnsi="宋体"/>
                <w:szCs w:val="21"/>
              </w:rPr>
            </w:pPr>
            <w:r>
              <w:rPr>
                <w:rFonts w:hint="eastAsia" w:ascii="宋体" w:hAnsi="宋体"/>
                <w:szCs w:val="21"/>
              </w:rPr>
              <w:t>合同签订日期</w:t>
            </w:r>
          </w:p>
        </w:tc>
        <w:tc>
          <w:tcPr>
            <w:tcW w:w="788" w:type="pct"/>
            <w:vAlign w:val="center"/>
          </w:tcPr>
          <w:p>
            <w:pPr>
              <w:ind w:firstLine="420" w:firstLineChars="200"/>
              <w:rPr>
                <w:rFonts w:ascii="宋体" w:hAnsi="宋体"/>
                <w:szCs w:val="21"/>
              </w:rPr>
            </w:pPr>
            <w:r>
              <w:rPr>
                <w:rFonts w:hint="eastAsia" w:ascii="宋体" w:hAnsi="宋体"/>
                <w:szCs w:val="21"/>
              </w:rPr>
              <w:t>履约验收时间</w:t>
            </w:r>
          </w:p>
        </w:tc>
        <w:tc>
          <w:tcPr>
            <w:tcW w:w="790" w:type="pct"/>
            <w:vAlign w:val="center"/>
          </w:tcPr>
          <w:p>
            <w:pPr>
              <w:ind w:firstLine="420" w:firstLineChars="200"/>
              <w:rPr>
                <w:rFonts w:ascii="宋体" w:hAnsi="宋体"/>
                <w:szCs w:val="21"/>
              </w:rPr>
            </w:pPr>
            <w:r>
              <w:rPr>
                <w:rFonts w:hint="eastAsia" w:ascii="宋体" w:hAnsi="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71" w:type="pct"/>
            <w:vAlign w:val="center"/>
          </w:tcPr>
          <w:p>
            <w:pPr>
              <w:ind w:firstLine="420" w:firstLineChars="200"/>
              <w:rPr>
                <w:rFonts w:ascii="宋体" w:hAnsi="宋体"/>
                <w:szCs w:val="21"/>
              </w:rPr>
            </w:pPr>
          </w:p>
        </w:tc>
        <w:tc>
          <w:tcPr>
            <w:tcW w:w="928" w:type="pct"/>
            <w:vAlign w:val="center"/>
          </w:tcPr>
          <w:p>
            <w:pPr>
              <w:ind w:firstLine="420" w:firstLineChars="200"/>
              <w:rPr>
                <w:rFonts w:ascii="宋体" w:hAnsi="宋体"/>
                <w:szCs w:val="21"/>
              </w:rPr>
            </w:pPr>
          </w:p>
        </w:tc>
        <w:tc>
          <w:tcPr>
            <w:tcW w:w="833" w:type="pct"/>
            <w:vAlign w:val="center"/>
          </w:tcPr>
          <w:p>
            <w:pPr>
              <w:ind w:firstLine="420" w:firstLineChars="200"/>
              <w:rPr>
                <w:rFonts w:ascii="宋体" w:hAnsi="宋体"/>
                <w:szCs w:val="21"/>
              </w:rPr>
            </w:pPr>
          </w:p>
        </w:tc>
        <w:tc>
          <w:tcPr>
            <w:tcW w:w="787" w:type="pct"/>
            <w:vAlign w:val="center"/>
          </w:tcPr>
          <w:p>
            <w:pPr>
              <w:ind w:firstLine="420" w:firstLineChars="200"/>
              <w:rPr>
                <w:rFonts w:ascii="宋体" w:hAnsi="宋体"/>
                <w:szCs w:val="21"/>
              </w:rPr>
            </w:pPr>
          </w:p>
        </w:tc>
        <w:tc>
          <w:tcPr>
            <w:tcW w:w="788" w:type="pct"/>
            <w:vAlign w:val="center"/>
          </w:tcPr>
          <w:p>
            <w:pPr>
              <w:ind w:firstLine="420" w:firstLineChars="200"/>
              <w:rPr>
                <w:rFonts w:ascii="宋体" w:hAnsi="宋体"/>
                <w:szCs w:val="21"/>
              </w:rPr>
            </w:pPr>
          </w:p>
        </w:tc>
        <w:tc>
          <w:tcPr>
            <w:tcW w:w="790" w:type="pct"/>
            <w:vAlign w:val="center"/>
          </w:tcPr>
          <w:p>
            <w:pPr>
              <w:ind w:firstLine="420" w:firstLineChars="20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71" w:type="pct"/>
            <w:vAlign w:val="center"/>
          </w:tcPr>
          <w:p>
            <w:pPr>
              <w:ind w:firstLine="420" w:firstLineChars="200"/>
              <w:rPr>
                <w:rFonts w:ascii="宋体" w:hAnsi="宋体"/>
                <w:szCs w:val="21"/>
              </w:rPr>
            </w:pPr>
          </w:p>
        </w:tc>
        <w:tc>
          <w:tcPr>
            <w:tcW w:w="928" w:type="pct"/>
            <w:vAlign w:val="center"/>
          </w:tcPr>
          <w:p>
            <w:pPr>
              <w:ind w:firstLine="420" w:firstLineChars="200"/>
              <w:rPr>
                <w:rFonts w:ascii="宋体" w:hAnsi="宋体"/>
                <w:szCs w:val="21"/>
              </w:rPr>
            </w:pPr>
          </w:p>
        </w:tc>
        <w:tc>
          <w:tcPr>
            <w:tcW w:w="833" w:type="pct"/>
            <w:vAlign w:val="center"/>
          </w:tcPr>
          <w:p>
            <w:pPr>
              <w:ind w:firstLine="420" w:firstLineChars="200"/>
              <w:rPr>
                <w:rFonts w:ascii="宋体" w:hAnsi="宋体"/>
                <w:szCs w:val="21"/>
              </w:rPr>
            </w:pPr>
          </w:p>
        </w:tc>
        <w:tc>
          <w:tcPr>
            <w:tcW w:w="787" w:type="pct"/>
            <w:vAlign w:val="center"/>
          </w:tcPr>
          <w:p>
            <w:pPr>
              <w:ind w:firstLine="420" w:firstLineChars="200"/>
              <w:rPr>
                <w:rFonts w:ascii="宋体" w:hAnsi="宋体"/>
                <w:szCs w:val="21"/>
              </w:rPr>
            </w:pPr>
          </w:p>
        </w:tc>
        <w:tc>
          <w:tcPr>
            <w:tcW w:w="788" w:type="pct"/>
            <w:vAlign w:val="center"/>
          </w:tcPr>
          <w:p>
            <w:pPr>
              <w:ind w:firstLine="420" w:firstLineChars="200"/>
              <w:rPr>
                <w:rFonts w:ascii="宋体" w:hAnsi="宋体"/>
                <w:szCs w:val="21"/>
              </w:rPr>
            </w:pPr>
          </w:p>
        </w:tc>
        <w:tc>
          <w:tcPr>
            <w:tcW w:w="790" w:type="pct"/>
            <w:vAlign w:val="center"/>
          </w:tcPr>
          <w:p>
            <w:pPr>
              <w:ind w:firstLine="420" w:firstLineChars="20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71" w:type="pct"/>
            <w:vAlign w:val="center"/>
          </w:tcPr>
          <w:p>
            <w:pPr>
              <w:ind w:firstLine="420" w:firstLineChars="200"/>
              <w:rPr>
                <w:rFonts w:ascii="宋体" w:hAnsi="宋体"/>
                <w:szCs w:val="21"/>
              </w:rPr>
            </w:pPr>
          </w:p>
        </w:tc>
        <w:tc>
          <w:tcPr>
            <w:tcW w:w="928" w:type="pct"/>
            <w:vAlign w:val="center"/>
          </w:tcPr>
          <w:p>
            <w:pPr>
              <w:ind w:firstLine="420" w:firstLineChars="200"/>
              <w:rPr>
                <w:rFonts w:ascii="宋体" w:hAnsi="宋体"/>
                <w:szCs w:val="21"/>
              </w:rPr>
            </w:pPr>
          </w:p>
        </w:tc>
        <w:tc>
          <w:tcPr>
            <w:tcW w:w="833" w:type="pct"/>
            <w:vAlign w:val="center"/>
          </w:tcPr>
          <w:p>
            <w:pPr>
              <w:ind w:firstLine="420" w:firstLineChars="200"/>
              <w:rPr>
                <w:rFonts w:ascii="宋体" w:hAnsi="宋体"/>
                <w:szCs w:val="21"/>
              </w:rPr>
            </w:pPr>
          </w:p>
        </w:tc>
        <w:tc>
          <w:tcPr>
            <w:tcW w:w="787" w:type="pct"/>
            <w:vAlign w:val="center"/>
          </w:tcPr>
          <w:p>
            <w:pPr>
              <w:ind w:firstLine="420" w:firstLineChars="200"/>
              <w:rPr>
                <w:rFonts w:ascii="宋体" w:hAnsi="宋体"/>
                <w:szCs w:val="21"/>
              </w:rPr>
            </w:pPr>
          </w:p>
        </w:tc>
        <w:tc>
          <w:tcPr>
            <w:tcW w:w="788" w:type="pct"/>
            <w:vAlign w:val="center"/>
          </w:tcPr>
          <w:p>
            <w:pPr>
              <w:ind w:firstLine="420" w:firstLineChars="200"/>
              <w:rPr>
                <w:rFonts w:ascii="宋体" w:hAnsi="宋体"/>
                <w:szCs w:val="21"/>
              </w:rPr>
            </w:pPr>
          </w:p>
        </w:tc>
        <w:tc>
          <w:tcPr>
            <w:tcW w:w="790" w:type="pct"/>
            <w:vAlign w:val="center"/>
          </w:tcPr>
          <w:p>
            <w:pPr>
              <w:ind w:firstLine="420" w:firstLineChars="20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71" w:type="pct"/>
            <w:vAlign w:val="center"/>
          </w:tcPr>
          <w:p>
            <w:pPr>
              <w:ind w:firstLine="420" w:firstLineChars="200"/>
              <w:rPr>
                <w:rFonts w:ascii="宋体" w:hAnsi="宋体"/>
                <w:szCs w:val="21"/>
              </w:rPr>
            </w:pPr>
          </w:p>
        </w:tc>
        <w:tc>
          <w:tcPr>
            <w:tcW w:w="928" w:type="pct"/>
            <w:vAlign w:val="center"/>
          </w:tcPr>
          <w:p>
            <w:pPr>
              <w:ind w:firstLine="420" w:firstLineChars="200"/>
              <w:rPr>
                <w:rFonts w:ascii="宋体" w:hAnsi="宋体"/>
                <w:szCs w:val="21"/>
              </w:rPr>
            </w:pPr>
          </w:p>
        </w:tc>
        <w:tc>
          <w:tcPr>
            <w:tcW w:w="833" w:type="pct"/>
            <w:vAlign w:val="center"/>
          </w:tcPr>
          <w:p>
            <w:pPr>
              <w:ind w:firstLine="420" w:firstLineChars="200"/>
              <w:rPr>
                <w:rFonts w:ascii="宋体" w:hAnsi="宋体"/>
                <w:szCs w:val="21"/>
              </w:rPr>
            </w:pPr>
          </w:p>
        </w:tc>
        <w:tc>
          <w:tcPr>
            <w:tcW w:w="787" w:type="pct"/>
            <w:vAlign w:val="center"/>
          </w:tcPr>
          <w:p>
            <w:pPr>
              <w:ind w:firstLine="420" w:firstLineChars="200"/>
              <w:rPr>
                <w:rFonts w:ascii="宋体" w:hAnsi="宋体"/>
                <w:szCs w:val="21"/>
              </w:rPr>
            </w:pPr>
          </w:p>
        </w:tc>
        <w:tc>
          <w:tcPr>
            <w:tcW w:w="788" w:type="pct"/>
            <w:vAlign w:val="center"/>
          </w:tcPr>
          <w:p>
            <w:pPr>
              <w:ind w:firstLine="420" w:firstLineChars="200"/>
              <w:rPr>
                <w:rFonts w:ascii="宋体" w:hAnsi="宋体"/>
                <w:szCs w:val="21"/>
              </w:rPr>
            </w:pPr>
          </w:p>
        </w:tc>
        <w:tc>
          <w:tcPr>
            <w:tcW w:w="790" w:type="pct"/>
            <w:vAlign w:val="center"/>
          </w:tcPr>
          <w:p>
            <w:pPr>
              <w:ind w:firstLine="420" w:firstLineChars="20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71" w:type="pct"/>
            <w:vAlign w:val="center"/>
          </w:tcPr>
          <w:p>
            <w:pPr>
              <w:ind w:firstLine="420" w:firstLineChars="200"/>
              <w:rPr>
                <w:rFonts w:ascii="宋体" w:hAnsi="宋体"/>
                <w:szCs w:val="21"/>
              </w:rPr>
            </w:pPr>
          </w:p>
        </w:tc>
        <w:tc>
          <w:tcPr>
            <w:tcW w:w="928" w:type="pct"/>
            <w:vAlign w:val="center"/>
          </w:tcPr>
          <w:p>
            <w:pPr>
              <w:ind w:firstLine="420" w:firstLineChars="200"/>
              <w:rPr>
                <w:rFonts w:ascii="宋体" w:hAnsi="宋体"/>
                <w:szCs w:val="21"/>
              </w:rPr>
            </w:pPr>
          </w:p>
        </w:tc>
        <w:tc>
          <w:tcPr>
            <w:tcW w:w="833" w:type="pct"/>
            <w:vAlign w:val="center"/>
          </w:tcPr>
          <w:p>
            <w:pPr>
              <w:ind w:firstLine="420" w:firstLineChars="200"/>
              <w:rPr>
                <w:rFonts w:ascii="宋体" w:hAnsi="宋体"/>
                <w:szCs w:val="21"/>
              </w:rPr>
            </w:pPr>
          </w:p>
        </w:tc>
        <w:tc>
          <w:tcPr>
            <w:tcW w:w="787" w:type="pct"/>
            <w:vAlign w:val="center"/>
          </w:tcPr>
          <w:p>
            <w:pPr>
              <w:ind w:firstLine="420" w:firstLineChars="200"/>
              <w:rPr>
                <w:rFonts w:ascii="宋体" w:hAnsi="宋体"/>
                <w:szCs w:val="21"/>
              </w:rPr>
            </w:pPr>
          </w:p>
        </w:tc>
        <w:tc>
          <w:tcPr>
            <w:tcW w:w="788" w:type="pct"/>
            <w:vAlign w:val="center"/>
          </w:tcPr>
          <w:p>
            <w:pPr>
              <w:ind w:firstLine="420" w:firstLineChars="200"/>
              <w:rPr>
                <w:rFonts w:ascii="宋体" w:hAnsi="宋体"/>
                <w:szCs w:val="21"/>
              </w:rPr>
            </w:pPr>
          </w:p>
        </w:tc>
        <w:tc>
          <w:tcPr>
            <w:tcW w:w="790" w:type="pct"/>
            <w:vAlign w:val="center"/>
          </w:tcPr>
          <w:p>
            <w:pPr>
              <w:ind w:firstLine="420" w:firstLineChars="20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71" w:type="pct"/>
            <w:vAlign w:val="center"/>
          </w:tcPr>
          <w:p>
            <w:pPr>
              <w:ind w:firstLine="420" w:firstLineChars="200"/>
              <w:rPr>
                <w:rFonts w:ascii="宋体" w:hAnsi="宋体"/>
                <w:szCs w:val="21"/>
              </w:rPr>
            </w:pPr>
          </w:p>
        </w:tc>
        <w:tc>
          <w:tcPr>
            <w:tcW w:w="928" w:type="pct"/>
            <w:vAlign w:val="center"/>
          </w:tcPr>
          <w:p>
            <w:pPr>
              <w:ind w:firstLine="420" w:firstLineChars="200"/>
              <w:rPr>
                <w:rFonts w:ascii="宋体" w:hAnsi="宋体"/>
                <w:szCs w:val="21"/>
              </w:rPr>
            </w:pPr>
          </w:p>
        </w:tc>
        <w:tc>
          <w:tcPr>
            <w:tcW w:w="833" w:type="pct"/>
            <w:vAlign w:val="center"/>
          </w:tcPr>
          <w:p>
            <w:pPr>
              <w:ind w:firstLine="420" w:firstLineChars="200"/>
              <w:rPr>
                <w:rFonts w:ascii="宋体" w:hAnsi="宋体"/>
                <w:szCs w:val="21"/>
              </w:rPr>
            </w:pPr>
          </w:p>
        </w:tc>
        <w:tc>
          <w:tcPr>
            <w:tcW w:w="787" w:type="pct"/>
            <w:vAlign w:val="center"/>
          </w:tcPr>
          <w:p>
            <w:pPr>
              <w:ind w:firstLine="420" w:firstLineChars="200"/>
              <w:rPr>
                <w:rFonts w:ascii="宋体" w:hAnsi="宋体"/>
                <w:szCs w:val="21"/>
              </w:rPr>
            </w:pPr>
          </w:p>
        </w:tc>
        <w:tc>
          <w:tcPr>
            <w:tcW w:w="788" w:type="pct"/>
            <w:vAlign w:val="center"/>
          </w:tcPr>
          <w:p>
            <w:pPr>
              <w:ind w:firstLine="420" w:firstLineChars="200"/>
              <w:rPr>
                <w:rFonts w:ascii="宋体" w:hAnsi="宋体"/>
                <w:szCs w:val="21"/>
              </w:rPr>
            </w:pPr>
          </w:p>
        </w:tc>
        <w:tc>
          <w:tcPr>
            <w:tcW w:w="790" w:type="pct"/>
            <w:vAlign w:val="center"/>
          </w:tcPr>
          <w:p>
            <w:pPr>
              <w:ind w:firstLine="420" w:firstLineChars="20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71" w:type="pct"/>
            <w:vAlign w:val="center"/>
          </w:tcPr>
          <w:p>
            <w:pPr>
              <w:ind w:firstLine="420" w:firstLineChars="200"/>
              <w:rPr>
                <w:rFonts w:ascii="宋体" w:hAnsi="宋体"/>
                <w:szCs w:val="21"/>
              </w:rPr>
            </w:pPr>
          </w:p>
        </w:tc>
        <w:tc>
          <w:tcPr>
            <w:tcW w:w="928" w:type="pct"/>
            <w:vAlign w:val="center"/>
          </w:tcPr>
          <w:p>
            <w:pPr>
              <w:ind w:firstLine="420" w:firstLineChars="200"/>
              <w:rPr>
                <w:rFonts w:ascii="宋体" w:hAnsi="宋体"/>
                <w:szCs w:val="21"/>
              </w:rPr>
            </w:pPr>
          </w:p>
        </w:tc>
        <w:tc>
          <w:tcPr>
            <w:tcW w:w="833" w:type="pct"/>
            <w:vAlign w:val="center"/>
          </w:tcPr>
          <w:p>
            <w:pPr>
              <w:ind w:firstLine="420" w:firstLineChars="200"/>
              <w:rPr>
                <w:rFonts w:ascii="宋体" w:hAnsi="宋体"/>
                <w:szCs w:val="21"/>
              </w:rPr>
            </w:pPr>
          </w:p>
        </w:tc>
        <w:tc>
          <w:tcPr>
            <w:tcW w:w="787" w:type="pct"/>
            <w:vAlign w:val="center"/>
          </w:tcPr>
          <w:p>
            <w:pPr>
              <w:ind w:firstLine="420" w:firstLineChars="200"/>
              <w:rPr>
                <w:rFonts w:ascii="宋体" w:hAnsi="宋体"/>
                <w:szCs w:val="21"/>
              </w:rPr>
            </w:pPr>
          </w:p>
        </w:tc>
        <w:tc>
          <w:tcPr>
            <w:tcW w:w="788" w:type="pct"/>
            <w:vAlign w:val="center"/>
          </w:tcPr>
          <w:p>
            <w:pPr>
              <w:ind w:firstLine="420" w:firstLineChars="200"/>
              <w:rPr>
                <w:rFonts w:ascii="宋体" w:hAnsi="宋体"/>
                <w:szCs w:val="21"/>
              </w:rPr>
            </w:pPr>
          </w:p>
        </w:tc>
        <w:tc>
          <w:tcPr>
            <w:tcW w:w="790" w:type="pct"/>
            <w:vAlign w:val="center"/>
          </w:tcPr>
          <w:p>
            <w:pPr>
              <w:ind w:firstLine="420" w:firstLineChars="20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71" w:type="pct"/>
            <w:vAlign w:val="center"/>
          </w:tcPr>
          <w:p>
            <w:pPr>
              <w:ind w:firstLine="420" w:firstLineChars="200"/>
              <w:rPr>
                <w:rFonts w:ascii="宋体" w:hAnsi="宋体"/>
                <w:szCs w:val="21"/>
              </w:rPr>
            </w:pPr>
          </w:p>
        </w:tc>
        <w:tc>
          <w:tcPr>
            <w:tcW w:w="928" w:type="pct"/>
            <w:vAlign w:val="center"/>
          </w:tcPr>
          <w:p>
            <w:pPr>
              <w:ind w:firstLine="420" w:firstLineChars="200"/>
              <w:rPr>
                <w:rFonts w:ascii="宋体" w:hAnsi="宋体"/>
                <w:szCs w:val="21"/>
              </w:rPr>
            </w:pPr>
          </w:p>
        </w:tc>
        <w:tc>
          <w:tcPr>
            <w:tcW w:w="833" w:type="pct"/>
            <w:vAlign w:val="center"/>
          </w:tcPr>
          <w:p>
            <w:pPr>
              <w:ind w:firstLine="420" w:firstLineChars="200"/>
              <w:rPr>
                <w:rFonts w:ascii="宋体" w:hAnsi="宋体"/>
                <w:szCs w:val="21"/>
              </w:rPr>
            </w:pPr>
          </w:p>
        </w:tc>
        <w:tc>
          <w:tcPr>
            <w:tcW w:w="787" w:type="pct"/>
            <w:vAlign w:val="center"/>
          </w:tcPr>
          <w:p>
            <w:pPr>
              <w:ind w:firstLine="420" w:firstLineChars="200"/>
              <w:rPr>
                <w:rFonts w:ascii="宋体" w:hAnsi="宋体"/>
                <w:szCs w:val="21"/>
              </w:rPr>
            </w:pPr>
          </w:p>
        </w:tc>
        <w:tc>
          <w:tcPr>
            <w:tcW w:w="788" w:type="pct"/>
            <w:vAlign w:val="center"/>
          </w:tcPr>
          <w:p>
            <w:pPr>
              <w:ind w:firstLine="420" w:firstLineChars="200"/>
              <w:rPr>
                <w:rFonts w:ascii="宋体" w:hAnsi="宋体"/>
                <w:szCs w:val="21"/>
              </w:rPr>
            </w:pPr>
          </w:p>
        </w:tc>
        <w:tc>
          <w:tcPr>
            <w:tcW w:w="790" w:type="pct"/>
            <w:vAlign w:val="center"/>
          </w:tcPr>
          <w:p>
            <w:pPr>
              <w:ind w:firstLine="420" w:firstLineChars="200"/>
              <w:rPr>
                <w:rFonts w:ascii="宋体" w:hAnsi="宋体"/>
                <w:szCs w:val="21"/>
              </w:rPr>
            </w:pPr>
          </w:p>
        </w:tc>
      </w:tr>
    </w:tbl>
    <w:p>
      <w:pPr>
        <w:ind w:firstLine="420" w:firstLineChars="200"/>
        <w:rPr>
          <w:rFonts w:ascii="宋体" w:hAnsi="宋体"/>
          <w:szCs w:val="21"/>
        </w:rPr>
      </w:pPr>
    </w:p>
    <w:p>
      <w:pPr>
        <w:ind w:firstLine="420" w:firstLineChars="200"/>
        <w:rPr>
          <w:rFonts w:ascii="宋体" w:hAnsi="宋体"/>
          <w:szCs w:val="21"/>
        </w:rPr>
      </w:pPr>
    </w:p>
    <w:p>
      <w:pPr>
        <w:spacing w:line="360" w:lineRule="auto"/>
        <w:jc w:val="center"/>
        <w:outlineLvl w:val="3"/>
        <w:rPr>
          <w:rFonts w:ascii="新宋体" w:hAnsi="新宋体" w:eastAsia="新宋体"/>
          <w:bCs/>
          <w:kern w:val="0"/>
          <w:szCs w:val="21"/>
        </w:rPr>
      </w:pPr>
      <w:r>
        <w:rPr>
          <w:rFonts w:hint="eastAsia" w:ascii="新宋体" w:hAnsi="新宋体" w:eastAsia="新宋体"/>
          <w:bCs/>
          <w:kern w:val="0"/>
          <w:szCs w:val="21"/>
        </w:rPr>
        <w:t>（七）中小企业声明函、残疾人福利性单位声明函及监狱企业声明函</w:t>
      </w:r>
      <w:r>
        <w:rPr>
          <w:rFonts w:hint="eastAsia" w:ascii="新宋体" w:hAnsi="新宋体" w:eastAsia="新宋体"/>
          <w:b/>
          <w:color w:val="FF0000"/>
          <w:szCs w:val="21"/>
        </w:rPr>
        <w:t>(可选项)</w:t>
      </w:r>
    </w:p>
    <w:p>
      <w:pPr>
        <w:spacing w:line="360" w:lineRule="auto"/>
        <w:ind w:firstLine="422" w:firstLineChars="200"/>
        <w:rPr>
          <w:rFonts w:ascii="新宋体" w:hAnsi="新宋体" w:eastAsia="新宋体"/>
          <w:b/>
          <w:color w:val="FF0000"/>
          <w:szCs w:val="21"/>
        </w:rPr>
      </w:pPr>
    </w:p>
    <w:p>
      <w:pPr>
        <w:spacing w:line="360" w:lineRule="auto"/>
        <w:ind w:firstLine="422" w:firstLineChars="200"/>
        <w:rPr>
          <w:rFonts w:ascii="新宋体" w:hAnsi="新宋体" w:eastAsia="新宋体"/>
          <w:b/>
          <w:color w:val="FF0000"/>
          <w:szCs w:val="21"/>
        </w:rPr>
      </w:pPr>
      <w:r>
        <w:rPr>
          <w:rFonts w:hint="eastAsia" w:ascii="新宋体" w:hAnsi="新宋体" w:eastAsia="新宋体"/>
          <w:b/>
          <w:color w:val="FF0000"/>
          <w:szCs w:val="21"/>
        </w:rPr>
        <w:t>填写指引：</w:t>
      </w:r>
    </w:p>
    <w:p>
      <w:pPr>
        <w:spacing w:line="360" w:lineRule="auto"/>
        <w:ind w:firstLine="422" w:firstLineChars="200"/>
        <w:rPr>
          <w:rFonts w:ascii="新宋体" w:hAnsi="新宋体" w:eastAsia="新宋体"/>
          <w:b/>
          <w:color w:val="FF0000"/>
          <w:szCs w:val="21"/>
        </w:rPr>
      </w:pPr>
      <w:r>
        <w:rPr>
          <w:rFonts w:hint="eastAsia" w:ascii="新宋体" w:hAnsi="新宋体" w:eastAsia="新宋体"/>
          <w:b/>
          <w:color w:val="FF0000"/>
          <w:szCs w:val="21"/>
        </w:rPr>
        <w:t>1、该部分内容由供应商根据自身实际情况填写，不符合要求的供应商可以不填写或直接删除相应的声明函。投标人自行对声明内容的真实性负责；如提供虚假声明，将报送主管部门进行行政处罚。若无法确定是否为中小微企业，可查阅《关于印发中小企业划型标准规定的通知》（工信部联企业【2011】300号）或向深圳市中小企业服务局咨询。</w:t>
      </w:r>
    </w:p>
    <w:p>
      <w:pPr>
        <w:spacing w:line="360" w:lineRule="auto"/>
        <w:ind w:firstLine="422" w:firstLineChars="200"/>
        <w:rPr>
          <w:rFonts w:ascii="新宋体" w:hAnsi="新宋体" w:eastAsia="新宋体"/>
          <w:b/>
          <w:color w:val="FF0000"/>
          <w:szCs w:val="21"/>
        </w:rPr>
      </w:pPr>
      <w:r>
        <w:rPr>
          <w:rFonts w:hint="eastAsia" w:ascii="新宋体" w:hAnsi="新宋体" w:eastAsia="新宋体"/>
          <w:b/>
          <w:color w:val="FF0000"/>
          <w:szCs w:val="21"/>
        </w:rPr>
        <w:t>2、该部分内容填写需要参考的相关文件：（1）《政府采购促进中小企业发展管理办法》（财库﹝2020﹞46 号）；(2)《工业和信息化部、国家统计局、国家发展和改革委员会、财政部关于印发中小企业划型标准规定的通知》（工信部联企业〔2011〕300 号）。</w:t>
      </w:r>
    </w:p>
    <w:p>
      <w:pPr>
        <w:spacing w:line="360" w:lineRule="auto"/>
        <w:ind w:firstLine="422" w:firstLineChars="200"/>
        <w:rPr>
          <w:b/>
          <w:color w:val="FF0000"/>
        </w:rPr>
      </w:pPr>
      <w:r>
        <w:rPr>
          <w:rFonts w:hint="eastAsia" w:ascii="新宋体" w:hAnsi="新宋体" w:eastAsia="新宋体"/>
          <w:b/>
          <w:color w:val="FF0000"/>
          <w:szCs w:val="21"/>
        </w:rPr>
        <w:t>3、请依照提供的格式和内容填写声明函，不要随意变更格式或增删内容；满足多项优惠政策的企业，不重复享受多项价格扣除政策。</w:t>
      </w:r>
    </w:p>
    <w:p>
      <w:pPr>
        <w:ind w:firstLine="422" w:firstLineChars="200"/>
        <w:rPr>
          <w:b/>
          <w:color w:val="FF0000"/>
        </w:rPr>
      </w:pPr>
    </w:p>
    <w:p>
      <w:pPr>
        <w:ind w:firstLine="422" w:firstLineChars="200"/>
        <w:rPr>
          <w:b/>
          <w:color w:val="FF0000"/>
        </w:rPr>
      </w:pPr>
    </w:p>
    <w:p>
      <w:pPr>
        <w:ind w:firstLine="422" w:firstLineChars="200"/>
        <w:rPr>
          <w:b/>
          <w:color w:val="FF0000"/>
        </w:rPr>
      </w:pPr>
    </w:p>
    <w:p>
      <w:pPr>
        <w:spacing w:line="360" w:lineRule="auto"/>
        <w:jc w:val="center"/>
        <w:outlineLvl w:val="3"/>
        <w:rPr>
          <w:rFonts w:ascii="新宋体" w:hAnsi="新宋体" w:eastAsia="新宋体"/>
          <w:b/>
          <w:szCs w:val="21"/>
        </w:rPr>
      </w:pPr>
      <w:r>
        <w:rPr>
          <w:rFonts w:hint="eastAsia" w:ascii="新宋体" w:hAnsi="新宋体" w:eastAsia="新宋体"/>
          <w:b/>
          <w:szCs w:val="21"/>
        </w:rPr>
        <w:t xml:space="preserve"> 1、中小企业声明函</w:t>
      </w:r>
    </w:p>
    <w:p>
      <w:pPr>
        <w:spacing w:line="360" w:lineRule="auto"/>
        <w:ind w:firstLine="420" w:firstLineChars="200"/>
        <w:rPr>
          <w:rFonts w:ascii="新宋体" w:hAnsi="新宋体" w:eastAsia="新宋体"/>
        </w:rPr>
      </w:pPr>
      <w:r>
        <w:rPr>
          <w:rFonts w:hint="eastAsia" w:ascii="新宋体" w:hAnsi="新宋体" w:eastAsia="新宋体"/>
        </w:rPr>
        <w:t>本公司（联合体）郑重声明，根据《政府采购促进中小企业发展管理办法》（财库﹝</w:t>
      </w:r>
      <w:r>
        <w:rPr>
          <w:rFonts w:ascii="新宋体" w:hAnsi="新宋体" w:eastAsia="新宋体"/>
        </w:rPr>
        <w:t>2020</w:t>
      </w:r>
      <w:r>
        <w:rPr>
          <w:rFonts w:hint="eastAsia" w:ascii="新宋体" w:hAnsi="新宋体" w:eastAsia="新宋体"/>
        </w:rPr>
        <w:t>﹞</w:t>
      </w:r>
      <w:r>
        <w:rPr>
          <w:rFonts w:ascii="新宋体" w:hAnsi="新宋体" w:eastAsia="新宋体"/>
        </w:rPr>
        <w:t xml:space="preserve">46 </w:t>
      </w:r>
      <w:r>
        <w:rPr>
          <w:rFonts w:hint="eastAsia" w:ascii="新宋体" w:hAnsi="新宋体" w:eastAsia="新宋体"/>
        </w:rPr>
        <w:t>号）的规定，本公司（联合体）参加</w:t>
      </w:r>
      <w:r>
        <w:rPr>
          <w:rFonts w:hint="eastAsia" w:ascii="新宋体" w:hAnsi="新宋体" w:eastAsia="新宋体"/>
          <w:u w:val="single"/>
        </w:rPr>
        <w:t>（单位名称）</w:t>
      </w:r>
      <w:r>
        <w:rPr>
          <w:rFonts w:hint="eastAsia" w:ascii="新宋体" w:hAnsi="新宋体" w:eastAsia="新宋体"/>
        </w:rPr>
        <w:t>的</w:t>
      </w:r>
      <w:r>
        <w:rPr>
          <w:rFonts w:hint="eastAsia" w:ascii="新宋体" w:hAnsi="新宋体" w:eastAsia="新宋体"/>
          <w:u w:val="single"/>
        </w:rPr>
        <w:t>（项目名称）</w:t>
      </w:r>
      <w:r>
        <w:rPr>
          <w:rFonts w:hint="eastAsia" w:ascii="新宋体" w:hAnsi="新宋体" w:eastAsia="新宋体"/>
        </w:rPr>
        <w:t>采购活动，提供的货物全部由符合政策要求的中小企业制造。相关企业（含联合体中的中小企业、签订分包意向协议的中小企业）的具体情况如下：</w:t>
      </w:r>
    </w:p>
    <w:p>
      <w:pPr>
        <w:spacing w:line="360" w:lineRule="auto"/>
        <w:ind w:firstLine="409" w:firstLineChars="195"/>
        <w:rPr>
          <w:rFonts w:ascii="新宋体" w:hAnsi="新宋体" w:eastAsia="新宋体"/>
        </w:rPr>
      </w:pPr>
      <w:r>
        <w:rPr>
          <w:rFonts w:ascii="新宋体" w:hAnsi="新宋体" w:eastAsia="新宋体"/>
        </w:rPr>
        <w:t xml:space="preserve">1. </w:t>
      </w:r>
      <w:r>
        <w:rPr>
          <w:rFonts w:hint="eastAsia" w:ascii="新宋体" w:hAnsi="新宋体" w:eastAsia="新宋体"/>
          <w:u w:val="single"/>
        </w:rPr>
        <w:t>（标的名称）</w:t>
      </w:r>
      <w:r>
        <w:rPr>
          <w:rFonts w:hint="eastAsia" w:ascii="新宋体" w:hAnsi="新宋体" w:eastAsia="新宋体"/>
        </w:rPr>
        <w:t>，属于</w:t>
      </w:r>
      <w:r>
        <w:rPr>
          <w:rFonts w:hint="eastAsia" w:ascii="新宋体" w:hAnsi="新宋体" w:eastAsia="新宋体"/>
          <w:u w:val="single"/>
        </w:rPr>
        <w:t>（采购文件中明确的所属行业）</w:t>
      </w:r>
      <w:r>
        <w:rPr>
          <w:rFonts w:hint="eastAsia" w:ascii="新宋体" w:hAnsi="新宋体" w:eastAsia="新宋体"/>
        </w:rPr>
        <w:t>行业；制造商为</w:t>
      </w:r>
      <w:r>
        <w:rPr>
          <w:rFonts w:hint="eastAsia" w:ascii="新宋体" w:hAnsi="新宋体" w:eastAsia="新宋体"/>
          <w:u w:val="single"/>
        </w:rPr>
        <w:t>（企业名称）</w:t>
      </w:r>
      <w:r>
        <w:rPr>
          <w:rFonts w:hint="eastAsia" w:ascii="新宋体" w:hAnsi="新宋体" w:eastAsia="新宋体"/>
        </w:rPr>
        <w:t>，从业人员人，营业收入为万元，资产总额为万元</w:t>
      </w:r>
      <w:r>
        <w:fldChar w:fldCharType="begin"/>
      </w:r>
      <w:r>
        <w:instrText xml:space="preserve"> HYPERLINK \l "_bookmark1" </w:instrText>
      </w:r>
      <w:r>
        <w:fldChar w:fldCharType="separate"/>
      </w:r>
      <w:r>
        <w:rPr>
          <w:position w:val="16"/>
          <w:sz w:val="16"/>
        </w:rPr>
        <w:t>1</w:t>
      </w:r>
      <w:r>
        <w:rPr>
          <w:position w:val="16"/>
          <w:sz w:val="16"/>
        </w:rPr>
        <w:fldChar w:fldCharType="end"/>
      </w:r>
      <w:r>
        <w:rPr>
          <w:rFonts w:hint="eastAsia" w:ascii="新宋体" w:hAnsi="新宋体" w:eastAsia="新宋体"/>
        </w:rPr>
        <w:t>，属于</w:t>
      </w:r>
      <w:r>
        <w:rPr>
          <w:rFonts w:hint="eastAsia" w:ascii="新宋体" w:hAnsi="新宋体" w:eastAsia="新宋体"/>
          <w:szCs w:val="21"/>
          <w:u w:val="single"/>
        </w:rPr>
        <w:t xml:space="preserve"> </w:t>
      </w:r>
      <w:r>
        <w:rPr>
          <w:rFonts w:ascii="新宋体" w:hAnsi="新宋体" w:eastAsia="新宋体"/>
          <w:szCs w:val="21"/>
          <w:u w:val="single"/>
        </w:rPr>
        <w:t xml:space="preserve">      </w:t>
      </w:r>
      <w:r>
        <w:rPr>
          <w:rFonts w:hint="eastAsia" w:ascii="新宋体" w:hAnsi="新宋体" w:eastAsia="新宋体"/>
          <w:szCs w:val="21"/>
        </w:rPr>
        <w:t>（请填写：中型企业、小型企业、微型企业）</w:t>
      </w:r>
      <w:r>
        <w:rPr>
          <w:rFonts w:hint="eastAsia" w:ascii="新宋体" w:hAnsi="新宋体" w:eastAsia="新宋体"/>
        </w:rPr>
        <w:t>；</w:t>
      </w:r>
    </w:p>
    <w:p>
      <w:pPr>
        <w:spacing w:line="360" w:lineRule="auto"/>
        <w:ind w:firstLine="420" w:firstLineChars="200"/>
        <w:rPr>
          <w:rFonts w:ascii="新宋体" w:hAnsi="新宋体" w:eastAsia="新宋体"/>
        </w:rPr>
      </w:pPr>
      <w:r>
        <w:rPr>
          <w:rFonts w:ascii="新宋体" w:hAnsi="新宋体" w:eastAsia="新宋体"/>
        </w:rPr>
        <w:t>2.</w:t>
      </w:r>
      <w:r>
        <w:rPr>
          <w:rFonts w:hint="eastAsia" w:ascii="新宋体" w:hAnsi="新宋体" w:eastAsia="新宋体"/>
          <w:u w:val="single"/>
        </w:rPr>
        <w:t>（标的名称）</w:t>
      </w:r>
      <w:r>
        <w:rPr>
          <w:rFonts w:hint="eastAsia" w:ascii="新宋体" w:hAnsi="新宋体" w:eastAsia="新宋体"/>
        </w:rPr>
        <w:t>，属于</w:t>
      </w:r>
      <w:r>
        <w:rPr>
          <w:rFonts w:hint="eastAsia" w:ascii="新宋体" w:hAnsi="新宋体" w:eastAsia="新宋体"/>
          <w:u w:val="single"/>
        </w:rPr>
        <w:t>（采购文件中明确的所属行业）行业</w:t>
      </w:r>
      <w:r>
        <w:rPr>
          <w:rFonts w:hint="eastAsia" w:ascii="新宋体" w:hAnsi="新宋体" w:eastAsia="新宋体"/>
        </w:rPr>
        <w:t>；制造商为</w:t>
      </w:r>
      <w:r>
        <w:rPr>
          <w:rFonts w:hint="eastAsia" w:ascii="新宋体" w:hAnsi="新宋体" w:eastAsia="新宋体"/>
          <w:u w:val="single"/>
        </w:rPr>
        <w:t>（企业名称）</w:t>
      </w:r>
      <w:r>
        <w:rPr>
          <w:rFonts w:hint="eastAsia" w:ascii="新宋体" w:hAnsi="新宋体" w:eastAsia="新宋体"/>
        </w:rPr>
        <w:t>，从业人员人，营业收入为万元，资产总额为万元，属于</w:t>
      </w:r>
      <w:r>
        <w:rPr>
          <w:rFonts w:hint="eastAsia" w:ascii="新宋体" w:hAnsi="新宋体" w:eastAsia="新宋体"/>
          <w:szCs w:val="21"/>
          <w:u w:val="single"/>
        </w:rPr>
        <w:t xml:space="preserve"> </w:t>
      </w:r>
      <w:r>
        <w:rPr>
          <w:rFonts w:ascii="新宋体" w:hAnsi="新宋体" w:eastAsia="新宋体"/>
          <w:szCs w:val="21"/>
          <w:u w:val="single"/>
        </w:rPr>
        <w:t xml:space="preserve">      </w:t>
      </w:r>
      <w:r>
        <w:rPr>
          <w:rFonts w:hint="eastAsia" w:ascii="新宋体" w:hAnsi="新宋体" w:eastAsia="新宋体"/>
          <w:szCs w:val="21"/>
        </w:rPr>
        <w:t>（请填写：中型企业、小型企业、微型企业）</w:t>
      </w:r>
      <w:r>
        <w:rPr>
          <w:rFonts w:hint="eastAsia" w:ascii="新宋体" w:hAnsi="新宋体" w:eastAsia="新宋体"/>
        </w:rPr>
        <w:t>；</w:t>
      </w:r>
    </w:p>
    <w:p>
      <w:pPr>
        <w:spacing w:line="360" w:lineRule="auto"/>
        <w:ind w:firstLine="420" w:firstLineChars="200"/>
        <w:rPr>
          <w:rFonts w:ascii="新宋体" w:hAnsi="新宋体" w:eastAsia="新宋体"/>
        </w:rPr>
      </w:pPr>
      <w:r>
        <w:rPr>
          <w:rFonts w:hint="eastAsia" w:ascii="新宋体" w:hAnsi="新宋体" w:eastAsia="新宋体"/>
        </w:rPr>
        <w:t>……</w:t>
      </w:r>
    </w:p>
    <w:p>
      <w:pPr>
        <w:spacing w:line="360" w:lineRule="auto"/>
        <w:ind w:firstLine="420" w:firstLineChars="200"/>
        <w:rPr>
          <w:rFonts w:ascii="新宋体" w:hAnsi="新宋体" w:eastAsia="新宋体"/>
        </w:rPr>
      </w:pPr>
      <w:r>
        <w:rPr>
          <w:rFonts w:hint="eastAsia" w:ascii="新宋体" w:hAnsi="新宋体" w:eastAsia="新宋体"/>
        </w:rPr>
        <w:t>以上企业，不属于大企业的分支机构，不存在控股股东为大企业的情形，也不存在与大企业的负责人为同一人的情形。</w:t>
      </w:r>
    </w:p>
    <w:p>
      <w:pPr>
        <w:spacing w:line="360" w:lineRule="auto"/>
        <w:ind w:firstLine="420" w:firstLineChars="200"/>
        <w:rPr>
          <w:rFonts w:ascii="新宋体" w:hAnsi="新宋体" w:eastAsia="新宋体"/>
        </w:rPr>
      </w:pPr>
      <w:r>
        <w:rPr>
          <w:rFonts w:hint="eastAsia" w:ascii="新宋体" w:hAnsi="新宋体" w:eastAsia="新宋体"/>
        </w:rPr>
        <w:t>本企业对上述声明内容的真实性负责。如有虚假，将依法承担相应责任。</w:t>
      </w:r>
    </w:p>
    <w:p>
      <w:pPr>
        <w:spacing w:line="360" w:lineRule="auto"/>
        <w:ind w:firstLine="420" w:firstLineChars="200"/>
        <w:rPr>
          <w:rFonts w:ascii="新宋体" w:hAnsi="新宋体" w:eastAsia="新宋体"/>
        </w:rPr>
      </w:pPr>
      <w:r>
        <w:rPr>
          <w:rFonts w:hint="eastAsia" w:ascii="新宋体" w:hAnsi="新宋体" w:eastAsia="新宋体"/>
        </w:rPr>
        <w:t>备注：</w:t>
      </w:r>
      <w:r>
        <w:fldChar w:fldCharType="begin"/>
      </w:r>
      <w:r>
        <w:instrText xml:space="preserve"> HYPERLINK \l "_bookmark1" </w:instrText>
      </w:r>
      <w:r>
        <w:fldChar w:fldCharType="separate"/>
      </w:r>
      <w:r>
        <w:rPr>
          <w:position w:val="16"/>
          <w:sz w:val="16"/>
        </w:rPr>
        <w:t>1</w:t>
      </w:r>
      <w:r>
        <w:rPr>
          <w:position w:val="16"/>
          <w:sz w:val="16"/>
        </w:rPr>
        <w:fldChar w:fldCharType="end"/>
      </w:r>
      <w:r>
        <w:rPr>
          <w:rFonts w:hint="eastAsia" w:ascii="新宋体" w:hAnsi="新宋体" w:eastAsia="新宋体"/>
        </w:rPr>
        <w:t>从业人员、营业收入、资产总额填报上一年度数据，无上一年度数据的新成立企业可不填报。企业名称（盖章）：</w:t>
      </w:r>
    </w:p>
    <w:p>
      <w:pPr>
        <w:spacing w:line="360" w:lineRule="auto"/>
        <w:ind w:right="840" w:firstLine="5670" w:firstLineChars="2700"/>
        <w:rPr>
          <w:rFonts w:ascii="新宋体" w:hAnsi="新宋体" w:eastAsia="新宋体"/>
        </w:rPr>
      </w:pPr>
      <w:r>
        <w:rPr>
          <w:rFonts w:hint="eastAsia" w:ascii="新宋体" w:hAnsi="新宋体" w:eastAsia="新宋体"/>
        </w:rPr>
        <w:t>日期：</w:t>
      </w:r>
    </w:p>
    <w:p>
      <w:pPr>
        <w:spacing w:line="360" w:lineRule="auto"/>
        <w:ind w:firstLine="420" w:firstLineChars="200"/>
        <w:rPr>
          <w:rFonts w:ascii="新宋体" w:hAnsi="新宋体" w:eastAsia="新宋体"/>
          <w:szCs w:val="21"/>
        </w:rPr>
      </w:pPr>
    </w:p>
    <w:p>
      <w:pPr>
        <w:spacing w:line="360" w:lineRule="auto"/>
        <w:ind w:firstLine="420" w:firstLineChars="200"/>
        <w:rPr>
          <w:rFonts w:ascii="新宋体" w:hAnsi="新宋体" w:eastAsia="新宋体"/>
          <w:szCs w:val="21"/>
        </w:rPr>
      </w:pPr>
    </w:p>
    <w:p>
      <w:pPr>
        <w:wordWrap w:val="0"/>
        <w:spacing w:line="360" w:lineRule="auto"/>
        <w:ind w:right="420" w:firstLine="420" w:firstLineChars="200"/>
        <w:jc w:val="center"/>
        <w:rPr>
          <w:rFonts w:ascii="新宋体" w:hAnsi="新宋体" w:eastAsia="新宋体"/>
          <w:szCs w:val="21"/>
        </w:rPr>
      </w:pPr>
      <w:r>
        <w:rPr>
          <w:rFonts w:hint="eastAsia" w:ascii="新宋体" w:hAnsi="新宋体" w:eastAsia="新宋体"/>
          <w:szCs w:val="21"/>
        </w:rPr>
        <w:t xml:space="preserve">                                                  </w:t>
      </w:r>
    </w:p>
    <w:p>
      <w:pPr>
        <w:spacing w:line="360" w:lineRule="auto"/>
        <w:ind w:firstLine="420" w:firstLineChars="200"/>
        <w:rPr>
          <w:rFonts w:ascii="新宋体" w:hAnsi="新宋体" w:eastAsia="新宋体"/>
          <w:szCs w:val="21"/>
        </w:rPr>
      </w:pPr>
    </w:p>
    <w:p>
      <w:pPr>
        <w:wordWrap w:val="0"/>
        <w:spacing w:line="360" w:lineRule="auto"/>
        <w:ind w:firstLine="420" w:firstLineChars="200"/>
        <w:jc w:val="right"/>
        <w:rPr>
          <w:rFonts w:ascii="新宋体" w:hAnsi="新宋体" w:eastAsia="新宋体"/>
          <w:szCs w:val="21"/>
        </w:rPr>
      </w:pPr>
      <w:r>
        <w:rPr>
          <w:rFonts w:hint="eastAsia" w:ascii="新宋体" w:hAnsi="新宋体" w:eastAsia="新宋体"/>
          <w:szCs w:val="21"/>
        </w:rPr>
        <w:t xml:space="preserve">             </w:t>
      </w:r>
    </w:p>
    <w:p>
      <w:pPr>
        <w:spacing w:line="360" w:lineRule="auto"/>
        <w:ind w:firstLine="420" w:firstLineChars="200"/>
        <w:jc w:val="right"/>
        <w:rPr>
          <w:rFonts w:ascii="新宋体" w:hAnsi="新宋体" w:eastAsia="新宋体"/>
          <w:szCs w:val="21"/>
        </w:rPr>
      </w:pPr>
    </w:p>
    <w:p>
      <w:pPr>
        <w:spacing w:line="360" w:lineRule="auto"/>
        <w:jc w:val="center"/>
        <w:outlineLvl w:val="3"/>
        <w:rPr>
          <w:rFonts w:ascii="新宋体" w:hAnsi="新宋体" w:eastAsia="新宋体"/>
          <w:b/>
          <w:szCs w:val="21"/>
        </w:rPr>
      </w:pPr>
      <w:r>
        <w:rPr>
          <w:rFonts w:hint="eastAsia" w:ascii="新宋体" w:hAnsi="新宋体" w:eastAsia="新宋体"/>
          <w:b/>
          <w:szCs w:val="21"/>
        </w:rPr>
        <w:t>2、残疾人福利性单位声明函</w:t>
      </w:r>
    </w:p>
    <w:p>
      <w:pPr>
        <w:spacing w:line="360" w:lineRule="auto"/>
        <w:rPr>
          <w:rFonts w:ascii="新宋体" w:hAnsi="新宋体" w:eastAsia="新宋体"/>
          <w:b/>
          <w:bCs/>
          <w:szCs w:val="21"/>
        </w:rPr>
      </w:pPr>
    </w:p>
    <w:p>
      <w:pPr>
        <w:spacing w:line="360" w:lineRule="auto"/>
        <w:ind w:firstLine="420" w:firstLineChars="200"/>
        <w:rPr>
          <w:rFonts w:ascii="新宋体" w:hAnsi="新宋体" w:eastAsia="新宋体"/>
          <w:szCs w:val="21"/>
        </w:rPr>
      </w:pPr>
      <w:r>
        <w:rPr>
          <w:rFonts w:hint="eastAsia" w:ascii="新宋体" w:hAnsi="新宋体" w:eastAsia="新宋体"/>
          <w:szCs w:val="21"/>
        </w:rPr>
        <w:t>本单位郑重声明，根据《财政部民政部中国残疾人联合会关于促进残疾人就业政府采购政策的通知》（财库〔</w:t>
      </w:r>
      <w:r>
        <w:rPr>
          <w:rFonts w:ascii="新宋体" w:hAnsi="新宋体" w:eastAsia="新宋体"/>
          <w:szCs w:val="21"/>
        </w:rPr>
        <w:t>2017</w:t>
      </w:r>
      <w:r>
        <w:rPr>
          <w:rFonts w:hint="eastAsia" w:ascii="新宋体" w:hAnsi="新宋体" w:eastAsia="新宋体"/>
          <w:szCs w:val="21"/>
        </w:rPr>
        <w:t>〕</w:t>
      </w:r>
      <w:r>
        <w:rPr>
          <w:rFonts w:ascii="新宋体" w:hAnsi="新宋体" w:eastAsia="新宋体"/>
          <w:szCs w:val="21"/>
        </w:rPr>
        <w:t xml:space="preserve">141 </w:t>
      </w:r>
      <w:r>
        <w:rPr>
          <w:rFonts w:hint="eastAsia" w:ascii="新宋体" w:hAnsi="新宋体" w:eastAsia="新宋体"/>
          <w:szCs w:val="21"/>
        </w:rPr>
        <w:t>号）的规定，本单位为符合条件的残疾人福利性单位，且本单位参加</w:t>
      </w:r>
      <w:r>
        <w:rPr>
          <w:rFonts w:ascii="新宋体" w:hAnsi="新宋体" w:eastAsia="新宋体"/>
          <w:b/>
          <w:szCs w:val="21"/>
        </w:rPr>
        <w:t>_</w:t>
      </w:r>
      <w:r>
        <w:rPr>
          <w:rFonts w:hint="eastAsia" w:ascii="新宋体" w:hAnsi="新宋体" w:eastAsia="新宋体"/>
          <w:b/>
          <w:szCs w:val="21"/>
        </w:rPr>
        <w:t>（采购单位名称）</w:t>
      </w:r>
      <w:r>
        <w:rPr>
          <w:rFonts w:ascii="新宋体" w:hAnsi="新宋体" w:eastAsia="新宋体"/>
          <w:b/>
          <w:szCs w:val="21"/>
        </w:rPr>
        <w:t>_</w:t>
      </w:r>
      <w:r>
        <w:rPr>
          <w:rFonts w:hint="eastAsia" w:ascii="新宋体" w:hAnsi="新宋体" w:eastAsia="新宋体"/>
          <w:szCs w:val="21"/>
        </w:rPr>
        <w:t>单位的</w:t>
      </w:r>
      <w:r>
        <w:rPr>
          <w:rFonts w:ascii="新宋体" w:hAnsi="新宋体" w:eastAsia="新宋体"/>
          <w:b/>
          <w:szCs w:val="21"/>
        </w:rPr>
        <w:t>_</w:t>
      </w:r>
      <w:r>
        <w:rPr>
          <w:rFonts w:hint="eastAsia" w:ascii="新宋体" w:hAnsi="新宋体" w:eastAsia="新宋体"/>
          <w:b/>
          <w:szCs w:val="21"/>
        </w:rPr>
        <w:t>（采购项目名称）</w:t>
      </w:r>
      <w:r>
        <w:rPr>
          <w:rFonts w:hint="eastAsia" w:ascii="新宋体" w:hAnsi="新宋体" w:eastAsia="新宋体"/>
          <w:szCs w:val="21"/>
        </w:rPr>
        <w:t>项目采购活动，并提供</w:t>
      </w:r>
      <w:r>
        <w:rPr>
          <w:rFonts w:ascii="新宋体" w:hAnsi="新宋体" w:eastAsia="新宋体"/>
          <w:szCs w:val="21"/>
        </w:rPr>
        <w:t>:</w:t>
      </w:r>
      <w:r>
        <w:rPr>
          <w:rFonts w:hint="eastAsia" w:ascii="新宋体" w:hAnsi="新宋体" w:eastAsia="新宋体"/>
          <w:b/>
          <w:szCs w:val="21"/>
        </w:rPr>
        <w:t>□本单位制造的货物</w:t>
      </w:r>
      <w:r>
        <w:rPr>
          <w:rFonts w:ascii="新宋体" w:hAnsi="新宋体" w:eastAsia="新宋体"/>
          <w:b/>
          <w:szCs w:val="21"/>
        </w:rPr>
        <w:t>;</w:t>
      </w:r>
      <w:r>
        <w:rPr>
          <w:rFonts w:hint="eastAsia" w:ascii="新宋体" w:hAnsi="新宋体" w:eastAsia="新宋体"/>
          <w:b/>
          <w:szCs w:val="21"/>
        </w:rPr>
        <w:t>□提供其他残疾人福利性单位制造的货物（承诺人在□处打√）。</w:t>
      </w:r>
      <w:r>
        <w:rPr>
          <w:rFonts w:hint="eastAsia" w:ascii="新宋体" w:hAnsi="新宋体" w:eastAsia="新宋体"/>
          <w:szCs w:val="21"/>
        </w:rPr>
        <w:t>本条所称货物是指单一产品采购项目中的货物，或者非单一产品采购项目中的核心产品（货物），不包括使用非残疾人福利性单位注册商标的货物。本单位对上述声明的真实性负责。如有虚假，将依法承担相应责任。</w:t>
      </w:r>
    </w:p>
    <w:p>
      <w:pPr>
        <w:spacing w:line="360" w:lineRule="auto"/>
        <w:ind w:firstLine="420" w:firstLineChars="200"/>
        <w:rPr>
          <w:rFonts w:ascii="新宋体" w:hAnsi="新宋体" w:eastAsia="新宋体"/>
          <w:szCs w:val="21"/>
        </w:rPr>
      </w:pPr>
    </w:p>
    <w:p>
      <w:pPr>
        <w:spacing w:line="360" w:lineRule="auto"/>
        <w:ind w:right="840" w:firstLine="420" w:firstLineChars="200"/>
        <w:jc w:val="center"/>
        <w:rPr>
          <w:rFonts w:ascii="新宋体" w:hAnsi="新宋体" w:eastAsia="新宋体"/>
          <w:szCs w:val="21"/>
        </w:rPr>
      </w:pPr>
      <w:r>
        <w:rPr>
          <w:rFonts w:hint="eastAsia" w:ascii="新宋体" w:hAnsi="新宋体" w:eastAsia="新宋体"/>
          <w:szCs w:val="21"/>
        </w:rPr>
        <w:t xml:space="preserve">                                                       </w:t>
      </w:r>
    </w:p>
    <w:p>
      <w:pPr>
        <w:wordWrap w:val="0"/>
        <w:spacing w:line="360" w:lineRule="auto"/>
        <w:ind w:right="420" w:firstLine="420" w:firstLineChars="200"/>
        <w:jc w:val="center"/>
        <w:rPr>
          <w:rFonts w:ascii="新宋体" w:hAnsi="新宋体" w:eastAsia="新宋体"/>
          <w:szCs w:val="21"/>
        </w:rPr>
      </w:pPr>
      <w:r>
        <w:rPr>
          <w:rFonts w:hint="eastAsia" w:ascii="新宋体" w:hAnsi="新宋体" w:eastAsia="新宋体"/>
          <w:szCs w:val="21"/>
        </w:rPr>
        <w:t xml:space="preserve">                                                     </w:t>
      </w:r>
    </w:p>
    <w:p>
      <w:pPr>
        <w:spacing w:line="360" w:lineRule="auto"/>
        <w:ind w:firstLine="420" w:firstLineChars="200"/>
        <w:jc w:val="right"/>
        <w:rPr>
          <w:rFonts w:ascii="新宋体" w:hAnsi="新宋体" w:eastAsia="新宋体"/>
          <w:szCs w:val="21"/>
        </w:rPr>
      </w:pPr>
    </w:p>
    <w:p>
      <w:pPr>
        <w:spacing w:line="360" w:lineRule="auto"/>
        <w:jc w:val="center"/>
        <w:outlineLvl w:val="3"/>
        <w:rPr>
          <w:rFonts w:ascii="新宋体" w:hAnsi="新宋体" w:eastAsia="新宋体"/>
          <w:b/>
          <w:szCs w:val="21"/>
        </w:rPr>
      </w:pPr>
      <w:r>
        <w:rPr>
          <w:rFonts w:hint="eastAsia" w:ascii="新宋体" w:hAnsi="新宋体" w:eastAsia="新宋体"/>
          <w:b/>
          <w:szCs w:val="21"/>
        </w:rPr>
        <w:t>3、监狱企业声明函【监狱企业或者代理提供监狱企业货物的供应商如需享受优惠政策，还须同时提供省级以上监狱管理局、戒毒管理局（含新疆生产建设兵团）出具的监狱企业证明文件】</w:t>
      </w:r>
    </w:p>
    <w:p>
      <w:pPr>
        <w:spacing w:line="360" w:lineRule="auto"/>
        <w:ind w:firstLine="420" w:firstLineChars="200"/>
        <w:rPr>
          <w:rFonts w:ascii="新宋体" w:hAnsi="新宋体" w:eastAsia="新宋体"/>
          <w:szCs w:val="21"/>
        </w:rPr>
      </w:pPr>
      <w:r>
        <w:rPr>
          <w:rFonts w:hint="eastAsia" w:ascii="新宋体" w:hAnsi="新宋体" w:eastAsia="新宋体"/>
          <w:szCs w:val="21"/>
        </w:rPr>
        <w:t>本单位郑重声明，根据《财政部司法部关于政府采购支持监狱企业发展有关问题的通知》（财库〔</w:t>
      </w:r>
      <w:r>
        <w:rPr>
          <w:rFonts w:ascii="新宋体" w:hAnsi="新宋体" w:eastAsia="新宋体"/>
          <w:szCs w:val="21"/>
        </w:rPr>
        <w:t>2014</w:t>
      </w:r>
      <w:r>
        <w:rPr>
          <w:rFonts w:hint="eastAsia" w:ascii="新宋体" w:hAnsi="新宋体" w:eastAsia="新宋体"/>
          <w:szCs w:val="21"/>
        </w:rPr>
        <w:t>〕</w:t>
      </w:r>
      <w:r>
        <w:rPr>
          <w:rFonts w:ascii="新宋体" w:hAnsi="新宋体" w:eastAsia="新宋体"/>
          <w:szCs w:val="21"/>
        </w:rPr>
        <w:t>68</w:t>
      </w:r>
      <w:r>
        <w:rPr>
          <w:rFonts w:hint="eastAsia" w:ascii="新宋体" w:hAnsi="新宋体" w:eastAsia="新宋体"/>
          <w:szCs w:val="21"/>
        </w:rPr>
        <w:t>号）的规定，本单位为符合条件的监狱企业，且本单位参加</w:t>
      </w:r>
      <w:r>
        <w:rPr>
          <w:rFonts w:ascii="新宋体" w:hAnsi="新宋体" w:eastAsia="新宋体"/>
          <w:b/>
          <w:szCs w:val="21"/>
        </w:rPr>
        <w:t>_</w:t>
      </w:r>
      <w:r>
        <w:rPr>
          <w:rFonts w:hint="eastAsia" w:ascii="新宋体" w:hAnsi="新宋体" w:eastAsia="新宋体"/>
          <w:b/>
          <w:szCs w:val="21"/>
        </w:rPr>
        <w:t>（采购单位名称）</w:t>
      </w:r>
      <w:r>
        <w:rPr>
          <w:rFonts w:ascii="新宋体" w:hAnsi="新宋体" w:eastAsia="新宋体"/>
          <w:b/>
          <w:szCs w:val="21"/>
        </w:rPr>
        <w:t>_</w:t>
      </w:r>
      <w:r>
        <w:rPr>
          <w:rFonts w:hint="eastAsia" w:ascii="新宋体" w:hAnsi="新宋体" w:eastAsia="新宋体"/>
          <w:szCs w:val="21"/>
        </w:rPr>
        <w:t>单位的</w:t>
      </w:r>
      <w:r>
        <w:rPr>
          <w:rFonts w:hint="eastAsia" w:ascii="新宋体" w:hAnsi="新宋体" w:eastAsia="新宋体"/>
          <w:b/>
          <w:szCs w:val="21"/>
        </w:rPr>
        <w:t>_（采购项目名称）_</w:t>
      </w:r>
      <w:r>
        <w:rPr>
          <w:rFonts w:hint="eastAsia" w:ascii="新宋体" w:hAnsi="新宋体" w:eastAsia="新宋体"/>
          <w:szCs w:val="21"/>
        </w:rPr>
        <w:t>项目采购活动，并提供</w:t>
      </w:r>
      <w:r>
        <w:rPr>
          <w:rFonts w:ascii="新宋体" w:hAnsi="新宋体" w:eastAsia="新宋体"/>
          <w:szCs w:val="21"/>
        </w:rPr>
        <w:t>:</w:t>
      </w:r>
      <w:r>
        <w:rPr>
          <w:rFonts w:hint="eastAsia" w:ascii="新宋体" w:hAnsi="新宋体" w:eastAsia="新宋体"/>
          <w:b/>
          <w:szCs w:val="21"/>
        </w:rPr>
        <w:t>□本单位制造的货物</w:t>
      </w:r>
      <w:r>
        <w:rPr>
          <w:rFonts w:ascii="新宋体" w:hAnsi="新宋体" w:eastAsia="新宋体"/>
          <w:b/>
          <w:szCs w:val="21"/>
        </w:rPr>
        <w:t>;</w:t>
      </w:r>
      <w:r>
        <w:rPr>
          <w:rFonts w:hint="eastAsia" w:ascii="新宋体" w:hAnsi="新宋体" w:eastAsia="新宋体"/>
          <w:b/>
          <w:szCs w:val="21"/>
        </w:rPr>
        <w:t>□提供其他监狱企业制造的货物（承诺人在□处打√）</w:t>
      </w:r>
      <w:r>
        <w:rPr>
          <w:rFonts w:hint="eastAsia" w:ascii="新宋体" w:hAnsi="新宋体" w:eastAsia="新宋体"/>
          <w:szCs w:val="21"/>
        </w:rPr>
        <w:t>。本条所称货物是指单一产品采购项目中的货物，或者非单一产品采购项目中的核心产品（货物）。</w:t>
      </w:r>
    </w:p>
    <w:p>
      <w:pPr>
        <w:spacing w:line="360" w:lineRule="auto"/>
        <w:ind w:firstLine="420" w:firstLineChars="200"/>
        <w:rPr>
          <w:rFonts w:ascii="新宋体" w:hAnsi="新宋体" w:eastAsia="新宋体"/>
          <w:szCs w:val="21"/>
        </w:rPr>
      </w:pPr>
      <w:r>
        <w:rPr>
          <w:rFonts w:hint="eastAsia" w:ascii="新宋体" w:hAnsi="新宋体" w:eastAsia="新宋体"/>
          <w:szCs w:val="21"/>
        </w:rPr>
        <w:t>本单位对上述声明的真实性负责。如有虚假，将依法承担相应责任。</w:t>
      </w:r>
    </w:p>
    <w:p>
      <w:pPr>
        <w:spacing w:line="360" w:lineRule="auto"/>
        <w:ind w:firstLine="420" w:firstLineChars="200"/>
        <w:rPr>
          <w:rFonts w:ascii="新宋体" w:hAnsi="新宋体" w:eastAsia="新宋体"/>
          <w:szCs w:val="21"/>
        </w:rPr>
      </w:pPr>
      <w:r>
        <w:rPr>
          <w:rFonts w:hint="eastAsia" w:ascii="新宋体" w:hAnsi="新宋体" w:eastAsia="新宋体"/>
          <w:szCs w:val="21"/>
        </w:rPr>
        <w:t>附：省级以上监狱管理局、戒毒管理局（含新疆生产建设兵团）出具的监狱企业证明文件。</w:t>
      </w:r>
    </w:p>
    <w:p>
      <w:pPr>
        <w:spacing w:line="360" w:lineRule="auto"/>
        <w:rPr>
          <w:rFonts w:ascii="新宋体" w:hAnsi="新宋体" w:eastAsia="新宋体"/>
          <w:szCs w:val="21"/>
        </w:rPr>
      </w:pPr>
    </w:p>
    <w:p>
      <w:pPr>
        <w:spacing w:line="360" w:lineRule="auto"/>
        <w:outlineLvl w:val="3"/>
        <w:rPr>
          <w:rFonts w:ascii="新宋体" w:hAnsi="新宋体" w:eastAsia="新宋体"/>
          <w:b/>
          <w:szCs w:val="21"/>
        </w:rPr>
      </w:pPr>
      <w:r>
        <w:rPr>
          <w:rFonts w:hint="eastAsia" w:ascii="新宋体" w:hAnsi="新宋体" w:eastAsia="新宋体"/>
          <w:b/>
          <w:szCs w:val="21"/>
        </w:rPr>
        <w:t>（八）疫情防控证明文件（可选）</w:t>
      </w:r>
    </w:p>
    <w:p>
      <w:pPr>
        <w:spacing w:line="360" w:lineRule="auto"/>
        <w:outlineLvl w:val="3"/>
        <w:rPr>
          <w:rFonts w:ascii="新宋体" w:hAnsi="新宋体" w:eastAsia="新宋体"/>
          <w:b/>
          <w:bCs/>
          <w:color w:val="FF0000"/>
          <w:szCs w:val="21"/>
        </w:rPr>
      </w:pPr>
      <w:r>
        <w:rPr>
          <w:rFonts w:hint="eastAsia" w:ascii="新宋体" w:hAnsi="新宋体" w:eastAsia="新宋体"/>
          <w:b/>
          <w:bCs/>
          <w:color w:val="FF0000"/>
          <w:szCs w:val="21"/>
        </w:rPr>
        <w:t>（特别提示：对照相关评分因素及评分准则提供相关资料，以便评委判断得分情况。）</w:t>
      </w:r>
    </w:p>
    <w:p>
      <w:pPr>
        <w:spacing w:line="360" w:lineRule="auto"/>
        <w:outlineLvl w:val="3"/>
        <w:rPr>
          <w:rFonts w:ascii="新宋体" w:hAnsi="新宋体" w:eastAsia="新宋体"/>
          <w:b/>
          <w:szCs w:val="21"/>
        </w:rPr>
      </w:pPr>
    </w:p>
    <w:p>
      <w:pPr>
        <w:spacing w:line="360" w:lineRule="auto"/>
        <w:outlineLvl w:val="3"/>
        <w:rPr>
          <w:rFonts w:ascii="新宋体" w:hAnsi="新宋体" w:eastAsia="新宋体"/>
          <w:b/>
          <w:szCs w:val="21"/>
        </w:rPr>
      </w:pPr>
      <w:r>
        <w:rPr>
          <w:rFonts w:hint="eastAsia" w:ascii="新宋体" w:hAnsi="新宋体" w:eastAsia="新宋体"/>
          <w:b/>
          <w:szCs w:val="21"/>
        </w:rPr>
        <w:t>（九）投标人认为需提供的其他证明文件</w:t>
      </w:r>
    </w:p>
    <w:p>
      <w:pPr>
        <w:rPr>
          <w:b/>
          <w:bCs/>
          <w:color w:val="FF0000"/>
          <w:sz w:val="24"/>
        </w:rPr>
      </w:pPr>
    </w:p>
    <w:p>
      <w:pPr>
        <w:rPr>
          <w:b/>
          <w:bCs/>
        </w:rPr>
      </w:pPr>
    </w:p>
    <w:p>
      <w:pPr>
        <w:pStyle w:val="4"/>
        <w:jc w:val="center"/>
        <w:rPr>
          <w:b w:val="0"/>
          <w:sz w:val="24"/>
          <w:szCs w:val="24"/>
        </w:rPr>
      </w:pPr>
      <w:r>
        <w:rPr>
          <w:rFonts w:hint="eastAsia" w:ascii="黑体" w:eastAsia="黑体"/>
          <w:b w:val="0"/>
          <w:sz w:val="24"/>
          <w:szCs w:val="24"/>
        </w:rPr>
        <w:t>五、货物说明一览表</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260"/>
        <w:gridCol w:w="126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jc w:val="center"/>
              <w:rPr>
                <w:rFonts w:ascii="新宋体" w:hAnsi="新宋体" w:eastAsia="新宋体"/>
                <w:szCs w:val="21"/>
              </w:rPr>
            </w:pPr>
            <w:r>
              <w:rPr>
                <w:rFonts w:hint="eastAsia" w:ascii="新宋体" w:hAnsi="新宋体" w:eastAsia="新宋体"/>
                <w:szCs w:val="21"/>
              </w:rPr>
              <w:t>序号</w:t>
            </w:r>
          </w:p>
        </w:tc>
        <w:tc>
          <w:tcPr>
            <w:tcW w:w="1620" w:type="dxa"/>
          </w:tcPr>
          <w:p>
            <w:pPr>
              <w:jc w:val="center"/>
              <w:rPr>
                <w:rFonts w:ascii="新宋体" w:hAnsi="新宋体" w:eastAsia="新宋体"/>
                <w:szCs w:val="21"/>
              </w:rPr>
            </w:pPr>
            <w:r>
              <w:rPr>
                <w:rFonts w:hint="eastAsia" w:ascii="新宋体" w:hAnsi="新宋体" w:eastAsia="新宋体"/>
                <w:szCs w:val="21"/>
              </w:rPr>
              <w:t>货物名称</w:t>
            </w:r>
          </w:p>
        </w:tc>
        <w:tc>
          <w:tcPr>
            <w:tcW w:w="1260" w:type="dxa"/>
          </w:tcPr>
          <w:p>
            <w:pPr>
              <w:jc w:val="center"/>
              <w:rPr>
                <w:rFonts w:ascii="新宋体" w:hAnsi="新宋体" w:eastAsia="新宋体"/>
                <w:szCs w:val="21"/>
              </w:rPr>
            </w:pPr>
            <w:r>
              <w:rPr>
                <w:rFonts w:hint="eastAsia" w:ascii="新宋体" w:hAnsi="新宋体" w:eastAsia="新宋体"/>
                <w:szCs w:val="21"/>
              </w:rPr>
              <w:t>型号</w:t>
            </w:r>
          </w:p>
        </w:tc>
        <w:tc>
          <w:tcPr>
            <w:tcW w:w="1260" w:type="dxa"/>
          </w:tcPr>
          <w:p>
            <w:pPr>
              <w:jc w:val="center"/>
              <w:rPr>
                <w:rFonts w:ascii="新宋体" w:hAnsi="新宋体" w:eastAsia="新宋体"/>
                <w:szCs w:val="21"/>
              </w:rPr>
            </w:pPr>
            <w:r>
              <w:rPr>
                <w:rFonts w:hint="eastAsia" w:ascii="新宋体" w:hAnsi="新宋体" w:eastAsia="新宋体"/>
                <w:szCs w:val="21"/>
              </w:rPr>
              <w:t>数量</w:t>
            </w:r>
          </w:p>
        </w:tc>
        <w:tc>
          <w:tcPr>
            <w:tcW w:w="1440" w:type="dxa"/>
          </w:tcPr>
          <w:p>
            <w:pPr>
              <w:jc w:val="center"/>
              <w:rPr>
                <w:rFonts w:ascii="新宋体" w:hAnsi="新宋体" w:eastAsia="新宋体"/>
                <w:szCs w:val="21"/>
              </w:rPr>
            </w:pPr>
            <w:r>
              <w:rPr>
                <w:rFonts w:hint="eastAsia" w:ascii="新宋体" w:hAnsi="新宋体" w:eastAsia="新宋体"/>
                <w:szCs w:val="21"/>
              </w:rPr>
              <w:t>单位</w:t>
            </w:r>
          </w:p>
        </w:tc>
        <w:tc>
          <w:tcPr>
            <w:tcW w:w="1440" w:type="dxa"/>
          </w:tcPr>
          <w:p>
            <w:pPr>
              <w:jc w:val="center"/>
              <w:rPr>
                <w:rFonts w:ascii="新宋体" w:hAnsi="新宋体" w:eastAsia="新宋体"/>
                <w:szCs w:val="21"/>
              </w:rPr>
            </w:pPr>
            <w:r>
              <w:rPr>
                <w:rFonts w:hint="eastAsia" w:ascii="新宋体" w:hAnsi="新宋体" w:eastAsia="新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新宋体" w:hAnsi="新宋体" w:eastAsia="新宋体"/>
                <w:szCs w:val="21"/>
              </w:rPr>
            </w:pPr>
          </w:p>
        </w:tc>
        <w:tc>
          <w:tcPr>
            <w:tcW w:w="1620" w:type="dxa"/>
          </w:tcPr>
          <w:p>
            <w:pPr>
              <w:rPr>
                <w:rFonts w:ascii="新宋体" w:hAnsi="新宋体" w:eastAsia="新宋体"/>
                <w:szCs w:val="21"/>
              </w:rPr>
            </w:pPr>
          </w:p>
        </w:tc>
        <w:tc>
          <w:tcPr>
            <w:tcW w:w="1260" w:type="dxa"/>
          </w:tcPr>
          <w:p>
            <w:pPr>
              <w:rPr>
                <w:rFonts w:ascii="新宋体" w:hAnsi="新宋体" w:eastAsia="新宋体"/>
                <w:szCs w:val="21"/>
              </w:rPr>
            </w:pPr>
          </w:p>
        </w:tc>
        <w:tc>
          <w:tcPr>
            <w:tcW w:w="1260" w:type="dxa"/>
          </w:tcPr>
          <w:p>
            <w:pPr>
              <w:rPr>
                <w:rFonts w:ascii="新宋体" w:hAnsi="新宋体" w:eastAsia="新宋体"/>
                <w:szCs w:val="21"/>
              </w:rPr>
            </w:pPr>
          </w:p>
        </w:tc>
        <w:tc>
          <w:tcPr>
            <w:tcW w:w="1440" w:type="dxa"/>
          </w:tcPr>
          <w:p>
            <w:pPr>
              <w:rPr>
                <w:rFonts w:ascii="新宋体" w:hAnsi="新宋体" w:eastAsia="新宋体"/>
                <w:szCs w:val="21"/>
              </w:rPr>
            </w:pPr>
          </w:p>
        </w:tc>
        <w:tc>
          <w:tcPr>
            <w:tcW w:w="1440" w:type="dxa"/>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新宋体" w:hAnsi="新宋体" w:eastAsia="新宋体"/>
                <w:szCs w:val="21"/>
              </w:rPr>
            </w:pPr>
          </w:p>
        </w:tc>
        <w:tc>
          <w:tcPr>
            <w:tcW w:w="1620" w:type="dxa"/>
          </w:tcPr>
          <w:p>
            <w:pPr>
              <w:rPr>
                <w:rFonts w:ascii="新宋体" w:hAnsi="新宋体" w:eastAsia="新宋体"/>
                <w:szCs w:val="21"/>
              </w:rPr>
            </w:pPr>
          </w:p>
        </w:tc>
        <w:tc>
          <w:tcPr>
            <w:tcW w:w="1260" w:type="dxa"/>
          </w:tcPr>
          <w:p>
            <w:pPr>
              <w:rPr>
                <w:rFonts w:ascii="新宋体" w:hAnsi="新宋体" w:eastAsia="新宋体"/>
                <w:szCs w:val="21"/>
              </w:rPr>
            </w:pPr>
          </w:p>
        </w:tc>
        <w:tc>
          <w:tcPr>
            <w:tcW w:w="1260" w:type="dxa"/>
          </w:tcPr>
          <w:p>
            <w:pPr>
              <w:rPr>
                <w:rFonts w:ascii="新宋体" w:hAnsi="新宋体" w:eastAsia="新宋体"/>
                <w:szCs w:val="21"/>
              </w:rPr>
            </w:pPr>
          </w:p>
        </w:tc>
        <w:tc>
          <w:tcPr>
            <w:tcW w:w="1440" w:type="dxa"/>
          </w:tcPr>
          <w:p>
            <w:pPr>
              <w:rPr>
                <w:rFonts w:ascii="新宋体" w:hAnsi="新宋体" w:eastAsia="新宋体"/>
                <w:szCs w:val="21"/>
              </w:rPr>
            </w:pPr>
          </w:p>
        </w:tc>
        <w:tc>
          <w:tcPr>
            <w:tcW w:w="1440" w:type="dxa"/>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新宋体" w:hAnsi="新宋体" w:eastAsia="新宋体"/>
                <w:szCs w:val="21"/>
              </w:rPr>
            </w:pPr>
          </w:p>
        </w:tc>
        <w:tc>
          <w:tcPr>
            <w:tcW w:w="1620" w:type="dxa"/>
          </w:tcPr>
          <w:p>
            <w:pPr>
              <w:rPr>
                <w:rFonts w:ascii="新宋体" w:hAnsi="新宋体" w:eastAsia="新宋体"/>
                <w:szCs w:val="21"/>
              </w:rPr>
            </w:pPr>
          </w:p>
        </w:tc>
        <w:tc>
          <w:tcPr>
            <w:tcW w:w="1260" w:type="dxa"/>
          </w:tcPr>
          <w:p>
            <w:pPr>
              <w:rPr>
                <w:rFonts w:ascii="新宋体" w:hAnsi="新宋体" w:eastAsia="新宋体"/>
                <w:szCs w:val="21"/>
              </w:rPr>
            </w:pPr>
          </w:p>
        </w:tc>
        <w:tc>
          <w:tcPr>
            <w:tcW w:w="1260" w:type="dxa"/>
          </w:tcPr>
          <w:p>
            <w:pPr>
              <w:rPr>
                <w:rFonts w:ascii="新宋体" w:hAnsi="新宋体" w:eastAsia="新宋体"/>
                <w:szCs w:val="21"/>
              </w:rPr>
            </w:pPr>
          </w:p>
        </w:tc>
        <w:tc>
          <w:tcPr>
            <w:tcW w:w="1440" w:type="dxa"/>
          </w:tcPr>
          <w:p>
            <w:pPr>
              <w:rPr>
                <w:rFonts w:ascii="新宋体" w:hAnsi="新宋体" w:eastAsia="新宋体"/>
                <w:szCs w:val="21"/>
              </w:rPr>
            </w:pPr>
          </w:p>
        </w:tc>
        <w:tc>
          <w:tcPr>
            <w:tcW w:w="1440" w:type="dxa"/>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新宋体" w:hAnsi="新宋体" w:eastAsia="新宋体"/>
                <w:szCs w:val="21"/>
              </w:rPr>
            </w:pPr>
          </w:p>
        </w:tc>
        <w:tc>
          <w:tcPr>
            <w:tcW w:w="1620" w:type="dxa"/>
          </w:tcPr>
          <w:p>
            <w:pPr>
              <w:rPr>
                <w:rFonts w:ascii="新宋体" w:hAnsi="新宋体" w:eastAsia="新宋体"/>
                <w:szCs w:val="21"/>
              </w:rPr>
            </w:pPr>
          </w:p>
        </w:tc>
        <w:tc>
          <w:tcPr>
            <w:tcW w:w="1260" w:type="dxa"/>
          </w:tcPr>
          <w:p>
            <w:pPr>
              <w:rPr>
                <w:rFonts w:ascii="新宋体" w:hAnsi="新宋体" w:eastAsia="新宋体"/>
                <w:szCs w:val="21"/>
              </w:rPr>
            </w:pPr>
          </w:p>
        </w:tc>
        <w:tc>
          <w:tcPr>
            <w:tcW w:w="1260" w:type="dxa"/>
          </w:tcPr>
          <w:p>
            <w:pPr>
              <w:rPr>
                <w:rFonts w:ascii="新宋体" w:hAnsi="新宋体" w:eastAsia="新宋体"/>
                <w:szCs w:val="21"/>
              </w:rPr>
            </w:pPr>
          </w:p>
        </w:tc>
        <w:tc>
          <w:tcPr>
            <w:tcW w:w="1440" w:type="dxa"/>
          </w:tcPr>
          <w:p>
            <w:pPr>
              <w:rPr>
                <w:rFonts w:ascii="新宋体" w:hAnsi="新宋体" w:eastAsia="新宋体"/>
                <w:szCs w:val="21"/>
              </w:rPr>
            </w:pPr>
          </w:p>
        </w:tc>
        <w:tc>
          <w:tcPr>
            <w:tcW w:w="1440" w:type="dxa"/>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新宋体" w:hAnsi="新宋体" w:eastAsia="新宋体"/>
                <w:szCs w:val="21"/>
              </w:rPr>
            </w:pPr>
          </w:p>
        </w:tc>
        <w:tc>
          <w:tcPr>
            <w:tcW w:w="1620" w:type="dxa"/>
          </w:tcPr>
          <w:p>
            <w:pPr>
              <w:rPr>
                <w:rFonts w:ascii="新宋体" w:hAnsi="新宋体" w:eastAsia="新宋体"/>
                <w:szCs w:val="21"/>
              </w:rPr>
            </w:pPr>
          </w:p>
        </w:tc>
        <w:tc>
          <w:tcPr>
            <w:tcW w:w="1260" w:type="dxa"/>
          </w:tcPr>
          <w:p>
            <w:pPr>
              <w:rPr>
                <w:rFonts w:ascii="新宋体" w:hAnsi="新宋体" w:eastAsia="新宋体"/>
                <w:szCs w:val="21"/>
              </w:rPr>
            </w:pPr>
          </w:p>
        </w:tc>
        <w:tc>
          <w:tcPr>
            <w:tcW w:w="1260" w:type="dxa"/>
          </w:tcPr>
          <w:p>
            <w:pPr>
              <w:rPr>
                <w:rFonts w:ascii="新宋体" w:hAnsi="新宋体" w:eastAsia="新宋体"/>
                <w:szCs w:val="21"/>
              </w:rPr>
            </w:pPr>
          </w:p>
        </w:tc>
        <w:tc>
          <w:tcPr>
            <w:tcW w:w="1440" w:type="dxa"/>
          </w:tcPr>
          <w:p>
            <w:pPr>
              <w:rPr>
                <w:rFonts w:ascii="新宋体" w:hAnsi="新宋体" w:eastAsia="新宋体"/>
                <w:szCs w:val="21"/>
              </w:rPr>
            </w:pPr>
          </w:p>
        </w:tc>
        <w:tc>
          <w:tcPr>
            <w:tcW w:w="1440" w:type="dxa"/>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新宋体" w:hAnsi="新宋体" w:eastAsia="新宋体"/>
                <w:szCs w:val="21"/>
              </w:rPr>
            </w:pPr>
          </w:p>
        </w:tc>
        <w:tc>
          <w:tcPr>
            <w:tcW w:w="1620" w:type="dxa"/>
          </w:tcPr>
          <w:p>
            <w:pPr>
              <w:rPr>
                <w:rFonts w:ascii="新宋体" w:hAnsi="新宋体" w:eastAsia="新宋体"/>
                <w:szCs w:val="21"/>
              </w:rPr>
            </w:pPr>
          </w:p>
        </w:tc>
        <w:tc>
          <w:tcPr>
            <w:tcW w:w="1260" w:type="dxa"/>
          </w:tcPr>
          <w:p>
            <w:pPr>
              <w:rPr>
                <w:rFonts w:ascii="新宋体" w:hAnsi="新宋体" w:eastAsia="新宋体"/>
                <w:szCs w:val="21"/>
              </w:rPr>
            </w:pPr>
          </w:p>
        </w:tc>
        <w:tc>
          <w:tcPr>
            <w:tcW w:w="1260" w:type="dxa"/>
          </w:tcPr>
          <w:p>
            <w:pPr>
              <w:rPr>
                <w:rFonts w:ascii="新宋体" w:hAnsi="新宋体" w:eastAsia="新宋体"/>
                <w:szCs w:val="21"/>
              </w:rPr>
            </w:pPr>
          </w:p>
        </w:tc>
        <w:tc>
          <w:tcPr>
            <w:tcW w:w="1440" w:type="dxa"/>
          </w:tcPr>
          <w:p>
            <w:pPr>
              <w:rPr>
                <w:rFonts w:ascii="新宋体" w:hAnsi="新宋体" w:eastAsia="新宋体"/>
                <w:szCs w:val="21"/>
              </w:rPr>
            </w:pPr>
          </w:p>
        </w:tc>
        <w:tc>
          <w:tcPr>
            <w:tcW w:w="1440" w:type="dxa"/>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新宋体" w:hAnsi="新宋体" w:eastAsia="新宋体"/>
                <w:szCs w:val="21"/>
              </w:rPr>
            </w:pPr>
          </w:p>
        </w:tc>
        <w:tc>
          <w:tcPr>
            <w:tcW w:w="1620" w:type="dxa"/>
          </w:tcPr>
          <w:p>
            <w:pPr>
              <w:rPr>
                <w:rFonts w:ascii="新宋体" w:hAnsi="新宋体" w:eastAsia="新宋体"/>
                <w:szCs w:val="21"/>
              </w:rPr>
            </w:pPr>
          </w:p>
        </w:tc>
        <w:tc>
          <w:tcPr>
            <w:tcW w:w="1260" w:type="dxa"/>
          </w:tcPr>
          <w:p>
            <w:pPr>
              <w:rPr>
                <w:rFonts w:ascii="新宋体" w:hAnsi="新宋体" w:eastAsia="新宋体"/>
                <w:szCs w:val="21"/>
              </w:rPr>
            </w:pPr>
          </w:p>
        </w:tc>
        <w:tc>
          <w:tcPr>
            <w:tcW w:w="1260" w:type="dxa"/>
          </w:tcPr>
          <w:p>
            <w:pPr>
              <w:rPr>
                <w:rFonts w:ascii="新宋体" w:hAnsi="新宋体" w:eastAsia="新宋体"/>
                <w:szCs w:val="21"/>
              </w:rPr>
            </w:pPr>
          </w:p>
        </w:tc>
        <w:tc>
          <w:tcPr>
            <w:tcW w:w="1440" w:type="dxa"/>
          </w:tcPr>
          <w:p>
            <w:pPr>
              <w:rPr>
                <w:rFonts w:ascii="新宋体" w:hAnsi="新宋体" w:eastAsia="新宋体"/>
                <w:szCs w:val="21"/>
              </w:rPr>
            </w:pPr>
          </w:p>
        </w:tc>
        <w:tc>
          <w:tcPr>
            <w:tcW w:w="1440" w:type="dxa"/>
          </w:tcPr>
          <w:p>
            <w:pPr>
              <w:rPr>
                <w:rFonts w:ascii="新宋体" w:hAnsi="新宋体" w:eastAsia="新宋体"/>
                <w:szCs w:val="21"/>
              </w:rPr>
            </w:pPr>
          </w:p>
        </w:tc>
      </w:tr>
    </w:tbl>
    <w:p>
      <w:pPr>
        <w:rPr>
          <w:sz w:val="24"/>
        </w:rPr>
      </w:pPr>
    </w:p>
    <w:p>
      <w:pPr>
        <w:rPr>
          <w:sz w:val="24"/>
        </w:rPr>
      </w:pPr>
    </w:p>
    <w:p>
      <w:pPr>
        <w:rPr>
          <w:sz w:val="24"/>
        </w:rPr>
      </w:pPr>
    </w:p>
    <w:p>
      <w:pPr>
        <w:pStyle w:val="4"/>
        <w:jc w:val="center"/>
        <w:rPr>
          <w:rFonts w:ascii="黑体" w:eastAsia="黑体"/>
          <w:b w:val="0"/>
          <w:sz w:val="24"/>
          <w:szCs w:val="24"/>
        </w:rPr>
      </w:pPr>
      <w:r>
        <w:rPr>
          <w:rFonts w:hint="eastAsia" w:ascii="黑体" w:eastAsia="黑体"/>
          <w:b w:val="0"/>
          <w:sz w:val="24"/>
          <w:szCs w:val="24"/>
        </w:rPr>
        <w:t>六、技术规格偏离表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新宋体" w:hAnsi="新宋体" w:eastAsia="新宋体"/>
                <w:szCs w:val="21"/>
              </w:rPr>
            </w:pPr>
            <w:r>
              <w:rPr>
                <w:rFonts w:hint="eastAsia" w:ascii="新宋体" w:hAnsi="新宋体" w:eastAsia="新宋体"/>
                <w:szCs w:val="21"/>
              </w:rPr>
              <w:t>序号</w:t>
            </w:r>
          </w:p>
        </w:tc>
        <w:tc>
          <w:tcPr>
            <w:tcW w:w="1356" w:type="dxa"/>
          </w:tcPr>
          <w:p>
            <w:pPr>
              <w:rPr>
                <w:rFonts w:ascii="新宋体" w:hAnsi="新宋体" w:eastAsia="新宋体"/>
                <w:szCs w:val="21"/>
              </w:rPr>
            </w:pPr>
            <w:r>
              <w:rPr>
                <w:rFonts w:hint="eastAsia" w:ascii="新宋体" w:hAnsi="新宋体" w:eastAsia="新宋体"/>
                <w:szCs w:val="21"/>
              </w:rPr>
              <w:t>货物名称</w:t>
            </w:r>
          </w:p>
        </w:tc>
        <w:tc>
          <w:tcPr>
            <w:tcW w:w="1356" w:type="dxa"/>
          </w:tcPr>
          <w:p>
            <w:pPr>
              <w:rPr>
                <w:rFonts w:ascii="新宋体" w:hAnsi="新宋体" w:eastAsia="新宋体"/>
                <w:szCs w:val="21"/>
              </w:rPr>
            </w:pPr>
            <w:r>
              <w:rPr>
                <w:rFonts w:hint="eastAsia" w:ascii="新宋体" w:hAnsi="新宋体" w:eastAsia="新宋体"/>
                <w:szCs w:val="21"/>
              </w:rPr>
              <w:t>招标技术要求</w:t>
            </w:r>
          </w:p>
        </w:tc>
        <w:tc>
          <w:tcPr>
            <w:tcW w:w="1356" w:type="dxa"/>
          </w:tcPr>
          <w:p>
            <w:pPr>
              <w:rPr>
                <w:rFonts w:ascii="新宋体" w:hAnsi="新宋体" w:eastAsia="新宋体"/>
                <w:szCs w:val="21"/>
              </w:rPr>
            </w:pPr>
            <w:r>
              <w:rPr>
                <w:rFonts w:hint="eastAsia" w:ascii="新宋体" w:hAnsi="新宋体" w:eastAsia="新宋体"/>
                <w:szCs w:val="21"/>
              </w:rPr>
              <w:t>投标技术响应</w:t>
            </w:r>
          </w:p>
        </w:tc>
        <w:tc>
          <w:tcPr>
            <w:tcW w:w="1484" w:type="dxa"/>
          </w:tcPr>
          <w:p>
            <w:pPr>
              <w:rPr>
                <w:rFonts w:ascii="新宋体" w:hAnsi="新宋体" w:eastAsia="新宋体"/>
                <w:szCs w:val="21"/>
              </w:rPr>
            </w:pPr>
            <w:r>
              <w:rPr>
                <w:rFonts w:hint="eastAsia" w:ascii="新宋体" w:hAnsi="新宋体" w:eastAsia="新宋体"/>
                <w:szCs w:val="21"/>
              </w:rPr>
              <w:t>偏离情况</w:t>
            </w:r>
          </w:p>
        </w:tc>
        <w:tc>
          <w:tcPr>
            <w:tcW w:w="1530" w:type="dxa"/>
          </w:tcPr>
          <w:p>
            <w:pPr>
              <w:rPr>
                <w:rFonts w:ascii="新宋体" w:hAnsi="新宋体" w:eastAsia="新宋体"/>
                <w:szCs w:val="21"/>
              </w:rPr>
            </w:pPr>
            <w:r>
              <w:rPr>
                <w:rFonts w:hint="eastAsia" w:ascii="新宋体" w:hAnsi="新宋体" w:eastAsia="新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484" w:type="dxa"/>
          </w:tcPr>
          <w:p>
            <w:pPr>
              <w:rPr>
                <w:rFonts w:ascii="新宋体" w:hAnsi="新宋体" w:eastAsia="新宋体"/>
                <w:szCs w:val="21"/>
              </w:rPr>
            </w:pPr>
          </w:p>
        </w:tc>
        <w:tc>
          <w:tcPr>
            <w:tcW w:w="1530" w:type="dxa"/>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484" w:type="dxa"/>
          </w:tcPr>
          <w:p>
            <w:pPr>
              <w:rPr>
                <w:rFonts w:ascii="新宋体" w:hAnsi="新宋体" w:eastAsia="新宋体"/>
                <w:szCs w:val="21"/>
              </w:rPr>
            </w:pPr>
          </w:p>
        </w:tc>
        <w:tc>
          <w:tcPr>
            <w:tcW w:w="1530" w:type="dxa"/>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484" w:type="dxa"/>
          </w:tcPr>
          <w:p>
            <w:pPr>
              <w:rPr>
                <w:rFonts w:ascii="新宋体" w:hAnsi="新宋体" w:eastAsia="新宋体"/>
                <w:szCs w:val="21"/>
              </w:rPr>
            </w:pPr>
          </w:p>
        </w:tc>
        <w:tc>
          <w:tcPr>
            <w:tcW w:w="1530" w:type="dxa"/>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484" w:type="dxa"/>
          </w:tcPr>
          <w:p>
            <w:pPr>
              <w:rPr>
                <w:rFonts w:ascii="新宋体" w:hAnsi="新宋体" w:eastAsia="新宋体"/>
                <w:szCs w:val="21"/>
              </w:rPr>
            </w:pPr>
          </w:p>
        </w:tc>
        <w:tc>
          <w:tcPr>
            <w:tcW w:w="1530" w:type="dxa"/>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484" w:type="dxa"/>
          </w:tcPr>
          <w:p>
            <w:pPr>
              <w:rPr>
                <w:rFonts w:ascii="新宋体" w:hAnsi="新宋体" w:eastAsia="新宋体"/>
                <w:szCs w:val="21"/>
              </w:rPr>
            </w:pPr>
          </w:p>
        </w:tc>
        <w:tc>
          <w:tcPr>
            <w:tcW w:w="1530" w:type="dxa"/>
          </w:tcPr>
          <w:p>
            <w:pP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356" w:type="dxa"/>
          </w:tcPr>
          <w:p>
            <w:pPr>
              <w:rPr>
                <w:rFonts w:ascii="新宋体" w:hAnsi="新宋体" w:eastAsia="新宋体"/>
                <w:szCs w:val="21"/>
              </w:rPr>
            </w:pPr>
          </w:p>
        </w:tc>
        <w:tc>
          <w:tcPr>
            <w:tcW w:w="1484" w:type="dxa"/>
          </w:tcPr>
          <w:p>
            <w:pPr>
              <w:rPr>
                <w:rFonts w:ascii="新宋体" w:hAnsi="新宋体" w:eastAsia="新宋体"/>
                <w:szCs w:val="21"/>
              </w:rPr>
            </w:pPr>
          </w:p>
        </w:tc>
        <w:tc>
          <w:tcPr>
            <w:tcW w:w="1530" w:type="dxa"/>
          </w:tcPr>
          <w:p>
            <w:pPr>
              <w:rPr>
                <w:rFonts w:ascii="新宋体" w:hAnsi="新宋体" w:eastAsia="新宋体"/>
                <w:szCs w:val="21"/>
              </w:rPr>
            </w:pPr>
          </w:p>
        </w:tc>
      </w:tr>
    </w:tbl>
    <w:p>
      <w:pPr>
        <w:spacing w:line="360" w:lineRule="auto"/>
        <w:rPr>
          <w:rFonts w:ascii="新宋体" w:hAnsi="新宋体" w:eastAsia="新宋体"/>
          <w:szCs w:val="21"/>
        </w:rPr>
      </w:pPr>
      <w:r>
        <w:rPr>
          <w:rFonts w:hint="eastAsia" w:ascii="新宋体" w:hAnsi="新宋体" w:eastAsia="新宋体"/>
          <w:szCs w:val="21"/>
        </w:rPr>
        <w:t>备注：</w:t>
      </w:r>
    </w:p>
    <w:p>
      <w:pPr>
        <w:spacing w:line="360" w:lineRule="auto"/>
        <w:rPr>
          <w:rFonts w:ascii="新宋体" w:hAnsi="新宋体" w:eastAsia="新宋体"/>
          <w:color w:val="FF0000"/>
          <w:szCs w:val="21"/>
        </w:rPr>
      </w:pPr>
      <w:r>
        <w:rPr>
          <w:rFonts w:hint="eastAsia" w:ascii="新宋体" w:hAnsi="新宋体" w:eastAsia="新宋体"/>
          <w:color w:val="FF0000"/>
          <w:szCs w:val="21"/>
        </w:rPr>
        <w:t>1、“招标技术要求”一栏应</w:t>
      </w:r>
      <w:r>
        <w:rPr>
          <w:rFonts w:hint="eastAsia" w:ascii="新宋体" w:hAnsi="新宋体" w:eastAsia="新宋体"/>
          <w:b/>
          <w:color w:val="FF0000"/>
          <w:szCs w:val="21"/>
        </w:rPr>
        <w:t>填写招标文件第二章</w:t>
      </w:r>
      <w:r>
        <w:rPr>
          <w:rFonts w:hint="eastAsia" w:ascii="新宋体" w:hAnsi="新宋体" w:eastAsia="新宋体"/>
          <w:color w:val="FF0000"/>
          <w:szCs w:val="21"/>
        </w:rPr>
        <w:t>“具体技术要求”的内容；</w:t>
      </w:r>
    </w:p>
    <w:p>
      <w:pPr>
        <w:spacing w:line="360" w:lineRule="auto"/>
        <w:rPr>
          <w:rFonts w:ascii="新宋体" w:hAnsi="新宋体" w:eastAsia="新宋体"/>
          <w:color w:val="FF0000"/>
          <w:szCs w:val="21"/>
        </w:rPr>
      </w:pPr>
      <w:r>
        <w:rPr>
          <w:rFonts w:hint="eastAsia" w:ascii="新宋体" w:hAnsi="新宋体" w:eastAsia="新宋体"/>
          <w:color w:val="FF0000"/>
          <w:szCs w:val="21"/>
        </w:rPr>
        <w:t>2、“投标技术响应”一栏必须详细填写投标产品的具体参数，并应对照招标技术要求一一对应响应；</w:t>
      </w:r>
    </w:p>
    <w:p>
      <w:pPr>
        <w:spacing w:line="360" w:lineRule="auto"/>
        <w:rPr>
          <w:rFonts w:ascii="新宋体" w:hAnsi="新宋体" w:eastAsia="新宋体"/>
          <w:color w:val="FF0000"/>
          <w:szCs w:val="21"/>
        </w:rPr>
      </w:pPr>
      <w:r>
        <w:rPr>
          <w:rFonts w:hint="eastAsia" w:ascii="新宋体" w:hAnsi="新宋体" w:eastAsia="新宋体"/>
          <w:color w:val="FF0000"/>
          <w:szCs w:val="21"/>
        </w:rPr>
        <w:t>3、“偏离情况”一栏应如实填写“正偏离”、“负偏离”或“无偏离”。</w:t>
      </w:r>
    </w:p>
    <w:p>
      <w:pPr>
        <w:spacing w:line="360" w:lineRule="auto"/>
        <w:rPr>
          <w:rFonts w:ascii="新宋体" w:hAnsi="新宋体" w:eastAsia="新宋体"/>
          <w:color w:val="FF0000"/>
          <w:szCs w:val="21"/>
        </w:rPr>
      </w:pPr>
      <w:r>
        <w:rPr>
          <w:rFonts w:hint="eastAsia" w:ascii="新宋体" w:hAnsi="新宋体" w:eastAsia="新宋体"/>
          <w:color w:val="FF0000"/>
          <w:szCs w:val="21"/>
        </w:rPr>
        <w:t>4、投标人在《技术规格偏离表》填写的“投标技术响应”与《具体技术要求》的“招标技术要求”存在填写不全的情况，将被视为未实质性满足招标文件要求作投标无效处理。示例，“招标技术要求”共有10项参数，投标人只响应了9项，填写不全，则视为未实质性满足招标文件要求作投标无效处理。</w:t>
      </w:r>
    </w:p>
    <w:p>
      <w:pPr>
        <w:spacing w:line="360" w:lineRule="auto"/>
        <w:rPr>
          <w:rFonts w:ascii="新宋体" w:hAnsi="新宋体" w:eastAsia="新宋体"/>
          <w:color w:val="FF0000"/>
          <w:szCs w:val="21"/>
        </w:rPr>
      </w:pPr>
      <w:r>
        <w:rPr>
          <w:rFonts w:hint="eastAsia" w:ascii="新宋体" w:hAnsi="新宋体" w:eastAsia="新宋体"/>
          <w:color w:val="FF0000"/>
          <w:szCs w:val="21"/>
        </w:rPr>
        <w:t>5、投标人所填写的“偏离情况”与评审委员会判定不一致时</w:t>
      </w:r>
      <w:r>
        <w:rPr>
          <w:rFonts w:hint="eastAsia" w:ascii="新宋体" w:hAnsi="新宋体" w:eastAsia="新宋体"/>
          <w:b/>
          <w:color w:val="FF0000"/>
          <w:szCs w:val="21"/>
        </w:rPr>
        <w:t>，以评审委员会意见为主。另，判定结果不一致的参数超过一定数量的，则评分项“技术偏离情况”将不得分（即计为0分）。</w:t>
      </w:r>
    </w:p>
    <w:p>
      <w:pPr>
        <w:spacing w:line="360" w:lineRule="auto"/>
        <w:rPr>
          <w:rFonts w:ascii="新宋体" w:hAnsi="新宋体" w:eastAsia="新宋体"/>
          <w:color w:val="FF0000"/>
          <w:szCs w:val="21"/>
        </w:rPr>
      </w:pPr>
      <w:r>
        <w:rPr>
          <w:rFonts w:hint="eastAsia" w:ascii="新宋体" w:hAnsi="新宋体" w:eastAsia="新宋体"/>
          <w:b/>
          <w:color w:val="FF0000"/>
          <w:szCs w:val="21"/>
        </w:rPr>
        <w:t>一定数量的设置：</w:t>
      </w:r>
      <w:r>
        <w:rPr>
          <w:rFonts w:hint="eastAsia" w:ascii="新宋体" w:hAnsi="新宋体" w:eastAsia="新宋体"/>
          <w:color w:val="FF0000"/>
          <w:szCs w:val="21"/>
        </w:rPr>
        <w:t>（1）《具体技术要求》全部参数数量10%（四舍五入取整数）不足3条的，以3条为标准；（2）《具体技术要求》全部参数数量10%（四舍五入取整数）超过10条的，以10条为标准；（3）其他情况，按《具体技术要求》全部参数数量10%（四舍五入取整数）为标准。</w:t>
      </w:r>
    </w:p>
    <w:p>
      <w:pPr>
        <w:spacing w:line="360" w:lineRule="auto"/>
        <w:rPr>
          <w:rFonts w:ascii="新宋体" w:hAnsi="新宋体" w:eastAsia="新宋体"/>
          <w:b/>
          <w:color w:val="FF0000"/>
          <w:szCs w:val="21"/>
        </w:rPr>
      </w:pPr>
      <w:r>
        <w:rPr>
          <w:rFonts w:hint="eastAsia" w:ascii="新宋体" w:hAnsi="新宋体" w:eastAsia="新宋体"/>
          <w:szCs w:val="21"/>
        </w:rPr>
        <w:t>6、投标产品的技术参数应按</w:t>
      </w:r>
      <w:r>
        <w:rPr>
          <w:rFonts w:hint="eastAsia" w:ascii="新宋体" w:hAnsi="新宋体" w:eastAsia="新宋体"/>
          <w:color w:val="FF0000"/>
          <w:szCs w:val="21"/>
        </w:rPr>
        <w:t>《技术规格偏离表》中的要求</w:t>
      </w:r>
      <w:r>
        <w:rPr>
          <w:rFonts w:hint="eastAsia" w:ascii="新宋体" w:hAnsi="新宋体" w:eastAsia="新宋体"/>
          <w:szCs w:val="21"/>
        </w:rPr>
        <w:t>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Pr>
          <w:rFonts w:hint="eastAsia" w:ascii="新宋体" w:hAnsi="新宋体" w:eastAsia="新宋体"/>
          <w:b/>
          <w:color w:val="FF0000"/>
          <w:szCs w:val="21"/>
        </w:rPr>
        <w:t>若《技术规格偏离表》中未要求提供相应证明材料的，投标人可以不提供。</w:t>
      </w:r>
    </w:p>
    <w:p>
      <w:pPr>
        <w:spacing w:line="360" w:lineRule="auto"/>
        <w:rPr>
          <w:rFonts w:ascii="新宋体" w:hAnsi="新宋体" w:eastAsia="新宋体"/>
          <w:szCs w:val="21"/>
        </w:rPr>
      </w:pPr>
      <w:r>
        <w:rPr>
          <w:rFonts w:hint="eastAsia" w:ascii="新宋体" w:hAnsi="新宋体" w:eastAsia="新宋体"/>
          <w:szCs w:val="21"/>
        </w:rPr>
        <w:t>7、证明资料（均为扫描件）的提供要求：</w:t>
      </w:r>
    </w:p>
    <w:p>
      <w:pPr>
        <w:spacing w:line="360" w:lineRule="auto"/>
        <w:rPr>
          <w:rFonts w:ascii="新宋体" w:hAnsi="新宋体" w:eastAsia="新宋体"/>
          <w:szCs w:val="21"/>
        </w:rPr>
      </w:pPr>
      <w:r>
        <w:rPr>
          <w:rFonts w:hint="eastAsia" w:ascii="新宋体" w:hAnsi="新宋体" w:eastAsia="新宋体"/>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spacing w:line="360" w:lineRule="auto"/>
        <w:rPr>
          <w:rFonts w:ascii="新宋体" w:hAnsi="新宋体" w:eastAsia="新宋体"/>
          <w:szCs w:val="21"/>
        </w:rPr>
      </w:pPr>
      <w:r>
        <w:rPr>
          <w:rFonts w:hint="eastAsia" w:ascii="新宋体" w:hAnsi="新宋体" w:eastAsia="新宋体"/>
          <w:szCs w:val="21"/>
        </w:rPr>
        <w:t>（2）我国政府机构出具的产品检验和核准证件应为证件正面、背面和附件标注的全部具体内容；产品检验和核准证件的尺寸和清晰度应该能够在电脑上被阅读、识别和判断。</w:t>
      </w:r>
    </w:p>
    <w:p>
      <w:pPr>
        <w:spacing w:line="360" w:lineRule="auto"/>
        <w:rPr>
          <w:rFonts w:ascii="新宋体" w:hAnsi="新宋体" w:eastAsia="新宋体"/>
          <w:szCs w:val="21"/>
        </w:rPr>
      </w:pPr>
      <w:r>
        <w:rPr>
          <w:rFonts w:hint="eastAsia" w:ascii="新宋体" w:hAnsi="新宋体" w:eastAsia="新宋体"/>
          <w:szCs w:val="21"/>
        </w:rPr>
        <w:t>8、评审委员会有权对以谋取中标为目的的技术规格模糊响应（如有意照搬照抄招标文件的技术要求）或虚假响应予以认定，并视情况经集中采购机构报市政府采购监督管理部门予以处罚。</w:t>
      </w:r>
    </w:p>
    <w:p>
      <w:pPr>
        <w:spacing w:line="360" w:lineRule="auto"/>
        <w:rPr>
          <w:rFonts w:ascii="新宋体" w:hAnsi="新宋体" w:eastAsia="新宋体"/>
          <w:szCs w:val="21"/>
        </w:rPr>
      </w:pPr>
    </w:p>
    <w:p>
      <w:pPr>
        <w:pStyle w:val="4"/>
        <w:spacing w:line="360" w:lineRule="auto"/>
        <w:jc w:val="center"/>
        <w:rPr>
          <w:rFonts w:ascii="新宋体" w:hAnsi="新宋体" w:eastAsia="新宋体"/>
          <w:b w:val="0"/>
          <w:bCs w:val="0"/>
          <w:sz w:val="21"/>
          <w:szCs w:val="21"/>
        </w:rPr>
      </w:pPr>
      <w:r>
        <w:rPr>
          <w:rFonts w:hint="eastAsia" w:ascii="新宋体" w:hAnsi="新宋体" w:eastAsia="新宋体"/>
          <w:b w:val="0"/>
          <w:bCs w:val="0"/>
          <w:sz w:val="21"/>
          <w:szCs w:val="21"/>
        </w:rPr>
        <w:t>七、商务需求偏离表</w:t>
      </w:r>
    </w:p>
    <w:tbl>
      <w:tblPr>
        <w:tblStyle w:val="4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新宋体" w:hAnsi="新宋体" w:eastAsia="新宋体"/>
                <w:szCs w:val="21"/>
              </w:rPr>
            </w:pPr>
            <w:r>
              <w:rPr>
                <w:rFonts w:hint="eastAsia" w:ascii="新宋体" w:hAnsi="新宋体" w:eastAsia="新宋体"/>
                <w:szCs w:val="21"/>
              </w:rPr>
              <w:t>序号</w:t>
            </w:r>
          </w:p>
        </w:tc>
        <w:tc>
          <w:tcPr>
            <w:tcW w:w="1080" w:type="dxa"/>
          </w:tcPr>
          <w:p>
            <w:pPr>
              <w:spacing w:line="360" w:lineRule="auto"/>
              <w:rPr>
                <w:rFonts w:ascii="新宋体" w:hAnsi="新宋体" w:eastAsia="新宋体"/>
                <w:szCs w:val="21"/>
              </w:rPr>
            </w:pPr>
            <w:r>
              <w:rPr>
                <w:rFonts w:hint="eastAsia" w:ascii="新宋体" w:hAnsi="新宋体" w:eastAsia="新宋体"/>
                <w:szCs w:val="21"/>
              </w:rPr>
              <w:t>目录</w:t>
            </w:r>
          </w:p>
        </w:tc>
        <w:tc>
          <w:tcPr>
            <w:tcW w:w="1980" w:type="dxa"/>
          </w:tcPr>
          <w:p>
            <w:pPr>
              <w:spacing w:line="360" w:lineRule="auto"/>
              <w:rPr>
                <w:rFonts w:ascii="新宋体" w:hAnsi="新宋体" w:eastAsia="新宋体"/>
                <w:szCs w:val="21"/>
              </w:rPr>
            </w:pPr>
            <w:r>
              <w:rPr>
                <w:rFonts w:hint="eastAsia" w:ascii="新宋体" w:hAnsi="新宋体" w:eastAsia="新宋体"/>
                <w:szCs w:val="21"/>
              </w:rPr>
              <w:t>招标商务条款</w:t>
            </w:r>
          </w:p>
        </w:tc>
        <w:tc>
          <w:tcPr>
            <w:tcW w:w="1980" w:type="dxa"/>
          </w:tcPr>
          <w:p>
            <w:pPr>
              <w:spacing w:line="360" w:lineRule="auto"/>
              <w:rPr>
                <w:rFonts w:ascii="新宋体" w:hAnsi="新宋体" w:eastAsia="新宋体"/>
                <w:szCs w:val="21"/>
              </w:rPr>
            </w:pPr>
            <w:r>
              <w:rPr>
                <w:rFonts w:hint="eastAsia" w:ascii="新宋体" w:hAnsi="新宋体" w:eastAsia="新宋体"/>
                <w:szCs w:val="21"/>
              </w:rPr>
              <w:t>投标商务条款</w:t>
            </w:r>
          </w:p>
        </w:tc>
        <w:tc>
          <w:tcPr>
            <w:tcW w:w="1440" w:type="dxa"/>
          </w:tcPr>
          <w:p>
            <w:pPr>
              <w:spacing w:line="360" w:lineRule="auto"/>
              <w:rPr>
                <w:rFonts w:ascii="新宋体" w:hAnsi="新宋体" w:eastAsia="新宋体"/>
                <w:szCs w:val="21"/>
              </w:rPr>
            </w:pPr>
            <w:r>
              <w:rPr>
                <w:rFonts w:hint="eastAsia" w:ascii="新宋体" w:hAnsi="新宋体" w:eastAsia="新宋体"/>
                <w:szCs w:val="21"/>
              </w:rPr>
              <w:t>偏离情况</w:t>
            </w:r>
          </w:p>
        </w:tc>
        <w:tc>
          <w:tcPr>
            <w:tcW w:w="1620" w:type="dxa"/>
          </w:tcPr>
          <w:p>
            <w:pPr>
              <w:spacing w:line="360" w:lineRule="auto"/>
              <w:rPr>
                <w:rFonts w:ascii="新宋体" w:hAnsi="新宋体" w:eastAsia="新宋体"/>
                <w:szCs w:val="21"/>
              </w:rPr>
            </w:pPr>
            <w:r>
              <w:rPr>
                <w:rFonts w:hint="eastAsia" w:ascii="新宋体" w:hAnsi="新宋体" w:eastAsia="新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pPr>
              <w:spacing w:line="360" w:lineRule="auto"/>
              <w:rPr>
                <w:rFonts w:ascii="新宋体" w:hAnsi="新宋体" w:eastAsia="新宋体"/>
                <w:szCs w:val="21"/>
              </w:rPr>
            </w:pPr>
            <w:r>
              <w:rPr>
                <w:rFonts w:hint="eastAsia" w:ascii="新宋体" w:hAnsi="新宋体" w:eastAsia="新宋体"/>
                <w:szCs w:val="21"/>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新宋体" w:hAnsi="新宋体" w:eastAsia="新宋体"/>
                <w:szCs w:val="21"/>
              </w:rPr>
            </w:pPr>
            <w:r>
              <w:rPr>
                <w:rFonts w:hint="eastAsia" w:ascii="新宋体" w:hAnsi="新宋体" w:eastAsia="新宋体"/>
                <w:szCs w:val="21"/>
              </w:rPr>
              <w:t>1</w:t>
            </w:r>
          </w:p>
        </w:tc>
        <w:tc>
          <w:tcPr>
            <w:tcW w:w="10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440" w:type="dxa"/>
          </w:tcPr>
          <w:p>
            <w:pPr>
              <w:spacing w:line="360" w:lineRule="auto"/>
              <w:rPr>
                <w:rFonts w:ascii="新宋体" w:hAnsi="新宋体" w:eastAsia="新宋体"/>
                <w:szCs w:val="21"/>
              </w:rPr>
            </w:pPr>
          </w:p>
        </w:tc>
        <w:tc>
          <w:tcPr>
            <w:tcW w:w="1620" w:type="dxa"/>
          </w:tcPr>
          <w:p>
            <w:pPr>
              <w:spacing w:line="360" w:lineRule="auto"/>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新宋体" w:hAnsi="新宋体" w:eastAsia="新宋体"/>
                <w:szCs w:val="21"/>
              </w:rPr>
            </w:pPr>
            <w:r>
              <w:rPr>
                <w:rFonts w:hint="eastAsia" w:ascii="新宋体" w:hAnsi="新宋体" w:eastAsia="新宋体"/>
                <w:szCs w:val="21"/>
              </w:rPr>
              <w:t>2</w:t>
            </w:r>
          </w:p>
        </w:tc>
        <w:tc>
          <w:tcPr>
            <w:tcW w:w="10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440" w:type="dxa"/>
          </w:tcPr>
          <w:p>
            <w:pPr>
              <w:spacing w:line="360" w:lineRule="auto"/>
              <w:rPr>
                <w:rFonts w:ascii="新宋体" w:hAnsi="新宋体" w:eastAsia="新宋体"/>
                <w:szCs w:val="21"/>
              </w:rPr>
            </w:pPr>
          </w:p>
        </w:tc>
        <w:tc>
          <w:tcPr>
            <w:tcW w:w="1620" w:type="dxa"/>
          </w:tcPr>
          <w:p>
            <w:pPr>
              <w:spacing w:line="360" w:lineRule="auto"/>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新宋体" w:hAnsi="新宋体" w:eastAsia="新宋体"/>
                <w:szCs w:val="21"/>
              </w:rPr>
            </w:pPr>
            <w:r>
              <w:rPr>
                <w:rFonts w:hint="eastAsia" w:ascii="新宋体" w:hAnsi="新宋体" w:eastAsia="新宋体"/>
                <w:szCs w:val="21"/>
              </w:rPr>
              <w:t>……</w:t>
            </w:r>
          </w:p>
        </w:tc>
        <w:tc>
          <w:tcPr>
            <w:tcW w:w="10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440" w:type="dxa"/>
          </w:tcPr>
          <w:p>
            <w:pPr>
              <w:spacing w:line="360" w:lineRule="auto"/>
              <w:rPr>
                <w:rFonts w:ascii="新宋体" w:hAnsi="新宋体" w:eastAsia="新宋体"/>
                <w:szCs w:val="21"/>
              </w:rPr>
            </w:pPr>
          </w:p>
        </w:tc>
        <w:tc>
          <w:tcPr>
            <w:tcW w:w="1620" w:type="dxa"/>
          </w:tcPr>
          <w:p>
            <w:pPr>
              <w:spacing w:line="360" w:lineRule="auto"/>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pPr>
              <w:spacing w:line="360" w:lineRule="auto"/>
              <w:rPr>
                <w:rFonts w:ascii="新宋体" w:hAnsi="新宋体" w:eastAsia="新宋体"/>
                <w:szCs w:val="21"/>
              </w:rPr>
            </w:pPr>
            <w:r>
              <w:rPr>
                <w:rFonts w:hint="eastAsia" w:ascii="新宋体" w:hAnsi="新宋体" w:eastAsia="新宋体"/>
                <w:szCs w:val="21"/>
              </w:rPr>
              <w:t>（二）免费保修期外售后服务条款偏离表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新宋体" w:hAnsi="新宋体" w:eastAsia="新宋体"/>
                <w:szCs w:val="21"/>
              </w:rPr>
            </w:pPr>
            <w:r>
              <w:rPr>
                <w:rFonts w:hint="eastAsia" w:ascii="新宋体" w:hAnsi="新宋体" w:eastAsia="新宋体"/>
                <w:szCs w:val="21"/>
              </w:rPr>
              <w:t>1</w:t>
            </w:r>
          </w:p>
        </w:tc>
        <w:tc>
          <w:tcPr>
            <w:tcW w:w="10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440" w:type="dxa"/>
          </w:tcPr>
          <w:p>
            <w:pPr>
              <w:spacing w:line="360" w:lineRule="auto"/>
              <w:rPr>
                <w:rFonts w:ascii="新宋体" w:hAnsi="新宋体" w:eastAsia="新宋体"/>
                <w:szCs w:val="21"/>
              </w:rPr>
            </w:pPr>
          </w:p>
        </w:tc>
        <w:tc>
          <w:tcPr>
            <w:tcW w:w="1620" w:type="dxa"/>
          </w:tcPr>
          <w:p>
            <w:pPr>
              <w:spacing w:line="360" w:lineRule="auto"/>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新宋体" w:hAnsi="新宋体" w:eastAsia="新宋体"/>
                <w:szCs w:val="21"/>
              </w:rPr>
            </w:pPr>
            <w:r>
              <w:rPr>
                <w:rFonts w:hint="eastAsia" w:ascii="新宋体" w:hAnsi="新宋体" w:eastAsia="新宋体"/>
                <w:szCs w:val="21"/>
              </w:rPr>
              <w:t>2</w:t>
            </w:r>
          </w:p>
        </w:tc>
        <w:tc>
          <w:tcPr>
            <w:tcW w:w="10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440" w:type="dxa"/>
          </w:tcPr>
          <w:p>
            <w:pPr>
              <w:spacing w:line="360" w:lineRule="auto"/>
              <w:rPr>
                <w:rFonts w:ascii="新宋体" w:hAnsi="新宋体" w:eastAsia="新宋体"/>
                <w:szCs w:val="21"/>
              </w:rPr>
            </w:pPr>
          </w:p>
        </w:tc>
        <w:tc>
          <w:tcPr>
            <w:tcW w:w="1620" w:type="dxa"/>
          </w:tcPr>
          <w:p>
            <w:pPr>
              <w:spacing w:line="360" w:lineRule="auto"/>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新宋体" w:hAnsi="新宋体" w:eastAsia="新宋体"/>
                <w:szCs w:val="21"/>
              </w:rPr>
            </w:pPr>
            <w:r>
              <w:rPr>
                <w:rFonts w:hint="eastAsia" w:ascii="新宋体" w:hAnsi="新宋体" w:eastAsia="新宋体"/>
                <w:szCs w:val="21"/>
              </w:rPr>
              <w:t>……</w:t>
            </w:r>
          </w:p>
        </w:tc>
        <w:tc>
          <w:tcPr>
            <w:tcW w:w="10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440" w:type="dxa"/>
          </w:tcPr>
          <w:p>
            <w:pPr>
              <w:spacing w:line="360" w:lineRule="auto"/>
              <w:rPr>
                <w:rFonts w:ascii="新宋体" w:hAnsi="新宋体" w:eastAsia="新宋体"/>
                <w:szCs w:val="21"/>
              </w:rPr>
            </w:pPr>
          </w:p>
        </w:tc>
        <w:tc>
          <w:tcPr>
            <w:tcW w:w="1620" w:type="dxa"/>
          </w:tcPr>
          <w:p>
            <w:pPr>
              <w:spacing w:line="360" w:lineRule="auto"/>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pPr>
              <w:spacing w:line="360" w:lineRule="auto"/>
              <w:rPr>
                <w:rFonts w:ascii="新宋体" w:hAnsi="新宋体" w:eastAsia="新宋体"/>
                <w:szCs w:val="21"/>
              </w:rPr>
            </w:pPr>
            <w:r>
              <w:rPr>
                <w:rFonts w:hint="eastAsia" w:ascii="新宋体" w:hAnsi="新宋体" w:eastAsia="新宋体"/>
                <w:szCs w:val="21"/>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新宋体" w:hAnsi="新宋体" w:eastAsia="新宋体"/>
                <w:szCs w:val="21"/>
              </w:rPr>
            </w:pPr>
            <w:r>
              <w:rPr>
                <w:rFonts w:hint="eastAsia" w:ascii="新宋体" w:hAnsi="新宋体" w:eastAsia="新宋体"/>
                <w:szCs w:val="21"/>
              </w:rPr>
              <w:t>1</w:t>
            </w:r>
          </w:p>
        </w:tc>
        <w:tc>
          <w:tcPr>
            <w:tcW w:w="10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440" w:type="dxa"/>
          </w:tcPr>
          <w:p>
            <w:pPr>
              <w:spacing w:line="360" w:lineRule="auto"/>
              <w:rPr>
                <w:rFonts w:ascii="新宋体" w:hAnsi="新宋体" w:eastAsia="新宋体"/>
                <w:szCs w:val="21"/>
              </w:rPr>
            </w:pPr>
          </w:p>
        </w:tc>
        <w:tc>
          <w:tcPr>
            <w:tcW w:w="1620" w:type="dxa"/>
          </w:tcPr>
          <w:p>
            <w:pPr>
              <w:spacing w:line="360" w:lineRule="auto"/>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新宋体" w:hAnsi="新宋体" w:eastAsia="新宋体"/>
                <w:szCs w:val="21"/>
              </w:rPr>
            </w:pPr>
            <w:r>
              <w:rPr>
                <w:rFonts w:hint="eastAsia" w:ascii="新宋体" w:hAnsi="新宋体" w:eastAsia="新宋体"/>
                <w:szCs w:val="21"/>
              </w:rPr>
              <w:t>2</w:t>
            </w:r>
          </w:p>
        </w:tc>
        <w:tc>
          <w:tcPr>
            <w:tcW w:w="10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440" w:type="dxa"/>
          </w:tcPr>
          <w:p>
            <w:pPr>
              <w:spacing w:line="360" w:lineRule="auto"/>
              <w:rPr>
                <w:rFonts w:ascii="新宋体" w:hAnsi="新宋体" w:eastAsia="新宋体"/>
                <w:szCs w:val="21"/>
              </w:rPr>
            </w:pPr>
          </w:p>
        </w:tc>
        <w:tc>
          <w:tcPr>
            <w:tcW w:w="1620" w:type="dxa"/>
          </w:tcPr>
          <w:p>
            <w:pPr>
              <w:spacing w:line="360" w:lineRule="auto"/>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新宋体" w:hAnsi="新宋体" w:eastAsia="新宋体"/>
                <w:szCs w:val="21"/>
              </w:rPr>
            </w:pPr>
            <w:r>
              <w:rPr>
                <w:rFonts w:hint="eastAsia" w:ascii="新宋体" w:hAnsi="新宋体" w:eastAsia="新宋体"/>
                <w:szCs w:val="21"/>
              </w:rPr>
              <w:t>……</w:t>
            </w:r>
          </w:p>
        </w:tc>
        <w:tc>
          <w:tcPr>
            <w:tcW w:w="10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980" w:type="dxa"/>
          </w:tcPr>
          <w:p>
            <w:pPr>
              <w:spacing w:line="360" w:lineRule="auto"/>
              <w:rPr>
                <w:rFonts w:ascii="新宋体" w:hAnsi="新宋体" w:eastAsia="新宋体"/>
                <w:szCs w:val="21"/>
              </w:rPr>
            </w:pPr>
          </w:p>
        </w:tc>
        <w:tc>
          <w:tcPr>
            <w:tcW w:w="1440" w:type="dxa"/>
          </w:tcPr>
          <w:p>
            <w:pPr>
              <w:spacing w:line="360" w:lineRule="auto"/>
              <w:rPr>
                <w:rFonts w:ascii="新宋体" w:hAnsi="新宋体" w:eastAsia="新宋体"/>
                <w:szCs w:val="21"/>
              </w:rPr>
            </w:pPr>
          </w:p>
        </w:tc>
        <w:tc>
          <w:tcPr>
            <w:tcW w:w="1620" w:type="dxa"/>
          </w:tcPr>
          <w:p>
            <w:pPr>
              <w:spacing w:line="360" w:lineRule="auto"/>
              <w:rPr>
                <w:rFonts w:ascii="新宋体" w:hAnsi="新宋体" w:eastAsia="新宋体"/>
                <w:szCs w:val="21"/>
              </w:rPr>
            </w:pPr>
          </w:p>
        </w:tc>
      </w:tr>
    </w:tbl>
    <w:p>
      <w:pPr>
        <w:spacing w:line="360" w:lineRule="auto"/>
        <w:rPr>
          <w:rFonts w:ascii="新宋体" w:hAnsi="新宋体" w:eastAsia="新宋体"/>
          <w:szCs w:val="21"/>
        </w:rPr>
      </w:pPr>
      <w:r>
        <w:rPr>
          <w:rFonts w:hint="eastAsia" w:ascii="新宋体" w:hAnsi="新宋体" w:eastAsia="新宋体"/>
          <w:szCs w:val="21"/>
        </w:rPr>
        <w:t>备注：</w:t>
      </w:r>
    </w:p>
    <w:p>
      <w:pPr>
        <w:spacing w:line="360" w:lineRule="auto"/>
        <w:rPr>
          <w:rFonts w:ascii="新宋体" w:hAnsi="新宋体" w:eastAsia="新宋体"/>
          <w:color w:val="FF0000"/>
          <w:szCs w:val="21"/>
        </w:rPr>
      </w:pPr>
      <w:r>
        <w:rPr>
          <w:rFonts w:hint="eastAsia" w:ascii="新宋体" w:hAnsi="新宋体" w:eastAsia="新宋体"/>
          <w:color w:val="FF0000"/>
          <w:szCs w:val="21"/>
        </w:rPr>
        <w:t>1. “招标商务条款”一栏必须填写招标文件第二章“商务需求”的内容分别对应“（一）免费保修期内售后服务要求、（二）免费保修期外售后服务要求、（三）其他商务要求”的内容进行填写。</w:t>
      </w:r>
    </w:p>
    <w:p>
      <w:pPr>
        <w:spacing w:line="360" w:lineRule="auto"/>
        <w:rPr>
          <w:rFonts w:ascii="新宋体" w:hAnsi="新宋体" w:eastAsia="新宋体"/>
          <w:color w:val="FF0000"/>
          <w:szCs w:val="21"/>
        </w:rPr>
      </w:pPr>
      <w:r>
        <w:rPr>
          <w:rFonts w:hint="eastAsia" w:ascii="新宋体" w:hAnsi="新宋体" w:eastAsia="新宋体"/>
          <w:color w:val="FF0000"/>
          <w:szCs w:val="21"/>
        </w:rPr>
        <w:t>2. “投标商务条款”一栏必须详细填写投标商务条款的内容。</w:t>
      </w:r>
    </w:p>
    <w:p>
      <w:pPr>
        <w:spacing w:line="360" w:lineRule="auto"/>
        <w:rPr>
          <w:rFonts w:ascii="新宋体" w:hAnsi="新宋体" w:eastAsia="新宋体"/>
          <w:color w:val="FF0000"/>
          <w:szCs w:val="21"/>
        </w:rPr>
      </w:pPr>
      <w:r>
        <w:rPr>
          <w:rFonts w:hint="eastAsia" w:ascii="新宋体" w:hAnsi="新宋体" w:eastAsia="新宋体"/>
          <w:color w:val="FF0000"/>
          <w:szCs w:val="21"/>
        </w:rPr>
        <w:t>3. “偏离情况”栏中应如实填写“正偏离”、“负偏离”或“无偏离”。</w:t>
      </w:r>
    </w:p>
    <w:p>
      <w:pPr>
        <w:spacing w:line="360" w:lineRule="auto"/>
        <w:rPr>
          <w:rFonts w:ascii="新宋体" w:hAnsi="新宋体" w:eastAsia="新宋体"/>
          <w:color w:val="FF0000"/>
          <w:szCs w:val="21"/>
        </w:rPr>
      </w:pPr>
      <w:r>
        <w:rPr>
          <w:rFonts w:hint="eastAsia" w:ascii="新宋体" w:hAnsi="新宋体" w:eastAsia="新宋体"/>
          <w:color w:val="FF0000"/>
          <w:szCs w:val="21"/>
        </w:rPr>
        <w:t>4．投标人在《商务需求偏离表》填写的“投标商务条款”与《商务需求》的“招标商务条款”存在填写不全的，将被视为未实质性满足招标文件要求作投标无效处理。示例，“招标商务条款”共有10项参数，投标人只响应了9项，填写不全，则视为未实质性满足招标文件要求作投标无效处理。</w:t>
      </w:r>
    </w:p>
    <w:p>
      <w:pPr>
        <w:spacing w:line="360" w:lineRule="auto"/>
        <w:rPr>
          <w:rFonts w:ascii="新宋体" w:hAnsi="新宋体" w:eastAsia="新宋体"/>
          <w:color w:val="FF0000"/>
          <w:szCs w:val="21"/>
        </w:rPr>
      </w:pPr>
      <w:r>
        <w:rPr>
          <w:rFonts w:hint="eastAsia" w:ascii="新宋体" w:hAnsi="新宋体" w:eastAsia="新宋体"/>
          <w:b/>
          <w:color w:val="FF0000"/>
          <w:szCs w:val="21"/>
        </w:rPr>
        <w:t>5．</w:t>
      </w:r>
      <w:r>
        <w:rPr>
          <w:rFonts w:hint="eastAsia" w:ascii="新宋体" w:hAnsi="新宋体" w:eastAsia="新宋体"/>
          <w:color w:val="FF0000"/>
          <w:szCs w:val="21"/>
        </w:rPr>
        <w:t>投标人所填写的“偏离情况”与评审委员会判定不一致时</w:t>
      </w:r>
      <w:r>
        <w:rPr>
          <w:rFonts w:hint="eastAsia" w:ascii="新宋体" w:hAnsi="新宋体" w:eastAsia="新宋体"/>
          <w:b/>
          <w:color w:val="FF0000"/>
          <w:szCs w:val="21"/>
        </w:rPr>
        <w:t>，以评审委员会意见为主。另，判定结果不一致的参数超过一定数量的，则评分项“商务偏离情况”将不得分（即计为0分）。</w:t>
      </w:r>
    </w:p>
    <w:p>
      <w:pPr>
        <w:spacing w:line="360" w:lineRule="auto"/>
        <w:rPr>
          <w:rFonts w:ascii="新宋体" w:hAnsi="新宋体" w:eastAsia="新宋体"/>
          <w:color w:val="FF0000"/>
          <w:szCs w:val="21"/>
        </w:rPr>
      </w:pPr>
      <w:r>
        <w:rPr>
          <w:rFonts w:hint="eastAsia" w:ascii="新宋体" w:hAnsi="新宋体" w:eastAsia="新宋体"/>
          <w:b/>
          <w:color w:val="FF0000"/>
          <w:szCs w:val="21"/>
        </w:rPr>
        <w:t>一定数量的设置：</w:t>
      </w:r>
      <w:r>
        <w:rPr>
          <w:rFonts w:hint="eastAsia" w:ascii="新宋体" w:hAnsi="新宋体" w:eastAsia="新宋体"/>
          <w:color w:val="FF0000"/>
          <w:szCs w:val="21"/>
        </w:rPr>
        <w:t>（1）《商务需求》全部参数数量10%（四舍五入取整数）不足3条的，以3条为标准；（2）《商务需求》全部参数数量10%（四舍五入取整数）超过10条的，以10条为标准；（3）其他情况，按《商务需求》全部参数数量10%（四舍五入取整数）为标准。</w:t>
      </w:r>
    </w:p>
    <w:p>
      <w:pPr>
        <w:spacing w:line="360" w:lineRule="auto"/>
        <w:rPr>
          <w:rFonts w:ascii="新宋体" w:hAnsi="新宋体" w:eastAsia="新宋体"/>
          <w:color w:val="FF0000"/>
          <w:szCs w:val="21"/>
        </w:rPr>
      </w:pPr>
      <w:r>
        <w:rPr>
          <w:rFonts w:hint="eastAsia" w:ascii="新宋体" w:hAnsi="新宋体" w:eastAsia="新宋体"/>
          <w:color w:val="FF0000"/>
          <w:szCs w:val="21"/>
        </w:rPr>
        <w:t>6.交货期条款为不可负偏离条款，投标文件响应为“负偏离”的，投标文件将按无效投标处理。</w:t>
      </w:r>
    </w:p>
    <w:p>
      <w:pPr>
        <w:spacing w:line="360" w:lineRule="auto"/>
        <w:rPr>
          <w:rFonts w:ascii="新宋体" w:hAnsi="新宋体" w:eastAsia="新宋体"/>
          <w:color w:val="FF0000"/>
          <w:szCs w:val="21"/>
        </w:rPr>
      </w:pPr>
      <w:r>
        <w:rPr>
          <w:rFonts w:hint="eastAsia" w:ascii="新宋体" w:hAnsi="新宋体" w:eastAsia="新宋体"/>
          <w:color w:val="FF0000"/>
          <w:szCs w:val="21"/>
        </w:rPr>
        <w:t>7.开标一览表中填写的“交货期”应当与本表填写的“交货期”一致。如填写不一致，以本表填写的“交货期”为准。</w:t>
      </w:r>
    </w:p>
    <w:p>
      <w:pPr>
        <w:spacing w:line="360" w:lineRule="auto"/>
        <w:rPr>
          <w:rFonts w:ascii="新宋体" w:hAnsi="新宋体" w:eastAsia="新宋体"/>
          <w:szCs w:val="21"/>
        </w:rPr>
      </w:pPr>
    </w:p>
    <w:p>
      <w:pPr>
        <w:pStyle w:val="4"/>
        <w:spacing w:line="360" w:lineRule="auto"/>
        <w:jc w:val="center"/>
        <w:rPr>
          <w:rFonts w:ascii="新宋体" w:hAnsi="新宋体" w:eastAsia="新宋体"/>
          <w:b w:val="0"/>
          <w:bCs w:val="0"/>
          <w:sz w:val="21"/>
          <w:szCs w:val="21"/>
        </w:rPr>
      </w:pPr>
      <w:r>
        <w:rPr>
          <w:rFonts w:hint="eastAsia" w:ascii="新宋体" w:hAnsi="新宋体" w:eastAsia="新宋体"/>
          <w:b w:val="0"/>
          <w:bCs w:val="0"/>
          <w:sz w:val="21"/>
          <w:szCs w:val="21"/>
        </w:rPr>
        <w:t>八、投标人认为需要加以说明的其他内容</w:t>
      </w: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b/>
          <w:color w:val="FF0000"/>
          <w:szCs w:val="21"/>
        </w:rPr>
      </w:pPr>
      <w:r>
        <w:rPr>
          <w:rFonts w:hint="eastAsia" w:ascii="新宋体" w:hAnsi="新宋体" w:eastAsia="新宋体"/>
          <w:b/>
          <w:color w:val="FF0000"/>
          <w:szCs w:val="21"/>
        </w:rPr>
        <w:t>（信息公开部分的内容到此为止！往下为信息不公开部分。）</w:t>
      </w:r>
    </w:p>
    <w:p>
      <w:pPr>
        <w:spacing w:line="360" w:lineRule="auto"/>
        <w:rPr>
          <w:rFonts w:ascii="宋体" w:hAnsi="宋体"/>
          <w:b/>
          <w:color w:val="FF0000"/>
          <w:sz w:val="28"/>
          <w:szCs w:val="28"/>
        </w:rPr>
      </w:pPr>
      <w:r>
        <w:rPr>
          <w:rFonts w:hint="eastAsia" w:ascii="宋体" w:hAnsi="宋体"/>
          <w:b/>
          <w:color w:val="FF0000"/>
          <w:sz w:val="28"/>
          <w:szCs w:val="28"/>
        </w:rPr>
        <w:t>投标文件附件（信息不公开部分）</w:t>
      </w:r>
    </w:p>
    <w:p>
      <w:pPr>
        <w:pStyle w:val="4"/>
        <w:spacing w:line="360" w:lineRule="auto"/>
        <w:jc w:val="center"/>
        <w:rPr>
          <w:rFonts w:ascii="新宋体" w:hAnsi="新宋体" w:eastAsia="新宋体"/>
          <w:b w:val="0"/>
          <w:sz w:val="21"/>
          <w:szCs w:val="21"/>
        </w:rPr>
      </w:pPr>
      <w:r>
        <w:rPr>
          <w:rFonts w:hint="eastAsia" w:ascii="新宋体" w:hAnsi="新宋体" w:eastAsia="新宋体"/>
          <w:b w:val="0"/>
          <w:sz w:val="21"/>
          <w:szCs w:val="21"/>
        </w:rPr>
        <w:t>一、法定代表人证明书</w:t>
      </w:r>
    </w:p>
    <w:p>
      <w:pPr>
        <w:spacing w:line="360" w:lineRule="auto"/>
        <w:rPr>
          <w:rFonts w:ascii="新宋体" w:hAnsi="新宋体" w:eastAsia="新宋体"/>
          <w:szCs w:val="21"/>
        </w:rPr>
      </w:pPr>
    </w:p>
    <w:p>
      <w:pPr>
        <w:spacing w:line="360" w:lineRule="auto"/>
        <w:rPr>
          <w:rFonts w:ascii="新宋体" w:hAnsi="新宋体" w:eastAsia="新宋体"/>
          <w:szCs w:val="21"/>
        </w:rPr>
      </w:pPr>
      <w:r>
        <w:rPr>
          <w:rFonts w:hint="eastAsia" w:ascii="新宋体" w:hAnsi="新宋体" w:eastAsia="新宋体"/>
          <w:szCs w:val="21"/>
        </w:rPr>
        <w:t xml:space="preserve">  </w:t>
      </w:r>
      <w:r>
        <w:rPr>
          <w:rFonts w:hint="eastAsia" w:ascii="新宋体" w:hAnsi="新宋体" w:eastAsia="新宋体"/>
          <w:color w:val="FF0000"/>
          <w:szCs w:val="21"/>
        </w:rPr>
        <w:t xml:space="preserve"> </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同志，现任我单位</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职务</w:t>
      </w:r>
      <w:r>
        <w:rPr>
          <w:rFonts w:hint="eastAsia" w:ascii="新宋体" w:hAnsi="新宋体" w:eastAsia="新宋体"/>
          <w:szCs w:val="21"/>
        </w:rPr>
        <w:t>，为法定代表人，特此证明。</w:t>
      </w:r>
    </w:p>
    <w:p>
      <w:pPr>
        <w:spacing w:line="360" w:lineRule="auto"/>
        <w:rPr>
          <w:rFonts w:ascii="新宋体" w:hAnsi="新宋体" w:eastAsia="新宋体"/>
          <w:szCs w:val="21"/>
        </w:rPr>
      </w:pPr>
      <w:r>
        <w:rPr>
          <w:rFonts w:hint="eastAsia" w:ascii="新宋体" w:hAnsi="新宋体" w:eastAsia="新宋体"/>
          <w:szCs w:val="21"/>
        </w:rPr>
        <w:t xml:space="preserve">         </w:t>
      </w:r>
    </w:p>
    <w:p>
      <w:pPr>
        <w:spacing w:line="360" w:lineRule="auto"/>
        <w:rPr>
          <w:rFonts w:ascii="新宋体" w:hAnsi="新宋体" w:eastAsia="新宋体"/>
          <w:szCs w:val="21"/>
        </w:rPr>
      </w:pPr>
      <w:r>
        <w:rPr>
          <w:rFonts w:hint="eastAsia" w:ascii="新宋体" w:hAnsi="新宋体" w:eastAsia="新宋体"/>
          <w:szCs w:val="21"/>
        </w:rPr>
        <w:t>说明：1、法定代表人为企业事业单位、国家机关、社会团体的主要行政负责人。</w:t>
      </w:r>
    </w:p>
    <w:p>
      <w:pPr>
        <w:spacing w:line="360" w:lineRule="auto"/>
        <w:rPr>
          <w:rFonts w:ascii="新宋体" w:hAnsi="新宋体" w:eastAsia="新宋体"/>
          <w:szCs w:val="21"/>
        </w:rPr>
      </w:pPr>
      <w:r>
        <w:rPr>
          <w:rFonts w:hint="eastAsia" w:ascii="新宋体" w:hAnsi="新宋体" w:eastAsia="新宋体"/>
          <w:szCs w:val="21"/>
        </w:rPr>
        <w:t xml:space="preserve">      2、内容必须填写真实、清楚，涂改无效，不得转让、买卖。</w:t>
      </w:r>
    </w:p>
    <w:p>
      <w:pPr>
        <w:spacing w:line="360" w:lineRule="auto"/>
        <w:rPr>
          <w:rFonts w:ascii="新宋体" w:hAnsi="新宋体" w:eastAsia="新宋体"/>
          <w:szCs w:val="21"/>
        </w:rPr>
      </w:pPr>
    </w:p>
    <w:p>
      <w:pPr>
        <w:spacing w:line="360" w:lineRule="auto"/>
        <w:rPr>
          <w:rFonts w:ascii="新宋体" w:hAnsi="新宋体" w:eastAsia="新宋体"/>
          <w:b/>
          <w:color w:val="FF0000"/>
          <w:szCs w:val="21"/>
        </w:rPr>
      </w:pPr>
      <w:r>
        <w:rPr>
          <w:rFonts w:hint="eastAsia" w:ascii="新宋体" w:hAnsi="新宋体" w:eastAsia="新宋体"/>
          <w:b/>
          <w:color w:val="FF0000"/>
          <w:szCs w:val="21"/>
        </w:rPr>
        <w:t>附： 请提供法定代表人身份证扫描件（正反两面）。</w:t>
      </w:r>
    </w:p>
    <w:p>
      <w:pPr>
        <w:spacing w:line="360" w:lineRule="auto"/>
        <w:rPr>
          <w:rFonts w:ascii="新宋体" w:hAnsi="新宋体" w:eastAsia="新宋体"/>
          <w:b/>
          <w:bCs/>
          <w:szCs w:val="21"/>
        </w:rPr>
      </w:pPr>
    </w:p>
    <w:p>
      <w:pPr>
        <w:pStyle w:val="4"/>
        <w:spacing w:before="120" w:after="120" w:line="360" w:lineRule="auto"/>
        <w:jc w:val="center"/>
        <w:rPr>
          <w:rFonts w:ascii="新宋体" w:hAnsi="新宋体" w:eastAsia="新宋体"/>
          <w:b w:val="0"/>
          <w:sz w:val="21"/>
          <w:szCs w:val="21"/>
        </w:rPr>
      </w:pPr>
      <w:r>
        <w:rPr>
          <w:rFonts w:hint="eastAsia" w:ascii="新宋体" w:hAnsi="新宋体" w:eastAsia="新宋体"/>
          <w:b w:val="0"/>
          <w:sz w:val="21"/>
          <w:szCs w:val="21"/>
        </w:rPr>
        <w:t>二、投标文件签署授权委托书</w:t>
      </w:r>
    </w:p>
    <w:p>
      <w:pPr>
        <w:spacing w:line="360" w:lineRule="auto"/>
        <w:ind w:firstLine="420" w:firstLineChars="200"/>
        <w:rPr>
          <w:rFonts w:ascii="新宋体" w:hAnsi="新宋体" w:eastAsia="新宋体"/>
          <w:szCs w:val="21"/>
        </w:rPr>
      </w:pPr>
      <w:r>
        <w:rPr>
          <w:rFonts w:hint="eastAsia" w:ascii="新宋体" w:hAnsi="新宋体" w:eastAsia="新宋体"/>
          <w:szCs w:val="21"/>
        </w:rPr>
        <w:t>本授权委托书声明</w:t>
      </w:r>
      <w:r>
        <w:rPr>
          <w:rFonts w:hint="eastAsia" w:ascii="新宋体" w:hAnsi="新宋体" w:eastAsia="新宋体"/>
          <w:color w:val="FF0000"/>
          <w:szCs w:val="21"/>
        </w:rPr>
        <w:t>：我</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（姓名）系</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（投标人名称）</w:t>
      </w:r>
      <w:r>
        <w:rPr>
          <w:rFonts w:hint="eastAsia" w:ascii="新宋体" w:hAnsi="新宋体" w:eastAsia="新宋体"/>
          <w:szCs w:val="21"/>
        </w:rPr>
        <w:t>的法定代表人，现授权委托</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（姓名）</w:t>
      </w:r>
      <w:r>
        <w:rPr>
          <w:rFonts w:hint="eastAsia" w:ascii="新宋体" w:hAnsi="新宋体" w:eastAsia="新宋体"/>
          <w:szCs w:val="21"/>
        </w:rPr>
        <w:t>为我公司签署本项目已递交的投标文件的法定代表人的授权委托代理人，代理人全权代表我所签署的本项目已递交的投标文件内容我均承认。</w:t>
      </w:r>
    </w:p>
    <w:p>
      <w:pPr>
        <w:pStyle w:val="8"/>
        <w:spacing w:line="360" w:lineRule="auto"/>
        <w:rPr>
          <w:rFonts w:ascii="新宋体" w:hAnsi="新宋体" w:eastAsia="新宋体"/>
          <w:szCs w:val="21"/>
        </w:rPr>
      </w:pPr>
      <w:r>
        <w:rPr>
          <w:rFonts w:hint="eastAsia" w:ascii="新宋体" w:hAnsi="新宋体" w:eastAsia="新宋体"/>
          <w:szCs w:val="21"/>
        </w:rPr>
        <w:t>代理人无转委托权，特此委托。</w:t>
      </w:r>
    </w:p>
    <w:p>
      <w:pPr>
        <w:pStyle w:val="8"/>
        <w:spacing w:line="360" w:lineRule="auto"/>
        <w:rPr>
          <w:rFonts w:ascii="新宋体" w:hAnsi="新宋体" w:eastAsia="新宋体"/>
          <w:szCs w:val="21"/>
        </w:rPr>
      </w:pPr>
    </w:p>
    <w:p>
      <w:pPr>
        <w:spacing w:line="360" w:lineRule="auto"/>
        <w:ind w:left="540" w:leftChars="257"/>
        <w:rPr>
          <w:rFonts w:ascii="新宋体" w:hAnsi="新宋体" w:eastAsia="新宋体"/>
          <w:color w:val="FF0000"/>
          <w:szCs w:val="21"/>
          <w:u w:val="single"/>
        </w:rPr>
      </w:pPr>
      <w:r>
        <w:rPr>
          <w:rFonts w:hint="eastAsia" w:ascii="新宋体" w:hAnsi="新宋体" w:eastAsia="新宋体"/>
          <w:color w:val="FF0000"/>
          <w:szCs w:val="21"/>
        </w:rPr>
        <w:t>代理人：</w:t>
      </w:r>
      <w:r>
        <w:rPr>
          <w:rFonts w:hint="eastAsia" w:ascii="新宋体" w:hAnsi="新宋体" w:eastAsia="新宋体"/>
          <w:color w:val="FF0000"/>
          <w:szCs w:val="21"/>
          <w:u w:val="single"/>
        </w:rPr>
        <w:t xml:space="preserve">             </w:t>
      </w:r>
    </w:p>
    <w:p>
      <w:pPr>
        <w:spacing w:line="360" w:lineRule="auto"/>
        <w:ind w:left="540" w:leftChars="257"/>
        <w:rPr>
          <w:rFonts w:ascii="新宋体" w:hAnsi="新宋体" w:eastAsia="新宋体"/>
          <w:color w:val="FF0000"/>
          <w:szCs w:val="21"/>
        </w:rPr>
      </w:pPr>
      <w:r>
        <w:rPr>
          <w:rFonts w:hint="eastAsia" w:ascii="新宋体" w:hAnsi="新宋体" w:eastAsia="新宋体"/>
          <w:color w:val="FF0000"/>
          <w:szCs w:val="21"/>
        </w:rPr>
        <w:t>联系电话：</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 xml:space="preserve">  手机：</w:t>
      </w:r>
      <w:r>
        <w:rPr>
          <w:rFonts w:hint="eastAsia" w:ascii="新宋体" w:hAnsi="新宋体" w:eastAsia="新宋体"/>
          <w:color w:val="FF0000"/>
          <w:szCs w:val="21"/>
          <w:u w:val="single"/>
        </w:rPr>
        <w:t xml:space="preserve">                   </w:t>
      </w:r>
    </w:p>
    <w:p>
      <w:pPr>
        <w:spacing w:line="360" w:lineRule="auto"/>
        <w:ind w:left="540" w:leftChars="257"/>
        <w:rPr>
          <w:rFonts w:ascii="新宋体" w:hAnsi="新宋体" w:eastAsia="新宋体"/>
          <w:color w:val="FF0000"/>
          <w:szCs w:val="21"/>
          <w:u w:val="single"/>
        </w:rPr>
      </w:pPr>
      <w:r>
        <w:rPr>
          <w:rFonts w:hint="eastAsia" w:ascii="新宋体" w:hAnsi="新宋体" w:eastAsia="新宋体"/>
          <w:color w:val="FF0000"/>
          <w:szCs w:val="21"/>
        </w:rPr>
        <w:t>身份证号码：</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职务：</w:t>
      </w:r>
      <w:r>
        <w:rPr>
          <w:rFonts w:hint="eastAsia" w:ascii="新宋体" w:hAnsi="新宋体" w:eastAsia="新宋体"/>
          <w:color w:val="FF0000"/>
          <w:szCs w:val="21"/>
          <w:u w:val="single"/>
        </w:rPr>
        <w:t xml:space="preserve">       </w:t>
      </w:r>
    </w:p>
    <w:p>
      <w:pPr>
        <w:spacing w:line="360" w:lineRule="auto"/>
        <w:ind w:left="540" w:leftChars="257"/>
        <w:rPr>
          <w:rFonts w:ascii="新宋体" w:hAnsi="新宋体" w:eastAsia="新宋体"/>
          <w:szCs w:val="21"/>
        </w:rPr>
      </w:pPr>
      <w:r>
        <w:rPr>
          <w:rFonts w:hint="eastAsia" w:ascii="新宋体" w:hAnsi="新宋体" w:eastAsia="新宋体"/>
          <w:color w:val="FF0000"/>
          <w:szCs w:val="21"/>
        </w:rPr>
        <w:t>授权委托日期：</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年</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 xml:space="preserve">月 </w:t>
      </w:r>
      <w:r>
        <w:rPr>
          <w:rFonts w:hint="eastAsia" w:ascii="新宋体" w:hAnsi="新宋体" w:eastAsia="新宋体"/>
          <w:color w:val="FF0000"/>
          <w:szCs w:val="21"/>
          <w:u w:val="single"/>
        </w:rPr>
        <w:t xml:space="preserve">      </w:t>
      </w:r>
      <w:r>
        <w:rPr>
          <w:rFonts w:hint="eastAsia" w:ascii="新宋体" w:hAnsi="新宋体" w:eastAsia="新宋体"/>
          <w:color w:val="FF0000"/>
          <w:szCs w:val="21"/>
        </w:rPr>
        <w:t>日</w:t>
      </w:r>
    </w:p>
    <w:p>
      <w:pPr>
        <w:spacing w:line="360" w:lineRule="auto"/>
        <w:rPr>
          <w:rFonts w:ascii="新宋体" w:hAnsi="新宋体" w:eastAsia="新宋体"/>
          <w:szCs w:val="21"/>
        </w:rPr>
      </w:pPr>
    </w:p>
    <w:p>
      <w:pPr>
        <w:spacing w:line="360" w:lineRule="auto"/>
        <w:rPr>
          <w:rFonts w:ascii="新宋体" w:hAnsi="新宋体" w:eastAsia="新宋体"/>
          <w:b/>
          <w:color w:val="FF0000"/>
          <w:szCs w:val="21"/>
        </w:rPr>
      </w:pPr>
      <w:r>
        <w:rPr>
          <w:rFonts w:hint="eastAsia" w:ascii="新宋体" w:hAnsi="新宋体" w:eastAsia="新宋体"/>
          <w:b/>
          <w:color w:val="FF0000"/>
          <w:szCs w:val="21"/>
        </w:rPr>
        <w:t>附： 请提供授权委托代理人身份证扫描件（正反两面）。</w:t>
      </w:r>
    </w:p>
    <w:p>
      <w:pPr>
        <w:spacing w:line="360" w:lineRule="auto"/>
        <w:rPr>
          <w:rFonts w:ascii="新宋体" w:hAnsi="新宋体" w:eastAsia="新宋体"/>
          <w:b/>
          <w:szCs w:val="21"/>
        </w:rPr>
      </w:pPr>
    </w:p>
    <w:p>
      <w:pPr>
        <w:pStyle w:val="4"/>
        <w:spacing w:line="360" w:lineRule="auto"/>
        <w:jc w:val="center"/>
        <w:rPr>
          <w:rFonts w:ascii="新宋体" w:hAnsi="新宋体" w:eastAsia="新宋体"/>
          <w:b w:val="0"/>
          <w:kern w:val="0"/>
          <w:sz w:val="21"/>
          <w:szCs w:val="21"/>
          <w:highlight w:val="yellow"/>
        </w:rPr>
      </w:pPr>
      <w:r>
        <w:rPr>
          <w:rFonts w:hint="eastAsia" w:ascii="新宋体" w:hAnsi="新宋体" w:eastAsia="新宋体"/>
          <w:b w:val="0"/>
          <w:kern w:val="0"/>
          <w:sz w:val="21"/>
          <w:szCs w:val="21"/>
          <w:highlight w:val="yellow"/>
        </w:rPr>
        <w:t>三、实质性条款响应情况表</w:t>
      </w:r>
    </w:p>
    <w:tbl>
      <w:tblPr>
        <w:tblStyle w:val="43"/>
        <w:tblW w:w="7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664"/>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序号</w:t>
            </w:r>
          </w:p>
        </w:tc>
        <w:tc>
          <w:tcPr>
            <w:tcW w:w="2664" w:type="dxa"/>
          </w:tcPr>
          <w:p>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采购人要求内容</w:t>
            </w:r>
          </w:p>
        </w:tc>
        <w:tc>
          <w:tcPr>
            <w:tcW w:w="3827" w:type="dxa"/>
          </w:tcPr>
          <w:p>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投标人响应情况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新宋体" w:hAnsi="新宋体" w:eastAsia="新宋体"/>
                <w:kern w:val="0"/>
                <w:szCs w:val="21"/>
              </w:rPr>
            </w:pPr>
            <w:r>
              <w:rPr>
                <w:rFonts w:hint="eastAsia" w:ascii="新宋体" w:hAnsi="新宋体" w:eastAsia="新宋体"/>
                <w:kern w:val="0"/>
                <w:szCs w:val="21"/>
              </w:rPr>
              <w:t>1</w:t>
            </w:r>
          </w:p>
        </w:tc>
        <w:tc>
          <w:tcPr>
            <w:tcW w:w="2664" w:type="dxa"/>
          </w:tcPr>
          <w:p>
            <w:pPr>
              <w:adjustRightInd w:val="0"/>
              <w:snapToGrid w:val="0"/>
              <w:spacing w:line="360" w:lineRule="auto"/>
              <w:rPr>
                <w:rFonts w:ascii="新宋体" w:hAnsi="新宋体" w:eastAsia="新宋体"/>
                <w:kern w:val="0"/>
                <w:szCs w:val="21"/>
              </w:rPr>
            </w:pPr>
          </w:p>
        </w:tc>
        <w:tc>
          <w:tcPr>
            <w:tcW w:w="3827" w:type="dxa"/>
          </w:tcPr>
          <w:p>
            <w:pPr>
              <w:adjustRightInd w:val="0"/>
              <w:snapToGrid w:val="0"/>
              <w:spacing w:line="360" w:lineRule="auto"/>
              <w:rPr>
                <w:rFonts w:ascii="新宋体" w:hAnsi="新宋体" w:eastAsia="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新宋体" w:hAnsi="新宋体" w:eastAsia="新宋体"/>
                <w:kern w:val="0"/>
                <w:szCs w:val="21"/>
              </w:rPr>
            </w:pPr>
            <w:r>
              <w:rPr>
                <w:rFonts w:hint="eastAsia" w:ascii="新宋体" w:hAnsi="新宋体" w:eastAsia="新宋体"/>
                <w:kern w:val="0"/>
                <w:szCs w:val="21"/>
              </w:rPr>
              <w:t>2</w:t>
            </w:r>
          </w:p>
        </w:tc>
        <w:tc>
          <w:tcPr>
            <w:tcW w:w="2664" w:type="dxa"/>
          </w:tcPr>
          <w:p>
            <w:pPr>
              <w:adjustRightInd w:val="0"/>
              <w:snapToGrid w:val="0"/>
              <w:spacing w:line="360" w:lineRule="auto"/>
              <w:rPr>
                <w:rFonts w:ascii="新宋体" w:hAnsi="新宋体" w:eastAsia="新宋体"/>
                <w:kern w:val="0"/>
                <w:szCs w:val="21"/>
              </w:rPr>
            </w:pPr>
          </w:p>
        </w:tc>
        <w:tc>
          <w:tcPr>
            <w:tcW w:w="3827" w:type="dxa"/>
          </w:tcPr>
          <w:p>
            <w:pPr>
              <w:adjustRightInd w:val="0"/>
              <w:snapToGrid w:val="0"/>
              <w:spacing w:line="360" w:lineRule="auto"/>
              <w:rPr>
                <w:rFonts w:ascii="新宋体" w:hAnsi="新宋体" w:eastAsia="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新宋体" w:hAnsi="新宋体" w:eastAsia="新宋体"/>
                <w:kern w:val="0"/>
                <w:szCs w:val="21"/>
              </w:rPr>
            </w:pPr>
            <w:r>
              <w:rPr>
                <w:rFonts w:hint="eastAsia" w:ascii="新宋体" w:hAnsi="新宋体" w:eastAsia="新宋体"/>
                <w:kern w:val="0"/>
                <w:szCs w:val="21"/>
              </w:rPr>
              <w:t>……</w:t>
            </w:r>
          </w:p>
        </w:tc>
        <w:tc>
          <w:tcPr>
            <w:tcW w:w="2664" w:type="dxa"/>
          </w:tcPr>
          <w:p>
            <w:pPr>
              <w:adjustRightInd w:val="0"/>
              <w:snapToGrid w:val="0"/>
              <w:spacing w:line="360" w:lineRule="auto"/>
              <w:rPr>
                <w:rFonts w:ascii="新宋体" w:hAnsi="新宋体" w:eastAsia="新宋体"/>
                <w:kern w:val="0"/>
                <w:szCs w:val="21"/>
              </w:rPr>
            </w:pPr>
          </w:p>
        </w:tc>
        <w:tc>
          <w:tcPr>
            <w:tcW w:w="3827" w:type="dxa"/>
          </w:tcPr>
          <w:p>
            <w:pPr>
              <w:adjustRightInd w:val="0"/>
              <w:snapToGrid w:val="0"/>
              <w:spacing w:line="360" w:lineRule="auto"/>
              <w:rPr>
                <w:rFonts w:ascii="新宋体" w:hAnsi="新宋体" w:eastAsia="新宋体"/>
                <w:kern w:val="0"/>
                <w:szCs w:val="21"/>
              </w:rPr>
            </w:pPr>
          </w:p>
        </w:tc>
      </w:tr>
    </w:tbl>
    <w:p>
      <w:pPr>
        <w:spacing w:line="360" w:lineRule="auto"/>
        <w:rPr>
          <w:rFonts w:ascii="新宋体" w:hAnsi="新宋体" w:eastAsia="新宋体"/>
          <w:b/>
          <w:szCs w:val="21"/>
        </w:rPr>
      </w:pPr>
    </w:p>
    <w:p>
      <w:pPr>
        <w:spacing w:line="360" w:lineRule="auto"/>
        <w:rPr>
          <w:rFonts w:ascii="新宋体" w:hAnsi="新宋体" w:eastAsia="新宋体"/>
          <w:b/>
          <w:szCs w:val="21"/>
        </w:rPr>
      </w:pPr>
      <w:r>
        <w:rPr>
          <w:rFonts w:hint="eastAsia" w:ascii="新宋体" w:hAnsi="新宋体" w:eastAsia="新宋体"/>
          <w:b/>
          <w:szCs w:val="21"/>
        </w:rPr>
        <w:t>注：1. 上表所列内容为不可负偏离条款。</w:t>
      </w:r>
    </w:p>
    <w:p>
      <w:pPr>
        <w:spacing w:line="360" w:lineRule="auto"/>
        <w:ind w:firstLine="422" w:firstLineChars="200"/>
        <w:rPr>
          <w:rFonts w:ascii="新宋体" w:hAnsi="新宋体" w:eastAsia="新宋体"/>
          <w:b/>
          <w:szCs w:val="21"/>
        </w:rPr>
      </w:pPr>
      <w:r>
        <w:rPr>
          <w:rFonts w:hint="eastAsia" w:ascii="新宋体" w:hAnsi="新宋体" w:eastAsia="新宋体"/>
          <w:b/>
          <w:szCs w:val="21"/>
        </w:rPr>
        <w:t>2.“投标人响应情况”一栏应如实填写“响应”或“不响应”。</w:t>
      </w:r>
    </w:p>
    <w:p>
      <w:pPr>
        <w:spacing w:line="360" w:lineRule="auto"/>
        <w:ind w:firstLine="422" w:firstLineChars="200"/>
        <w:rPr>
          <w:rFonts w:ascii="新宋体" w:hAnsi="新宋体" w:eastAsia="新宋体"/>
          <w:b/>
          <w:szCs w:val="21"/>
        </w:rPr>
      </w:pPr>
      <w:r>
        <w:rPr>
          <w:rFonts w:hint="eastAsia" w:ascii="新宋体" w:hAnsi="新宋体" w:eastAsia="新宋体"/>
          <w:b/>
          <w:szCs w:val="21"/>
        </w:rPr>
        <w:t>3. “实质性响应条款响应情况”与投标文件其它内容冲突的，以“实质性响应条款响应情况”为准。</w:t>
      </w:r>
    </w:p>
    <w:p>
      <w:pPr>
        <w:spacing w:line="360" w:lineRule="auto"/>
        <w:rPr>
          <w:rFonts w:ascii="新宋体" w:hAnsi="新宋体" w:eastAsia="新宋体"/>
          <w:b/>
          <w:szCs w:val="21"/>
        </w:rPr>
      </w:pPr>
    </w:p>
    <w:p>
      <w:pPr>
        <w:pStyle w:val="4"/>
        <w:spacing w:line="360" w:lineRule="auto"/>
        <w:jc w:val="center"/>
        <w:rPr>
          <w:rFonts w:ascii="新宋体" w:hAnsi="新宋体" w:eastAsia="新宋体"/>
          <w:b w:val="0"/>
          <w:sz w:val="21"/>
          <w:szCs w:val="21"/>
        </w:rPr>
      </w:pPr>
      <w:r>
        <w:rPr>
          <w:rFonts w:hint="eastAsia" w:ascii="新宋体" w:hAnsi="新宋体" w:eastAsia="新宋体"/>
          <w:b w:val="0"/>
          <w:sz w:val="21"/>
          <w:szCs w:val="21"/>
        </w:rPr>
        <w:t>四、项目实施方案</w:t>
      </w:r>
    </w:p>
    <w:p>
      <w:pPr>
        <w:spacing w:line="360" w:lineRule="auto"/>
        <w:rPr>
          <w:rFonts w:ascii="新宋体" w:hAnsi="新宋体" w:eastAsia="新宋体"/>
          <w:szCs w:val="21"/>
        </w:rPr>
      </w:pPr>
      <w:r>
        <w:rPr>
          <w:rFonts w:hint="eastAsia" w:ascii="新宋体" w:hAnsi="新宋体" w:eastAsia="新宋体"/>
          <w:szCs w:val="21"/>
        </w:rPr>
        <w:t>主要内容应包括(根据项目实际情况适当调整内容)：</w:t>
      </w:r>
    </w:p>
    <w:p>
      <w:pPr>
        <w:spacing w:line="360" w:lineRule="auto"/>
        <w:rPr>
          <w:rFonts w:ascii="新宋体" w:hAnsi="新宋体" w:eastAsia="新宋体"/>
          <w:szCs w:val="21"/>
        </w:rPr>
      </w:pPr>
    </w:p>
    <w:p>
      <w:pPr>
        <w:spacing w:line="360" w:lineRule="auto"/>
        <w:rPr>
          <w:rFonts w:ascii="新宋体" w:hAnsi="新宋体" w:eastAsia="新宋体"/>
          <w:szCs w:val="21"/>
        </w:rPr>
      </w:pPr>
      <w:r>
        <w:rPr>
          <w:rFonts w:hint="eastAsia" w:ascii="新宋体" w:hAnsi="新宋体" w:eastAsia="新宋体"/>
          <w:szCs w:val="21"/>
        </w:rPr>
        <w:t>1、项目交货期、实施进度表</w:t>
      </w:r>
    </w:p>
    <w:p>
      <w:pPr>
        <w:spacing w:line="360" w:lineRule="auto"/>
        <w:rPr>
          <w:rFonts w:ascii="新宋体" w:hAnsi="新宋体" w:eastAsia="新宋体"/>
          <w:szCs w:val="21"/>
        </w:rPr>
      </w:pPr>
      <w:r>
        <w:rPr>
          <w:rFonts w:hint="eastAsia" w:ascii="新宋体" w:hAnsi="新宋体" w:eastAsia="新宋体"/>
          <w:szCs w:val="21"/>
        </w:rPr>
        <w:t>2、相关配套措施</w:t>
      </w:r>
    </w:p>
    <w:p>
      <w:pPr>
        <w:spacing w:line="360" w:lineRule="auto"/>
        <w:rPr>
          <w:rFonts w:ascii="新宋体" w:hAnsi="新宋体" w:eastAsia="新宋体"/>
          <w:b/>
          <w:bCs/>
          <w:color w:val="FF0000"/>
          <w:szCs w:val="21"/>
        </w:rPr>
      </w:pPr>
      <w:r>
        <w:rPr>
          <w:rFonts w:hint="eastAsia" w:ascii="新宋体" w:hAnsi="新宋体" w:eastAsia="新宋体"/>
          <w:b/>
          <w:bCs/>
          <w:color w:val="FF0000"/>
          <w:szCs w:val="21"/>
        </w:rPr>
        <w:t>（备注：该部分须与“技术保障措施”、“施工安全保障措施”、“商务需求”等部分承诺的内容相呼应，不得前后矛盾。）</w:t>
      </w:r>
    </w:p>
    <w:p>
      <w:pPr>
        <w:spacing w:line="360" w:lineRule="auto"/>
        <w:rPr>
          <w:rFonts w:ascii="新宋体" w:hAnsi="新宋体" w:eastAsia="新宋体"/>
          <w:b/>
          <w:bCs/>
          <w:szCs w:val="21"/>
        </w:rPr>
      </w:pPr>
    </w:p>
    <w:p>
      <w:pPr>
        <w:pStyle w:val="4"/>
        <w:spacing w:line="360" w:lineRule="auto"/>
        <w:jc w:val="center"/>
        <w:rPr>
          <w:rFonts w:ascii="新宋体" w:hAnsi="新宋体" w:eastAsia="新宋体"/>
          <w:b w:val="0"/>
          <w:sz w:val="21"/>
          <w:szCs w:val="21"/>
        </w:rPr>
      </w:pPr>
      <w:r>
        <w:rPr>
          <w:rFonts w:hint="eastAsia" w:ascii="新宋体" w:hAnsi="新宋体" w:eastAsia="新宋体"/>
          <w:b w:val="0"/>
          <w:sz w:val="21"/>
          <w:szCs w:val="21"/>
        </w:rPr>
        <w:t>五、售后服务方案</w:t>
      </w:r>
    </w:p>
    <w:p>
      <w:pPr>
        <w:spacing w:line="360" w:lineRule="auto"/>
        <w:rPr>
          <w:rFonts w:ascii="新宋体" w:hAnsi="新宋体" w:eastAsia="新宋体"/>
          <w:szCs w:val="21"/>
        </w:rPr>
      </w:pPr>
    </w:p>
    <w:p>
      <w:pPr>
        <w:spacing w:line="360" w:lineRule="auto"/>
        <w:rPr>
          <w:rFonts w:ascii="新宋体" w:hAnsi="新宋体" w:eastAsia="新宋体"/>
          <w:szCs w:val="21"/>
        </w:rPr>
      </w:pPr>
      <w:r>
        <w:rPr>
          <w:rFonts w:hint="eastAsia" w:ascii="新宋体" w:hAnsi="新宋体" w:eastAsia="新宋体"/>
          <w:szCs w:val="21"/>
        </w:rPr>
        <w:t>主要内容应包括(根据项目实际情况适当调整内容)：</w:t>
      </w:r>
    </w:p>
    <w:p>
      <w:pPr>
        <w:spacing w:line="360" w:lineRule="auto"/>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、免费保修期；</w:t>
      </w:r>
    </w:p>
    <w:p>
      <w:pPr>
        <w:spacing w:line="360" w:lineRule="auto"/>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、故障或技术支持响应时间；</w:t>
      </w:r>
    </w:p>
    <w:p>
      <w:pPr>
        <w:spacing w:line="360" w:lineRule="auto"/>
        <w:rPr>
          <w:rFonts w:ascii="新宋体" w:hAnsi="新宋体" w:eastAsia="新宋体"/>
          <w:szCs w:val="21"/>
        </w:rPr>
      </w:pPr>
      <w:r>
        <w:rPr>
          <w:rFonts w:ascii="新宋体" w:hAnsi="新宋体" w:eastAsia="新宋体"/>
          <w:szCs w:val="21"/>
        </w:rPr>
        <w:t>3</w:t>
      </w:r>
      <w:r>
        <w:rPr>
          <w:rFonts w:hint="eastAsia" w:ascii="新宋体" w:hAnsi="新宋体" w:eastAsia="新宋体"/>
          <w:szCs w:val="21"/>
        </w:rPr>
        <w:t>、投标人承诺的其他维修维护方案、措施</w:t>
      </w:r>
    </w:p>
    <w:p>
      <w:pPr>
        <w:spacing w:line="360" w:lineRule="auto"/>
        <w:rPr>
          <w:rFonts w:ascii="新宋体" w:hAnsi="新宋体" w:eastAsia="新宋体"/>
          <w:szCs w:val="21"/>
        </w:rPr>
      </w:pPr>
      <w:r>
        <w:rPr>
          <w:rFonts w:ascii="新宋体" w:hAnsi="新宋体" w:eastAsia="新宋体"/>
          <w:szCs w:val="21"/>
        </w:rPr>
        <w:t>4</w:t>
      </w:r>
      <w:r>
        <w:rPr>
          <w:rFonts w:hint="eastAsia" w:ascii="新宋体" w:hAnsi="新宋体" w:eastAsia="新宋体"/>
          <w:szCs w:val="21"/>
        </w:rPr>
        <w:t>、质量保证及违约承诺。</w:t>
      </w:r>
    </w:p>
    <w:p>
      <w:pPr>
        <w:spacing w:line="360" w:lineRule="auto"/>
        <w:rPr>
          <w:rFonts w:ascii="新宋体" w:hAnsi="新宋体" w:eastAsia="新宋体"/>
          <w:b/>
          <w:color w:val="FF0000"/>
          <w:szCs w:val="21"/>
        </w:rPr>
      </w:pPr>
      <w:r>
        <w:rPr>
          <w:rFonts w:hint="eastAsia" w:ascii="新宋体" w:hAnsi="新宋体" w:eastAsia="新宋体"/>
          <w:b/>
          <w:color w:val="FF0000"/>
          <w:szCs w:val="21"/>
        </w:rPr>
        <w:t>（备注：该部分须与“商务需求”承诺的内容相呼应，不得前后矛盾。）</w:t>
      </w: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p>
      <w:pPr>
        <w:pStyle w:val="6"/>
        <w:spacing w:line="360" w:lineRule="auto"/>
        <w:rPr>
          <w:rFonts w:ascii="新宋体" w:hAnsi="新宋体" w:eastAsia="新宋体"/>
          <w:sz w:val="21"/>
          <w:szCs w:val="21"/>
        </w:rPr>
      </w:pPr>
      <w:r>
        <w:rPr>
          <w:rFonts w:hint="eastAsia" w:ascii="新宋体" w:hAnsi="新宋体" w:eastAsia="新宋体"/>
          <w:sz w:val="21"/>
          <w:szCs w:val="21"/>
        </w:rPr>
        <w:t>第四章  合同及履约情况反馈格式</w:t>
      </w:r>
    </w:p>
    <w:p>
      <w:pPr>
        <w:spacing w:line="360" w:lineRule="auto"/>
        <w:ind w:firstLine="411" w:firstLineChars="196"/>
        <w:rPr>
          <w:rFonts w:ascii="新宋体" w:hAnsi="新宋体" w:eastAsia="新宋体"/>
          <w:szCs w:val="21"/>
        </w:rPr>
      </w:pPr>
    </w:p>
    <w:p>
      <w:pPr>
        <w:pStyle w:val="4"/>
        <w:spacing w:line="360" w:lineRule="auto"/>
        <w:jc w:val="center"/>
        <w:rPr>
          <w:rFonts w:ascii="新宋体" w:hAnsi="新宋体" w:eastAsia="新宋体"/>
          <w:b w:val="0"/>
          <w:kern w:val="0"/>
          <w:sz w:val="21"/>
          <w:szCs w:val="21"/>
        </w:rPr>
      </w:pPr>
      <w:r>
        <w:rPr>
          <w:rFonts w:hint="eastAsia" w:ascii="新宋体" w:hAnsi="新宋体" w:eastAsia="新宋体"/>
          <w:b w:val="0"/>
          <w:kern w:val="0"/>
          <w:sz w:val="21"/>
          <w:szCs w:val="21"/>
        </w:rPr>
        <w:t>一、合同条款及格式（仅供参考）</w:t>
      </w:r>
    </w:p>
    <w:p>
      <w:pPr>
        <w:spacing w:line="360" w:lineRule="auto"/>
        <w:ind w:firstLine="411" w:firstLineChars="196"/>
        <w:jc w:val="center"/>
        <w:rPr>
          <w:rFonts w:ascii="新宋体" w:hAnsi="新宋体" w:eastAsia="新宋体"/>
          <w:szCs w:val="21"/>
        </w:rPr>
      </w:pPr>
      <w:bookmarkStart w:id="27" w:name="_Toc73521592"/>
      <w:bookmarkStart w:id="28" w:name="_Toc73518163"/>
      <w:bookmarkStart w:id="29" w:name="_Toc73521680"/>
      <w:bookmarkStart w:id="30" w:name="_Toc84303603"/>
      <w:bookmarkStart w:id="31" w:name="_Toc101074886"/>
      <w:bookmarkStart w:id="32" w:name="_Toc100052414"/>
      <w:bookmarkStart w:id="33" w:name="_Toc73517685"/>
    </w:p>
    <w:p>
      <w:pPr>
        <w:spacing w:line="360" w:lineRule="auto"/>
        <w:ind w:firstLine="411" w:firstLineChars="196"/>
        <w:jc w:val="center"/>
        <w:rPr>
          <w:rFonts w:ascii="新宋体" w:hAnsi="新宋体" w:eastAsia="新宋体"/>
          <w:szCs w:val="21"/>
        </w:rPr>
      </w:pPr>
    </w:p>
    <w:p>
      <w:pPr>
        <w:spacing w:line="360" w:lineRule="auto"/>
        <w:jc w:val="center"/>
        <w:rPr>
          <w:rFonts w:ascii="新宋体" w:hAnsi="新宋体" w:eastAsia="新宋体"/>
          <w:b/>
          <w:szCs w:val="21"/>
        </w:rPr>
      </w:pPr>
      <w:r>
        <w:rPr>
          <w:rFonts w:hint="eastAsia" w:ascii="新宋体" w:hAnsi="新宋体" w:eastAsia="新宋体"/>
          <w:b/>
          <w:szCs w:val="21"/>
        </w:rPr>
        <w:t>合同条款</w:t>
      </w:r>
      <w:bookmarkEnd w:id="27"/>
      <w:bookmarkEnd w:id="28"/>
      <w:bookmarkEnd w:id="29"/>
      <w:bookmarkEnd w:id="30"/>
      <w:bookmarkEnd w:id="31"/>
      <w:bookmarkEnd w:id="32"/>
      <w:bookmarkEnd w:id="33"/>
    </w:p>
    <w:p>
      <w:pPr>
        <w:spacing w:line="360" w:lineRule="auto"/>
        <w:jc w:val="center"/>
        <w:rPr>
          <w:rFonts w:ascii="新宋体" w:hAnsi="新宋体" w:eastAsia="新宋体"/>
          <w:szCs w:val="21"/>
        </w:rPr>
      </w:pPr>
      <w:r>
        <w:rPr>
          <w:rFonts w:hint="eastAsia" w:ascii="新宋体" w:hAnsi="新宋体" w:eastAsia="新宋体"/>
          <w:b/>
          <w:szCs w:val="21"/>
        </w:rPr>
        <w:t>（仅供参考，项目具体要求以招标项目需求为准）</w:t>
      </w:r>
    </w:p>
    <w:p>
      <w:pPr>
        <w:spacing w:line="360" w:lineRule="auto"/>
        <w:rPr>
          <w:rFonts w:ascii="新宋体" w:hAnsi="新宋体" w:eastAsia="新宋体"/>
          <w:b/>
          <w:bCs/>
          <w:szCs w:val="21"/>
        </w:rPr>
      </w:pPr>
      <w:r>
        <w:rPr>
          <w:rFonts w:hint="eastAsia" w:ascii="新宋体" w:hAnsi="新宋体" w:eastAsia="新宋体"/>
          <w:b/>
          <w:bCs/>
          <w:szCs w:val="21"/>
        </w:rPr>
        <w:t>甲方：</w:t>
      </w:r>
      <w:r>
        <w:rPr>
          <w:rFonts w:ascii="新宋体" w:hAnsi="新宋体" w:eastAsia="新宋体"/>
          <w:b/>
          <w:bCs/>
          <w:szCs w:val="21"/>
        </w:rPr>
        <w:t xml:space="preserve"> </w:t>
      </w:r>
      <w:r>
        <w:rPr>
          <w:rFonts w:hint="eastAsia" w:ascii="新宋体" w:hAnsi="新宋体" w:eastAsia="新宋体"/>
          <w:b/>
          <w:bCs/>
          <w:szCs w:val="21"/>
        </w:rPr>
        <w:t xml:space="preserve"> </w:t>
      </w:r>
      <w:r>
        <w:rPr>
          <w:rFonts w:ascii="新宋体" w:hAnsi="新宋体" w:eastAsia="新宋体"/>
          <w:b/>
          <w:bCs/>
          <w:szCs w:val="21"/>
        </w:rPr>
        <w:t xml:space="preserve"> </w:t>
      </w:r>
    </w:p>
    <w:p>
      <w:pPr>
        <w:spacing w:line="360" w:lineRule="auto"/>
        <w:rPr>
          <w:rFonts w:ascii="新宋体" w:hAnsi="新宋体" w:eastAsia="新宋体"/>
          <w:b/>
          <w:bCs/>
          <w:szCs w:val="21"/>
        </w:rPr>
      </w:pPr>
      <w:r>
        <w:rPr>
          <w:rFonts w:hint="eastAsia" w:ascii="新宋体" w:hAnsi="新宋体" w:eastAsia="新宋体"/>
          <w:b/>
          <w:bCs/>
          <w:szCs w:val="21"/>
        </w:rPr>
        <w:t>乙方：</w:t>
      </w:r>
      <w:r>
        <w:rPr>
          <w:rFonts w:ascii="新宋体" w:hAnsi="新宋体" w:eastAsia="新宋体"/>
          <w:b/>
          <w:bCs/>
          <w:szCs w:val="21"/>
        </w:rPr>
        <w:t xml:space="preserve">            </w:t>
      </w:r>
      <w:r>
        <w:rPr>
          <w:rFonts w:hint="eastAsia" w:ascii="新宋体" w:hAnsi="新宋体" w:eastAsia="新宋体"/>
          <w:b/>
          <w:bCs/>
          <w:szCs w:val="21"/>
        </w:rPr>
        <w:t xml:space="preserve">                            </w:t>
      </w:r>
      <w:r>
        <w:rPr>
          <w:rFonts w:ascii="新宋体" w:hAnsi="新宋体" w:eastAsia="新宋体"/>
          <w:b/>
          <w:bCs/>
          <w:szCs w:val="21"/>
        </w:rPr>
        <w:t xml:space="preserve">  </w:t>
      </w: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ind w:firstLine="560"/>
        <w:jc w:val="left"/>
        <w:rPr>
          <w:rFonts w:ascii="新宋体" w:hAnsi="新宋体" w:eastAsia="新宋体"/>
          <w:szCs w:val="21"/>
        </w:rPr>
      </w:pPr>
      <w:r>
        <w:rPr>
          <w:rFonts w:hint="eastAsia" w:ascii="新宋体" w:hAnsi="新宋体" w:eastAsia="新宋体"/>
          <w:szCs w:val="21"/>
        </w:rPr>
        <w:t>根据</w:t>
      </w:r>
      <w:r>
        <w:rPr>
          <w:rFonts w:hint="eastAsia" w:ascii="新宋体" w:hAnsi="新宋体" w:eastAsia="新宋体" w:cs="宋体"/>
          <w:kern w:val="0"/>
          <w:szCs w:val="21"/>
        </w:rPr>
        <w:t>深圳市瑞凝信招标咨询有限公司</w:t>
      </w:r>
      <w:r>
        <w:rPr>
          <w:rFonts w:hint="eastAsia" w:ascii="新宋体" w:hAnsi="新宋体" w:eastAsia="新宋体"/>
          <w:szCs w:val="21"/>
          <w:u w:val="single"/>
        </w:rPr>
        <w:t xml:space="preserve">        </w:t>
      </w:r>
      <w:r>
        <w:rPr>
          <w:rFonts w:hint="eastAsia" w:ascii="新宋体" w:hAnsi="新宋体" w:eastAsia="新宋体"/>
          <w:szCs w:val="21"/>
        </w:rPr>
        <w:t>号招标项目的投标结果，由</w:t>
      </w:r>
      <w:r>
        <w:rPr>
          <w:rFonts w:hint="eastAsia" w:ascii="新宋体" w:hAnsi="新宋体" w:eastAsia="新宋体"/>
          <w:szCs w:val="21"/>
          <w:u w:val="single"/>
        </w:rPr>
        <w:t xml:space="preserve">       </w:t>
      </w:r>
      <w:r>
        <w:rPr>
          <w:rFonts w:hint="eastAsia" w:ascii="新宋体" w:hAnsi="新宋体" w:eastAsia="新宋体"/>
          <w:szCs w:val="21"/>
        </w:rPr>
        <w:t>单位为中标方。按照《中华人民共和国合同法》和《深圳经济特区政府采购条例》，经深圳市</w:t>
      </w:r>
      <w:r>
        <w:rPr>
          <w:rFonts w:hint="eastAsia" w:ascii="新宋体" w:hAnsi="新宋体" w:eastAsia="新宋体"/>
          <w:szCs w:val="21"/>
          <w:u w:val="single"/>
        </w:rPr>
        <w:t xml:space="preserve">           </w:t>
      </w:r>
      <w:r>
        <w:rPr>
          <w:rFonts w:hint="eastAsia" w:ascii="新宋体" w:hAnsi="新宋体" w:eastAsia="新宋体"/>
          <w:szCs w:val="21"/>
        </w:rPr>
        <w:t>（以下简称甲方）和</w:t>
      </w:r>
      <w:r>
        <w:rPr>
          <w:rFonts w:hint="eastAsia" w:ascii="新宋体" w:hAnsi="新宋体" w:eastAsia="新宋体"/>
          <w:szCs w:val="21"/>
          <w:u w:val="single"/>
        </w:rPr>
        <w:t xml:space="preserve">           </w:t>
      </w:r>
      <w:r>
        <w:rPr>
          <w:rFonts w:hint="eastAsia" w:ascii="新宋体" w:hAnsi="新宋体" w:eastAsia="新宋体"/>
          <w:szCs w:val="21"/>
        </w:rPr>
        <w:t>单位（以下简称乙方）协商，达成以下合同条款：</w:t>
      </w:r>
    </w:p>
    <w:p>
      <w:pPr>
        <w:spacing w:line="360" w:lineRule="auto"/>
        <w:ind w:firstLine="560"/>
        <w:jc w:val="left"/>
        <w:rPr>
          <w:rFonts w:ascii="新宋体" w:hAnsi="新宋体" w:eastAsia="新宋体"/>
          <w:b/>
          <w:szCs w:val="21"/>
        </w:rPr>
      </w:pPr>
      <w:r>
        <w:rPr>
          <w:rFonts w:hint="eastAsia" w:ascii="新宋体" w:hAnsi="新宋体" w:eastAsia="新宋体"/>
          <w:b/>
          <w:szCs w:val="21"/>
        </w:rPr>
        <w:t>第一条  合同标的</w:t>
      </w:r>
    </w:p>
    <w:p>
      <w:pPr>
        <w:spacing w:line="360" w:lineRule="auto"/>
        <w:ind w:firstLine="560"/>
        <w:jc w:val="left"/>
        <w:rPr>
          <w:rFonts w:ascii="新宋体" w:hAnsi="新宋体" w:eastAsia="新宋体"/>
          <w:szCs w:val="21"/>
        </w:rPr>
      </w:pPr>
      <w:r>
        <w:rPr>
          <w:rFonts w:hint="eastAsia" w:ascii="新宋体" w:hAnsi="新宋体" w:eastAsia="新宋体"/>
          <w:szCs w:val="21"/>
        </w:rPr>
        <w:t>乙方根据甲方需求提供下列货物：</w:t>
      </w:r>
    </w:p>
    <w:p>
      <w:pPr>
        <w:spacing w:line="360" w:lineRule="auto"/>
        <w:ind w:firstLine="560"/>
        <w:jc w:val="left"/>
        <w:rPr>
          <w:rFonts w:ascii="新宋体" w:hAnsi="新宋体" w:eastAsia="新宋体"/>
          <w:szCs w:val="21"/>
        </w:rPr>
      </w:pPr>
      <w:r>
        <w:rPr>
          <w:rFonts w:hint="eastAsia" w:ascii="新宋体" w:hAnsi="新宋体" w:eastAsia="新宋体"/>
          <w:szCs w:val="21"/>
        </w:rPr>
        <w:t>货物名称、规格及数量详见</w:t>
      </w:r>
      <w:r>
        <w:rPr>
          <w:rFonts w:hint="eastAsia" w:ascii="新宋体" w:hAnsi="新宋体" w:eastAsia="新宋体"/>
          <w:b/>
          <w:szCs w:val="21"/>
          <w:u w:val="single"/>
        </w:rPr>
        <w:t xml:space="preserve">                  </w:t>
      </w:r>
      <w:r>
        <w:rPr>
          <w:rFonts w:hint="eastAsia" w:ascii="新宋体" w:hAnsi="新宋体" w:eastAsia="新宋体"/>
          <w:szCs w:val="21"/>
        </w:rPr>
        <w:t>。</w:t>
      </w:r>
    </w:p>
    <w:p>
      <w:pPr>
        <w:spacing w:line="360" w:lineRule="auto"/>
        <w:ind w:firstLine="560"/>
        <w:jc w:val="left"/>
        <w:rPr>
          <w:rFonts w:ascii="新宋体" w:hAnsi="新宋体" w:eastAsia="新宋体"/>
          <w:b/>
          <w:szCs w:val="21"/>
        </w:rPr>
      </w:pPr>
      <w:r>
        <w:rPr>
          <w:rFonts w:hint="eastAsia" w:ascii="新宋体" w:hAnsi="新宋体" w:eastAsia="新宋体"/>
          <w:b/>
          <w:szCs w:val="21"/>
        </w:rPr>
        <w:t>第二条  合同价款</w:t>
      </w:r>
    </w:p>
    <w:p>
      <w:pPr>
        <w:spacing w:line="360" w:lineRule="auto"/>
        <w:ind w:firstLine="560"/>
        <w:jc w:val="left"/>
        <w:rPr>
          <w:rFonts w:ascii="新宋体" w:hAnsi="新宋体" w:eastAsia="新宋体"/>
          <w:szCs w:val="21"/>
        </w:rPr>
      </w:pPr>
      <w:r>
        <w:rPr>
          <w:rFonts w:hint="eastAsia" w:ascii="新宋体" w:hAnsi="新宋体" w:eastAsia="新宋体"/>
          <w:szCs w:val="21"/>
        </w:rPr>
        <w:t>本合同项下总价款为</w:t>
      </w:r>
      <w:r>
        <w:rPr>
          <w:rFonts w:hint="eastAsia" w:ascii="新宋体" w:hAnsi="新宋体" w:eastAsia="新宋体"/>
          <w:szCs w:val="21"/>
          <w:u w:val="single"/>
        </w:rPr>
        <w:t xml:space="preserve">              </w:t>
      </w:r>
      <w:r>
        <w:rPr>
          <w:rFonts w:hint="eastAsia" w:ascii="新宋体" w:hAnsi="新宋体" w:eastAsia="新宋体"/>
          <w:szCs w:val="21"/>
        </w:rPr>
        <w:t>（大写）人民币，分项价款详见</w:t>
      </w:r>
      <w:r>
        <w:rPr>
          <w:rFonts w:hint="eastAsia" w:ascii="新宋体" w:hAnsi="新宋体" w:eastAsia="新宋体"/>
          <w:b/>
          <w:szCs w:val="21"/>
          <w:u w:val="single"/>
        </w:rPr>
        <w:t xml:space="preserve">          </w:t>
      </w:r>
      <w:r>
        <w:rPr>
          <w:rFonts w:hint="eastAsia" w:ascii="新宋体" w:hAnsi="新宋体" w:eastAsia="新宋体"/>
          <w:szCs w:val="21"/>
        </w:rPr>
        <w:t>。本合同总价款已包括乙方为履行本合同义务所发生的一切费用，系固定不变价格，且不随通货膨胀的影响而波动。</w:t>
      </w:r>
    </w:p>
    <w:p>
      <w:pPr>
        <w:spacing w:line="360" w:lineRule="auto"/>
        <w:ind w:firstLine="560"/>
        <w:jc w:val="left"/>
        <w:rPr>
          <w:rFonts w:ascii="新宋体" w:hAnsi="新宋体" w:eastAsia="新宋体"/>
          <w:b/>
          <w:szCs w:val="21"/>
        </w:rPr>
      </w:pPr>
      <w:r>
        <w:rPr>
          <w:rFonts w:hint="eastAsia" w:ascii="新宋体" w:hAnsi="新宋体" w:eastAsia="新宋体"/>
          <w:b/>
          <w:szCs w:val="21"/>
        </w:rPr>
        <w:t>第三条  权利保证</w:t>
      </w:r>
    </w:p>
    <w:p>
      <w:pPr>
        <w:spacing w:line="360" w:lineRule="auto"/>
        <w:ind w:firstLine="560"/>
        <w:jc w:val="left"/>
        <w:rPr>
          <w:rFonts w:ascii="新宋体" w:hAnsi="新宋体" w:eastAsia="新宋体"/>
          <w:szCs w:val="21"/>
        </w:rPr>
      </w:pPr>
      <w:r>
        <w:rPr>
          <w:rFonts w:hint="eastAsia" w:ascii="新宋体" w:hAnsi="新宋体" w:eastAsia="新宋体"/>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560"/>
        <w:jc w:val="left"/>
        <w:rPr>
          <w:rFonts w:ascii="新宋体" w:hAnsi="新宋体" w:eastAsia="新宋体"/>
          <w:b/>
          <w:szCs w:val="21"/>
        </w:rPr>
      </w:pPr>
      <w:r>
        <w:rPr>
          <w:rFonts w:hint="eastAsia" w:ascii="新宋体" w:hAnsi="新宋体" w:eastAsia="新宋体"/>
          <w:b/>
          <w:szCs w:val="21"/>
        </w:rPr>
        <w:t>第四条  质量保证</w:t>
      </w:r>
    </w:p>
    <w:p>
      <w:pPr>
        <w:spacing w:line="360" w:lineRule="auto"/>
        <w:ind w:firstLine="560"/>
        <w:jc w:val="left"/>
        <w:rPr>
          <w:rFonts w:ascii="新宋体" w:hAnsi="新宋体" w:eastAsia="新宋体"/>
          <w:szCs w:val="21"/>
        </w:rPr>
      </w:pPr>
      <w:r>
        <w:rPr>
          <w:rFonts w:hint="eastAsia" w:ascii="新宋体" w:hAnsi="新宋体" w:eastAsia="新宋体"/>
          <w:szCs w:val="21"/>
        </w:rPr>
        <w:t>1、乙方所提供的货物的技术规格符合招标文件规定的技术规格，货物符合中华人民共和国的设计和制造生产标准或行业标准。</w:t>
      </w:r>
    </w:p>
    <w:p>
      <w:pPr>
        <w:spacing w:line="360" w:lineRule="auto"/>
        <w:ind w:firstLine="560"/>
        <w:jc w:val="left"/>
        <w:rPr>
          <w:rFonts w:ascii="新宋体" w:hAnsi="新宋体" w:eastAsia="新宋体"/>
          <w:szCs w:val="21"/>
        </w:rPr>
      </w:pPr>
      <w:r>
        <w:rPr>
          <w:rFonts w:hint="eastAsia" w:ascii="新宋体" w:hAnsi="新宋体" w:eastAsia="新宋体"/>
          <w:szCs w:val="21"/>
        </w:rPr>
        <w:t>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560"/>
        <w:jc w:val="left"/>
        <w:rPr>
          <w:rFonts w:ascii="新宋体" w:hAnsi="新宋体" w:eastAsia="新宋体"/>
          <w:szCs w:val="21"/>
        </w:rPr>
      </w:pPr>
      <w:r>
        <w:rPr>
          <w:rFonts w:hint="eastAsia" w:ascii="新宋体" w:hAnsi="新宋体" w:eastAsia="新宋体"/>
          <w:szCs w:val="21"/>
        </w:rPr>
        <w:t>3、乙方保证交货时一并提供货物的质量合格凭证或文件。</w:t>
      </w:r>
    </w:p>
    <w:p>
      <w:pPr>
        <w:spacing w:line="360" w:lineRule="auto"/>
        <w:ind w:firstLine="560"/>
        <w:jc w:val="left"/>
        <w:rPr>
          <w:rFonts w:ascii="新宋体" w:hAnsi="新宋体" w:eastAsia="新宋体"/>
          <w:szCs w:val="21"/>
        </w:rPr>
      </w:pPr>
    </w:p>
    <w:p>
      <w:pPr>
        <w:spacing w:line="360" w:lineRule="auto"/>
        <w:ind w:firstLine="560"/>
        <w:jc w:val="left"/>
        <w:rPr>
          <w:rFonts w:ascii="新宋体" w:hAnsi="新宋体" w:eastAsia="新宋体"/>
          <w:szCs w:val="21"/>
        </w:rPr>
      </w:pPr>
    </w:p>
    <w:p>
      <w:pPr>
        <w:spacing w:line="360" w:lineRule="auto"/>
        <w:ind w:firstLine="560"/>
        <w:jc w:val="left"/>
        <w:rPr>
          <w:rFonts w:ascii="新宋体" w:hAnsi="新宋体" w:eastAsia="新宋体"/>
          <w:b/>
          <w:szCs w:val="21"/>
        </w:rPr>
      </w:pPr>
      <w:r>
        <w:rPr>
          <w:rFonts w:hint="eastAsia" w:ascii="新宋体" w:hAnsi="新宋体" w:eastAsia="新宋体"/>
          <w:b/>
          <w:szCs w:val="21"/>
        </w:rPr>
        <w:t>第五条  交货和验收</w:t>
      </w:r>
    </w:p>
    <w:p>
      <w:pPr>
        <w:spacing w:line="360" w:lineRule="auto"/>
        <w:ind w:firstLine="560"/>
        <w:jc w:val="left"/>
        <w:rPr>
          <w:rFonts w:ascii="新宋体" w:hAnsi="新宋体" w:eastAsia="新宋体"/>
          <w:szCs w:val="21"/>
        </w:rPr>
      </w:pPr>
      <w:r>
        <w:rPr>
          <w:rFonts w:hint="eastAsia" w:ascii="新宋体" w:hAnsi="新宋体" w:eastAsia="新宋体"/>
          <w:szCs w:val="21"/>
        </w:rPr>
        <w:t>1、乙方应按照本合同或招投标文件规定的时间和方式向甲方交付货物，交货地点由甲方指定。因交货产生的费用由乙方自行承担。</w:t>
      </w:r>
    </w:p>
    <w:p>
      <w:pPr>
        <w:spacing w:line="360" w:lineRule="auto"/>
        <w:ind w:firstLine="560"/>
        <w:jc w:val="left"/>
        <w:rPr>
          <w:rFonts w:ascii="新宋体" w:hAnsi="新宋体" w:eastAsia="新宋体"/>
          <w:szCs w:val="21"/>
        </w:rPr>
      </w:pPr>
      <w:r>
        <w:rPr>
          <w:rFonts w:hint="eastAsia" w:ascii="新宋体" w:hAnsi="新宋体" w:eastAsia="新宋体"/>
          <w:szCs w:val="21"/>
        </w:rPr>
        <w:t>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560"/>
        <w:jc w:val="left"/>
        <w:rPr>
          <w:rFonts w:ascii="新宋体" w:hAnsi="新宋体" w:eastAsia="新宋体"/>
          <w:szCs w:val="21"/>
        </w:rPr>
      </w:pPr>
      <w:r>
        <w:rPr>
          <w:rFonts w:hint="eastAsia" w:ascii="新宋体" w:hAnsi="新宋体" w:eastAsia="新宋体"/>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560"/>
        <w:jc w:val="left"/>
        <w:rPr>
          <w:rFonts w:ascii="新宋体" w:hAnsi="新宋体" w:eastAsia="新宋体"/>
          <w:szCs w:val="21"/>
        </w:rPr>
      </w:pPr>
      <w:r>
        <w:rPr>
          <w:rFonts w:hint="eastAsia" w:ascii="新宋体" w:hAnsi="新宋体" w:eastAsia="新宋体"/>
          <w:szCs w:val="21"/>
        </w:rPr>
        <w:t>4、甲方应当在到货后的</w:t>
      </w:r>
      <w:r>
        <w:rPr>
          <w:rFonts w:hint="eastAsia" w:ascii="新宋体" w:hAnsi="新宋体" w:eastAsia="新宋体"/>
          <w:szCs w:val="21"/>
          <w:u w:val="single"/>
        </w:rPr>
        <w:t xml:space="preserve">       </w:t>
      </w:r>
      <w:r>
        <w:rPr>
          <w:rFonts w:hint="eastAsia" w:ascii="新宋体" w:hAnsi="新宋体" w:eastAsia="新宋体"/>
          <w:szCs w:val="21"/>
        </w:rPr>
        <w:t>个工作日内对货物进行验收；需要乙方对货物或系统进行安装调试的，甲方应在货物安装调试完毕后的</w:t>
      </w:r>
      <w:r>
        <w:rPr>
          <w:rFonts w:hint="eastAsia" w:ascii="新宋体" w:hAnsi="新宋体" w:eastAsia="新宋体"/>
          <w:szCs w:val="21"/>
          <w:u w:val="single"/>
        </w:rPr>
        <w:t xml:space="preserve">       </w:t>
      </w:r>
      <w:r>
        <w:rPr>
          <w:rFonts w:hint="eastAsia" w:ascii="新宋体" w:hAnsi="新宋体" w:eastAsia="新宋体"/>
          <w:szCs w:val="21"/>
        </w:rPr>
        <w:t>个工作日内进行质量验收。</w:t>
      </w:r>
    </w:p>
    <w:p>
      <w:pPr>
        <w:spacing w:line="360" w:lineRule="auto"/>
        <w:ind w:firstLine="560"/>
        <w:jc w:val="left"/>
        <w:rPr>
          <w:rFonts w:ascii="新宋体" w:hAnsi="新宋体" w:eastAsia="新宋体"/>
          <w:b/>
          <w:szCs w:val="21"/>
        </w:rPr>
      </w:pPr>
      <w:r>
        <w:rPr>
          <w:rFonts w:hint="eastAsia" w:ascii="新宋体" w:hAnsi="新宋体" w:eastAsia="新宋体"/>
          <w:b/>
          <w:szCs w:val="21"/>
        </w:rPr>
        <w:t>第六条  保修及其他服务</w:t>
      </w:r>
    </w:p>
    <w:p>
      <w:pPr>
        <w:spacing w:line="360" w:lineRule="auto"/>
        <w:ind w:firstLine="560"/>
        <w:jc w:val="left"/>
        <w:rPr>
          <w:rFonts w:ascii="新宋体" w:hAnsi="新宋体" w:eastAsia="新宋体"/>
          <w:szCs w:val="21"/>
        </w:rPr>
      </w:pPr>
      <w:r>
        <w:rPr>
          <w:rFonts w:hint="eastAsia" w:ascii="新宋体" w:hAnsi="新宋体" w:eastAsia="新宋体"/>
          <w:szCs w:val="21"/>
        </w:rPr>
        <w:t>1、乙方应按照国家有关法律法规规章和“三包”规定和招标文件的要求及乙方在投标文件的相关承诺提供保修及其他服务。</w:t>
      </w:r>
    </w:p>
    <w:p>
      <w:pPr>
        <w:spacing w:line="360" w:lineRule="auto"/>
        <w:ind w:firstLine="560"/>
        <w:jc w:val="left"/>
        <w:rPr>
          <w:rFonts w:ascii="新宋体" w:hAnsi="新宋体" w:eastAsia="新宋体"/>
          <w:szCs w:val="21"/>
        </w:rPr>
      </w:pPr>
      <w:r>
        <w:rPr>
          <w:rFonts w:hint="eastAsia" w:ascii="新宋体" w:hAnsi="新宋体" w:eastAsia="新宋体"/>
          <w:szCs w:val="21"/>
        </w:rPr>
        <w:t>2、</w:t>
      </w:r>
      <w:r>
        <w:rPr>
          <w:rFonts w:ascii="新宋体" w:hAnsi="新宋体" w:eastAsia="新宋体"/>
          <w:szCs w:val="21"/>
        </w:rPr>
        <w:t>保修期内，乙方负责对其提供的货物进行维修和系统维护，不再收取任何费用。</w:t>
      </w:r>
      <w:r>
        <w:rPr>
          <w:rFonts w:hint="eastAsia" w:ascii="新宋体" w:hAnsi="新宋体" w:eastAsia="新宋体"/>
          <w:szCs w:val="21"/>
        </w:rPr>
        <w:t>所有货物保修服务方式均为乙方上门保修，即由乙方派员到货物使用现场维修，由此产生的一切费用均由乙方承担。保修期后的货物维护另行协商。</w:t>
      </w:r>
    </w:p>
    <w:p>
      <w:pPr>
        <w:spacing w:line="360" w:lineRule="auto"/>
        <w:ind w:firstLine="560"/>
        <w:jc w:val="left"/>
        <w:rPr>
          <w:rFonts w:ascii="新宋体" w:hAnsi="新宋体" w:eastAsia="新宋体"/>
          <w:b/>
          <w:szCs w:val="21"/>
        </w:rPr>
      </w:pPr>
      <w:r>
        <w:rPr>
          <w:rFonts w:hint="eastAsia" w:ascii="新宋体" w:hAnsi="新宋体" w:eastAsia="新宋体"/>
          <w:b/>
          <w:szCs w:val="21"/>
        </w:rPr>
        <w:t>第七条  履约保证金</w:t>
      </w:r>
    </w:p>
    <w:p>
      <w:pPr>
        <w:spacing w:line="360" w:lineRule="auto"/>
        <w:ind w:firstLine="560"/>
        <w:jc w:val="left"/>
        <w:rPr>
          <w:rFonts w:ascii="新宋体" w:hAnsi="新宋体" w:eastAsia="新宋体"/>
          <w:szCs w:val="21"/>
        </w:rPr>
      </w:pPr>
      <w:r>
        <w:rPr>
          <w:rFonts w:hint="eastAsia" w:ascii="新宋体" w:hAnsi="新宋体" w:eastAsia="新宋体"/>
          <w:szCs w:val="21"/>
        </w:rPr>
        <w:t>1、乙方应在签订本合同之日，向甲方或甲方指定的机构提交履约保证金_________元。</w:t>
      </w:r>
    </w:p>
    <w:p>
      <w:pPr>
        <w:spacing w:line="360" w:lineRule="auto"/>
        <w:ind w:firstLine="560"/>
        <w:jc w:val="left"/>
        <w:rPr>
          <w:rFonts w:ascii="新宋体" w:hAnsi="新宋体" w:eastAsia="新宋体"/>
          <w:szCs w:val="21"/>
        </w:rPr>
      </w:pPr>
      <w:r>
        <w:rPr>
          <w:rFonts w:hint="eastAsia" w:ascii="新宋体" w:hAnsi="新宋体" w:eastAsia="新宋体"/>
          <w:szCs w:val="21"/>
        </w:rPr>
        <w:t>2、如乙方未能履行合同规定的义务，甲方有权从履约保证金中取得补偿。</w:t>
      </w:r>
    </w:p>
    <w:p>
      <w:pPr>
        <w:spacing w:line="360" w:lineRule="auto"/>
        <w:ind w:firstLine="560"/>
        <w:jc w:val="left"/>
        <w:rPr>
          <w:rFonts w:ascii="新宋体" w:hAnsi="新宋体" w:eastAsia="新宋体"/>
          <w:szCs w:val="21"/>
        </w:rPr>
      </w:pPr>
      <w:r>
        <w:rPr>
          <w:rFonts w:hint="eastAsia" w:ascii="新宋体" w:hAnsi="新宋体" w:eastAsia="新宋体"/>
          <w:szCs w:val="21"/>
        </w:rPr>
        <w:t>3、甲方在乙方履行完毕本合同项下全部义务后______天内无息退还乙方。</w:t>
      </w:r>
    </w:p>
    <w:p>
      <w:pPr>
        <w:spacing w:line="360" w:lineRule="auto"/>
        <w:ind w:firstLine="560"/>
        <w:jc w:val="left"/>
        <w:rPr>
          <w:rFonts w:ascii="新宋体" w:hAnsi="新宋体" w:eastAsia="新宋体"/>
          <w:szCs w:val="21"/>
        </w:rPr>
      </w:pPr>
    </w:p>
    <w:p>
      <w:pPr>
        <w:spacing w:line="360" w:lineRule="auto"/>
        <w:ind w:firstLine="560"/>
        <w:jc w:val="left"/>
        <w:rPr>
          <w:rFonts w:ascii="新宋体" w:hAnsi="新宋体" w:eastAsia="新宋体"/>
          <w:b/>
          <w:szCs w:val="21"/>
        </w:rPr>
      </w:pPr>
      <w:r>
        <w:rPr>
          <w:rFonts w:hint="eastAsia" w:ascii="新宋体" w:hAnsi="新宋体" w:eastAsia="新宋体"/>
          <w:b/>
          <w:szCs w:val="21"/>
        </w:rPr>
        <w:t>第八条   货款支付</w:t>
      </w:r>
    </w:p>
    <w:p>
      <w:pPr>
        <w:spacing w:line="360" w:lineRule="auto"/>
        <w:ind w:firstLine="560"/>
        <w:jc w:val="left"/>
        <w:rPr>
          <w:rFonts w:ascii="新宋体" w:hAnsi="新宋体" w:eastAsia="新宋体"/>
          <w:szCs w:val="21"/>
        </w:rPr>
      </w:pPr>
    </w:p>
    <w:p>
      <w:pPr>
        <w:spacing w:line="360" w:lineRule="auto"/>
        <w:ind w:firstLine="560"/>
        <w:jc w:val="left"/>
        <w:rPr>
          <w:rFonts w:ascii="新宋体" w:hAnsi="新宋体" w:eastAsia="新宋体"/>
          <w:b/>
          <w:szCs w:val="21"/>
        </w:rPr>
      </w:pPr>
      <w:r>
        <w:rPr>
          <w:rFonts w:hint="eastAsia" w:ascii="新宋体" w:hAnsi="新宋体" w:eastAsia="新宋体"/>
          <w:b/>
          <w:szCs w:val="21"/>
        </w:rPr>
        <w:t>第九条    违约责任</w:t>
      </w:r>
    </w:p>
    <w:p>
      <w:pPr>
        <w:spacing w:line="360" w:lineRule="auto"/>
        <w:ind w:firstLine="560"/>
        <w:jc w:val="left"/>
        <w:rPr>
          <w:rFonts w:ascii="新宋体" w:hAnsi="新宋体" w:eastAsia="新宋体"/>
          <w:szCs w:val="21"/>
        </w:rPr>
      </w:pPr>
      <w:r>
        <w:rPr>
          <w:rFonts w:hint="eastAsia" w:ascii="新宋体" w:hAnsi="新宋体" w:eastAsia="新宋体"/>
          <w:szCs w:val="21"/>
        </w:rPr>
        <w:t>１、甲方无正当理由拒收货物、拒付货物款的，由甲方向乙方偿付合同总价的【】%违约金。</w:t>
      </w:r>
    </w:p>
    <w:p>
      <w:pPr>
        <w:spacing w:line="360" w:lineRule="auto"/>
        <w:ind w:firstLine="560"/>
        <w:jc w:val="left"/>
        <w:rPr>
          <w:rFonts w:ascii="新宋体" w:hAnsi="新宋体" w:eastAsia="新宋体"/>
          <w:szCs w:val="21"/>
        </w:rPr>
      </w:pPr>
      <w:r>
        <w:rPr>
          <w:rFonts w:hint="eastAsia" w:ascii="新宋体" w:hAnsi="新宋体" w:eastAsia="新宋体"/>
          <w:szCs w:val="21"/>
        </w:rPr>
        <w:t>２、甲方未按合同规定的期限向乙方支付货款的，每逾期1天甲方向乙方偿付欠款总额的【】‰滞纳金，但累计滞纳金总额不超过欠款总额的【】% 。</w:t>
      </w:r>
    </w:p>
    <w:p>
      <w:pPr>
        <w:spacing w:line="360" w:lineRule="auto"/>
        <w:ind w:firstLine="560"/>
        <w:jc w:val="left"/>
        <w:rPr>
          <w:rFonts w:ascii="新宋体" w:hAnsi="新宋体" w:eastAsia="新宋体"/>
          <w:szCs w:val="21"/>
        </w:rPr>
      </w:pPr>
      <w:r>
        <w:rPr>
          <w:rFonts w:hint="eastAsia" w:ascii="新宋体" w:hAnsi="新宋体" w:eastAsia="新宋体"/>
          <w:szCs w:val="21"/>
        </w:rPr>
        <w:t>３、</w:t>
      </w:r>
      <w:r>
        <w:rPr>
          <w:rFonts w:ascii="新宋体" w:hAnsi="新宋体" w:eastAsia="新宋体"/>
          <w:szCs w:val="21"/>
        </w:rPr>
        <w:t>乙方逾期交付货物的，每逾期1天，乙方向甲方偿付逾期交货部分货款总额的</w:t>
      </w:r>
      <w:r>
        <w:rPr>
          <w:rFonts w:hint="eastAsia" w:ascii="新宋体" w:hAnsi="新宋体" w:eastAsia="新宋体"/>
          <w:szCs w:val="21"/>
        </w:rPr>
        <w:t>【】</w:t>
      </w:r>
      <w:r>
        <w:rPr>
          <w:rFonts w:ascii="新宋体" w:hAnsi="新宋体" w:eastAsia="新宋体"/>
          <w:szCs w:val="21"/>
        </w:rPr>
        <w:t>‰的滞纳金</w:t>
      </w:r>
      <w:r>
        <w:rPr>
          <w:rFonts w:hint="eastAsia" w:ascii="新宋体" w:hAnsi="新宋体" w:eastAsia="新宋体"/>
          <w:szCs w:val="21"/>
        </w:rPr>
        <w:t>。如乙方逾期交货达</w:t>
      </w:r>
      <w:r>
        <w:rPr>
          <w:rFonts w:hint="eastAsia" w:ascii="新宋体" w:hAnsi="新宋体" w:eastAsia="新宋体"/>
          <w:szCs w:val="21"/>
          <w:u w:val="single"/>
        </w:rPr>
        <w:t xml:space="preserve">    </w:t>
      </w:r>
      <w:r>
        <w:rPr>
          <w:rFonts w:hint="eastAsia" w:ascii="新宋体" w:hAnsi="新宋体" w:eastAsia="新宋体"/>
          <w:szCs w:val="21"/>
        </w:rPr>
        <w:t>天，甲方有权解除合同，履约保证金不予退回，同时乙方应向甲方支付合同总价【】％的违约金。</w:t>
      </w:r>
    </w:p>
    <w:p>
      <w:pPr>
        <w:spacing w:line="360" w:lineRule="auto"/>
        <w:ind w:firstLine="560"/>
        <w:jc w:val="left"/>
        <w:rPr>
          <w:rFonts w:ascii="新宋体" w:hAnsi="新宋体" w:eastAsia="新宋体"/>
          <w:szCs w:val="21"/>
        </w:rPr>
      </w:pPr>
      <w:r>
        <w:rPr>
          <w:rFonts w:hint="eastAsia" w:ascii="新宋体" w:hAnsi="新宋体" w:eastAsia="新宋体"/>
          <w:szCs w:val="21"/>
        </w:rPr>
        <w:t>4、乙方所交付的货物品种、型号、规格不符合合同规定的，甲方有权拒收。甲方拒收的，乙方应向甲方支付货款总额【】%的违约金。</w:t>
      </w:r>
    </w:p>
    <w:p>
      <w:pPr>
        <w:spacing w:line="360" w:lineRule="auto"/>
        <w:ind w:firstLine="560"/>
        <w:jc w:val="left"/>
        <w:rPr>
          <w:rFonts w:ascii="新宋体" w:hAnsi="新宋体" w:eastAsia="新宋体"/>
          <w:szCs w:val="21"/>
        </w:rPr>
      </w:pPr>
      <w:r>
        <w:rPr>
          <w:rFonts w:hint="eastAsia" w:ascii="新宋体" w:hAnsi="新宋体" w:eastAsia="新宋体"/>
          <w:szCs w:val="21"/>
        </w:rPr>
        <w:t>5、在乙方承诺的或国家规定的质量保证期内（取两者中最长的期限），</w:t>
      </w:r>
      <w:r>
        <w:rPr>
          <w:rFonts w:ascii="新宋体" w:hAnsi="新宋体" w:eastAsia="新宋体"/>
          <w:szCs w:val="21"/>
        </w:rPr>
        <w:t>如经乙方两次维修</w:t>
      </w:r>
      <w:r>
        <w:rPr>
          <w:rFonts w:hint="eastAsia" w:ascii="新宋体" w:hAnsi="新宋体" w:eastAsia="新宋体"/>
          <w:szCs w:val="21"/>
        </w:rPr>
        <w:t>或更换</w:t>
      </w:r>
      <w:r>
        <w:rPr>
          <w:rFonts w:ascii="新宋体" w:hAnsi="新宋体" w:eastAsia="新宋体"/>
          <w:szCs w:val="21"/>
        </w:rPr>
        <w:t>，货物仍不能达到合同约定</w:t>
      </w:r>
      <w:r>
        <w:rPr>
          <w:rFonts w:hint="eastAsia" w:ascii="新宋体" w:hAnsi="新宋体" w:eastAsia="新宋体"/>
          <w:szCs w:val="21"/>
        </w:rPr>
        <w:t>的</w:t>
      </w:r>
      <w:r>
        <w:rPr>
          <w:rFonts w:ascii="新宋体" w:hAnsi="新宋体" w:eastAsia="新宋体"/>
          <w:szCs w:val="21"/>
        </w:rPr>
        <w:t>质量标准，甲方有权退货，乙方</w:t>
      </w:r>
      <w:r>
        <w:rPr>
          <w:rFonts w:hint="eastAsia" w:ascii="新宋体" w:hAnsi="新宋体" w:eastAsia="新宋体"/>
          <w:szCs w:val="21"/>
        </w:rPr>
        <w:t>应</w:t>
      </w:r>
      <w:r>
        <w:rPr>
          <w:rFonts w:ascii="新宋体" w:hAnsi="新宋体" w:eastAsia="新宋体"/>
          <w:szCs w:val="21"/>
        </w:rPr>
        <w:t>退回全部货款</w:t>
      </w:r>
      <w:r>
        <w:rPr>
          <w:rFonts w:hint="eastAsia" w:ascii="新宋体" w:hAnsi="新宋体" w:eastAsia="新宋体"/>
          <w:szCs w:val="21"/>
        </w:rPr>
        <w:t>并</w:t>
      </w:r>
      <w:r>
        <w:rPr>
          <w:rFonts w:ascii="新宋体" w:hAnsi="新宋体" w:eastAsia="新宋体"/>
          <w:szCs w:val="21"/>
        </w:rPr>
        <w:t>赔偿甲方因此遭受的损失。</w:t>
      </w:r>
    </w:p>
    <w:p>
      <w:pPr>
        <w:spacing w:line="360" w:lineRule="auto"/>
        <w:ind w:firstLine="560"/>
        <w:jc w:val="left"/>
        <w:rPr>
          <w:rFonts w:ascii="新宋体" w:hAnsi="新宋体" w:eastAsia="新宋体"/>
          <w:szCs w:val="21"/>
        </w:rPr>
      </w:pPr>
      <w:r>
        <w:rPr>
          <w:rFonts w:hint="eastAsia" w:ascii="新宋体" w:hAnsi="新宋体" w:eastAsia="新宋体"/>
          <w:szCs w:val="21"/>
        </w:rPr>
        <w:t>6、乙方未履行本合同项下的其他义务或违反其在投标文件中的相关承诺的，应按合同总价款的【】%向甲方承担违约责任。</w:t>
      </w:r>
    </w:p>
    <w:p>
      <w:pPr>
        <w:spacing w:line="360" w:lineRule="auto"/>
        <w:ind w:firstLine="560"/>
        <w:jc w:val="left"/>
        <w:rPr>
          <w:rFonts w:ascii="新宋体" w:hAnsi="新宋体" w:eastAsia="新宋体"/>
          <w:szCs w:val="21"/>
        </w:rPr>
      </w:pPr>
      <w:r>
        <w:rPr>
          <w:rFonts w:hint="eastAsia" w:ascii="新宋体" w:hAnsi="新宋体" w:eastAsia="新宋体"/>
          <w:szCs w:val="21"/>
        </w:rPr>
        <w:t>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560"/>
        <w:jc w:val="left"/>
        <w:rPr>
          <w:rFonts w:ascii="新宋体" w:hAnsi="新宋体" w:eastAsia="新宋体"/>
          <w:b/>
          <w:szCs w:val="21"/>
        </w:rPr>
      </w:pPr>
      <w:r>
        <w:rPr>
          <w:rFonts w:hint="eastAsia" w:ascii="新宋体" w:hAnsi="新宋体" w:eastAsia="新宋体"/>
          <w:b/>
          <w:szCs w:val="21"/>
        </w:rPr>
        <w:t>第十条    合同的变更和终止</w:t>
      </w:r>
    </w:p>
    <w:p>
      <w:pPr>
        <w:spacing w:line="360" w:lineRule="auto"/>
        <w:ind w:firstLine="560"/>
        <w:jc w:val="left"/>
        <w:rPr>
          <w:rFonts w:ascii="新宋体" w:hAnsi="新宋体" w:eastAsia="新宋体"/>
          <w:szCs w:val="21"/>
        </w:rPr>
      </w:pPr>
      <w:r>
        <w:rPr>
          <w:rFonts w:hint="eastAsia" w:ascii="新宋体" w:hAnsi="新宋体" w:eastAsia="新宋体"/>
          <w:szCs w:val="21"/>
        </w:rPr>
        <w:t>除《中华人民共和国政府采购法》第４９条、第５０条第二款规定的情形外，本合同一经签订，甲乙双方不得擅自变更、中止或终止合同。</w:t>
      </w:r>
    </w:p>
    <w:p>
      <w:pPr>
        <w:spacing w:line="360" w:lineRule="auto"/>
        <w:ind w:firstLine="560"/>
        <w:jc w:val="left"/>
        <w:rPr>
          <w:rFonts w:ascii="新宋体" w:hAnsi="新宋体" w:eastAsia="新宋体"/>
          <w:b/>
          <w:szCs w:val="21"/>
        </w:rPr>
      </w:pPr>
      <w:r>
        <w:rPr>
          <w:rFonts w:hint="eastAsia" w:ascii="新宋体" w:hAnsi="新宋体" w:eastAsia="新宋体"/>
          <w:b/>
          <w:szCs w:val="21"/>
        </w:rPr>
        <w:t>第十一条   争议的解决</w:t>
      </w:r>
    </w:p>
    <w:p>
      <w:pPr>
        <w:spacing w:line="360" w:lineRule="auto"/>
        <w:ind w:firstLine="560"/>
        <w:jc w:val="left"/>
        <w:rPr>
          <w:rFonts w:ascii="新宋体" w:hAnsi="新宋体" w:eastAsia="新宋体"/>
          <w:szCs w:val="21"/>
        </w:rPr>
      </w:pPr>
      <w:r>
        <w:rPr>
          <w:rFonts w:hint="eastAsia" w:ascii="新宋体" w:hAnsi="新宋体" w:eastAsia="新宋体"/>
          <w:szCs w:val="21"/>
        </w:rPr>
        <w:t>1、因货物的质量问题发生争议的，应当邀请国家认可的质量检测机构对货物质量进行鉴定。货物符合标准的，鉴定费由甲方承担；货物不符合质量标准的，鉴定费由乙方承担。</w:t>
      </w:r>
    </w:p>
    <w:p>
      <w:pPr>
        <w:spacing w:line="360" w:lineRule="auto"/>
        <w:ind w:firstLine="560"/>
        <w:jc w:val="left"/>
        <w:rPr>
          <w:rFonts w:ascii="新宋体" w:hAnsi="新宋体" w:eastAsia="新宋体"/>
          <w:szCs w:val="21"/>
        </w:rPr>
      </w:pPr>
      <w:r>
        <w:rPr>
          <w:rFonts w:hint="eastAsia" w:ascii="新宋体" w:hAnsi="新宋体" w:eastAsia="新宋体"/>
          <w:szCs w:val="21"/>
        </w:rPr>
        <w:t>2、因履行本合同引起的或与本合同有关的争议，甲、乙双方应首先通过友好协商解决，如果协商不能解决争议，则向甲方所在地有管辖权的人民法院提起诉讼；</w:t>
      </w:r>
    </w:p>
    <w:p>
      <w:pPr>
        <w:spacing w:line="360" w:lineRule="auto"/>
        <w:ind w:firstLine="560"/>
        <w:jc w:val="left"/>
        <w:rPr>
          <w:rFonts w:ascii="新宋体" w:hAnsi="新宋体" w:eastAsia="新宋体"/>
          <w:b/>
          <w:szCs w:val="21"/>
        </w:rPr>
      </w:pPr>
      <w:r>
        <w:rPr>
          <w:rFonts w:hint="eastAsia" w:ascii="新宋体" w:hAnsi="新宋体" w:eastAsia="新宋体"/>
          <w:b/>
          <w:szCs w:val="21"/>
        </w:rPr>
        <w:t>第十二条   合同生效及其他</w:t>
      </w:r>
    </w:p>
    <w:p>
      <w:pPr>
        <w:spacing w:line="360" w:lineRule="auto"/>
        <w:ind w:firstLine="560"/>
        <w:jc w:val="left"/>
        <w:rPr>
          <w:rFonts w:ascii="新宋体" w:hAnsi="新宋体" w:eastAsia="新宋体"/>
          <w:szCs w:val="21"/>
        </w:rPr>
      </w:pPr>
      <w:r>
        <w:rPr>
          <w:rFonts w:hint="eastAsia" w:ascii="新宋体" w:hAnsi="新宋体" w:eastAsia="新宋体"/>
          <w:szCs w:val="21"/>
        </w:rPr>
        <w:t>1、下列文件均为本合同的组成部分：</w:t>
      </w:r>
    </w:p>
    <w:p>
      <w:pPr>
        <w:spacing w:line="360" w:lineRule="auto"/>
        <w:ind w:firstLine="560"/>
        <w:jc w:val="left"/>
        <w:rPr>
          <w:rFonts w:ascii="新宋体" w:hAnsi="新宋体" w:eastAsia="新宋体"/>
          <w:szCs w:val="21"/>
        </w:rPr>
      </w:pPr>
      <w:r>
        <w:rPr>
          <w:rFonts w:hint="eastAsia" w:ascii="新宋体" w:hAnsi="新宋体" w:eastAsia="新宋体"/>
          <w:szCs w:val="21"/>
        </w:rPr>
        <w:t>（1）</w:t>
      </w:r>
      <w:r>
        <w:rPr>
          <w:rFonts w:hint="eastAsia" w:ascii="新宋体" w:hAnsi="新宋体" w:eastAsia="新宋体"/>
          <w:szCs w:val="21"/>
          <w:u w:val="single"/>
        </w:rPr>
        <w:t xml:space="preserve">         </w:t>
      </w:r>
      <w:r>
        <w:rPr>
          <w:rFonts w:hint="eastAsia" w:ascii="新宋体" w:hAnsi="新宋体" w:eastAsia="新宋体"/>
          <w:szCs w:val="21"/>
        </w:rPr>
        <w:t>号招标文件、答疑及补充通知；</w:t>
      </w:r>
    </w:p>
    <w:p>
      <w:pPr>
        <w:spacing w:line="360" w:lineRule="auto"/>
        <w:ind w:firstLine="560"/>
        <w:jc w:val="left"/>
        <w:rPr>
          <w:rFonts w:ascii="新宋体" w:hAnsi="新宋体" w:eastAsia="新宋体"/>
          <w:szCs w:val="21"/>
        </w:rPr>
      </w:pPr>
      <w:r>
        <w:rPr>
          <w:rFonts w:hint="eastAsia" w:ascii="新宋体" w:hAnsi="新宋体" w:eastAsia="新宋体"/>
          <w:szCs w:val="21"/>
        </w:rPr>
        <w:t>（2）乙方的投标文件；</w:t>
      </w:r>
    </w:p>
    <w:p>
      <w:pPr>
        <w:spacing w:line="360" w:lineRule="auto"/>
        <w:ind w:firstLine="560"/>
        <w:jc w:val="left"/>
        <w:rPr>
          <w:rFonts w:ascii="新宋体" w:hAnsi="新宋体" w:eastAsia="新宋体"/>
          <w:szCs w:val="21"/>
        </w:rPr>
      </w:pPr>
      <w:r>
        <w:rPr>
          <w:rFonts w:hint="eastAsia" w:ascii="新宋体" w:hAnsi="新宋体" w:eastAsia="新宋体"/>
          <w:szCs w:val="21"/>
        </w:rPr>
        <w:t>（3）本合同执行中甲乙双方共同签署的补充与修正文件。</w:t>
      </w:r>
    </w:p>
    <w:p>
      <w:pPr>
        <w:spacing w:line="360" w:lineRule="auto"/>
        <w:ind w:firstLine="560"/>
        <w:jc w:val="left"/>
        <w:rPr>
          <w:rFonts w:ascii="新宋体" w:hAnsi="新宋体" w:eastAsia="新宋体"/>
          <w:szCs w:val="21"/>
        </w:rPr>
      </w:pPr>
      <w:r>
        <w:rPr>
          <w:rFonts w:hint="eastAsia" w:ascii="新宋体" w:hAnsi="新宋体" w:eastAsia="新宋体"/>
          <w:szCs w:val="21"/>
        </w:rPr>
        <w:t>2、本合同一式</w:t>
      </w:r>
      <w:r>
        <w:rPr>
          <w:rFonts w:hint="eastAsia" w:ascii="新宋体" w:hAnsi="新宋体" w:eastAsia="新宋体"/>
          <w:szCs w:val="21"/>
          <w:u w:val="single"/>
        </w:rPr>
        <w:t xml:space="preserve">     </w:t>
      </w:r>
      <w:r>
        <w:rPr>
          <w:rFonts w:hint="eastAsia" w:ascii="新宋体" w:hAnsi="新宋体" w:eastAsia="新宋体"/>
          <w:szCs w:val="21"/>
        </w:rPr>
        <w:t>份，甲、乙方双方各执</w:t>
      </w:r>
      <w:r>
        <w:rPr>
          <w:rFonts w:hint="eastAsia" w:ascii="新宋体" w:hAnsi="新宋体" w:eastAsia="新宋体"/>
          <w:szCs w:val="21"/>
          <w:u w:val="single"/>
        </w:rPr>
        <w:t xml:space="preserve">     </w:t>
      </w:r>
      <w:r>
        <w:rPr>
          <w:rFonts w:hint="eastAsia" w:ascii="新宋体" w:hAnsi="新宋体" w:eastAsia="新宋体"/>
          <w:szCs w:val="21"/>
        </w:rPr>
        <w:t>份，具有同等法律效力。本合同自双方法定代表人（或授权代表）签字并盖章之日起生效。</w:t>
      </w:r>
    </w:p>
    <w:p>
      <w:pPr>
        <w:spacing w:line="360" w:lineRule="auto"/>
        <w:ind w:firstLine="560"/>
        <w:jc w:val="left"/>
        <w:rPr>
          <w:rFonts w:ascii="新宋体" w:hAnsi="新宋体" w:eastAsia="新宋体"/>
          <w:szCs w:val="21"/>
        </w:rPr>
      </w:pPr>
    </w:p>
    <w:p>
      <w:pPr>
        <w:spacing w:line="360" w:lineRule="auto"/>
        <w:ind w:firstLine="560"/>
        <w:jc w:val="left"/>
        <w:rPr>
          <w:rFonts w:ascii="新宋体" w:hAnsi="新宋体" w:eastAsia="新宋体"/>
          <w:szCs w:val="21"/>
        </w:rPr>
      </w:pPr>
    </w:p>
    <w:p>
      <w:pPr>
        <w:spacing w:line="360" w:lineRule="auto"/>
        <w:ind w:firstLine="560"/>
        <w:jc w:val="left"/>
        <w:rPr>
          <w:rFonts w:ascii="新宋体" w:hAnsi="新宋体" w:eastAsia="新宋体"/>
          <w:szCs w:val="21"/>
        </w:rPr>
      </w:pPr>
      <w:r>
        <w:rPr>
          <w:rFonts w:hint="eastAsia" w:ascii="新宋体" w:hAnsi="新宋体" w:eastAsia="新宋体"/>
          <w:szCs w:val="21"/>
        </w:rPr>
        <w:t>甲方（采购人）：   （盖章）       乙方（供应商）：    （盖章）</w:t>
      </w:r>
    </w:p>
    <w:p>
      <w:pPr>
        <w:spacing w:line="360" w:lineRule="auto"/>
        <w:ind w:firstLine="560"/>
        <w:jc w:val="left"/>
        <w:rPr>
          <w:rFonts w:ascii="新宋体" w:hAnsi="新宋体" w:eastAsia="新宋体"/>
          <w:szCs w:val="21"/>
        </w:rPr>
      </w:pPr>
      <w:r>
        <w:rPr>
          <w:rFonts w:hint="eastAsia" w:ascii="新宋体" w:hAnsi="新宋体" w:eastAsia="新宋体"/>
          <w:szCs w:val="21"/>
        </w:rPr>
        <w:t xml:space="preserve">法定代表人：                     法定代表人： </w:t>
      </w:r>
    </w:p>
    <w:p>
      <w:pPr>
        <w:spacing w:line="360" w:lineRule="auto"/>
        <w:ind w:firstLine="560"/>
        <w:jc w:val="left"/>
        <w:rPr>
          <w:rFonts w:ascii="新宋体" w:hAnsi="新宋体" w:eastAsia="新宋体"/>
          <w:szCs w:val="21"/>
        </w:rPr>
      </w:pPr>
      <w:r>
        <w:rPr>
          <w:rFonts w:hint="eastAsia" w:ascii="新宋体" w:hAnsi="新宋体" w:eastAsia="新宋体"/>
          <w:szCs w:val="21"/>
        </w:rPr>
        <w:t>委托代理人：                     委托代理人：</w:t>
      </w:r>
    </w:p>
    <w:p>
      <w:pPr>
        <w:spacing w:line="360" w:lineRule="auto"/>
        <w:ind w:firstLine="525" w:firstLineChars="250"/>
        <w:rPr>
          <w:rFonts w:ascii="新宋体" w:hAnsi="新宋体" w:eastAsia="新宋体"/>
          <w:b/>
          <w:szCs w:val="21"/>
        </w:rPr>
      </w:pPr>
      <w:r>
        <w:rPr>
          <w:rFonts w:hint="eastAsia" w:ascii="新宋体" w:hAnsi="新宋体" w:eastAsia="新宋体"/>
          <w:szCs w:val="21"/>
        </w:rPr>
        <w:t>日期：   年     月    日         日期：   年     月    日</w:t>
      </w:r>
    </w:p>
    <w:p>
      <w:pPr>
        <w:spacing w:line="360" w:lineRule="auto"/>
        <w:rPr>
          <w:rFonts w:ascii="新宋体" w:hAnsi="新宋体" w:eastAsia="新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pStyle w:val="4"/>
        <w:jc w:val="center"/>
        <w:rPr>
          <w:rFonts w:ascii="黑体" w:eastAsia="黑体"/>
          <w:b w:val="0"/>
          <w:kern w:val="0"/>
          <w:sz w:val="24"/>
          <w:szCs w:val="24"/>
        </w:rPr>
      </w:pPr>
      <w:r>
        <w:rPr>
          <w:rFonts w:hint="eastAsia" w:ascii="黑体" w:eastAsia="黑体"/>
          <w:b w:val="0"/>
          <w:kern w:val="0"/>
          <w:sz w:val="24"/>
          <w:szCs w:val="24"/>
        </w:rPr>
        <w:t>三、政府采购履约情况反馈表</w:t>
      </w:r>
    </w:p>
    <w:p>
      <w:pPr>
        <w:spacing w:line="240" w:lineRule="atLeast"/>
        <w:rPr>
          <w:rFonts w:ascii="宋体" w:hAnsi="宋体"/>
          <w:b/>
          <w:szCs w:val="21"/>
        </w:rPr>
      </w:pPr>
      <w:r>
        <w:rPr>
          <w:rFonts w:hint="eastAsia" w:ascii="宋体" w:hAnsi="宋体"/>
          <w:b/>
          <w:szCs w:val="21"/>
        </w:rPr>
        <w:t>采购人名称：                       联系人及电话：</w:t>
      </w:r>
    </w:p>
    <w:p>
      <w:pPr>
        <w:spacing w:line="60" w:lineRule="exact"/>
        <w:rPr>
          <w:rFonts w:ascii="宋体" w:hAnsi="宋体"/>
          <w:b/>
          <w:szCs w:val="21"/>
        </w:rPr>
      </w:pPr>
    </w:p>
    <w:tbl>
      <w:tblPr>
        <w:tblStyle w:val="43"/>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采购项目名称</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项目编号</w:t>
            </w:r>
          </w:p>
        </w:tc>
        <w:tc>
          <w:tcPr>
            <w:tcW w:w="2135" w:type="dxa"/>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中标供应商名称</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供应商</w:t>
            </w:r>
          </w:p>
          <w:p>
            <w:pPr>
              <w:spacing w:line="240" w:lineRule="atLeast"/>
              <w:jc w:val="center"/>
              <w:rPr>
                <w:rFonts w:ascii="宋体" w:hAnsi="宋体"/>
                <w:szCs w:val="21"/>
              </w:rPr>
            </w:pPr>
            <w:r>
              <w:rPr>
                <w:rFonts w:hint="eastAsia" w:ascii="宋体" w:hAnsi="宋体"/>
                <w:szCs w:val="21"/>
              </w:rPr>
              <w:t>联系人及电话</w:t>
            </w:r>
          </w:p>
        </w:tc>
        <w:tc>
          <w:tcPr>
            <w:tcW w:w="2135" w:type="dxa"/>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中标金额</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合同履约时间</w:t>
            </w:r>
          </w:p>
        </w:tc>
        <w:tc>
          <w:tcPr>
            <w:tcW w:w="2135" w:type="dxa"/>
            <w:vAlign w:val="center"/>
          </w:tcPr>
          <w:p>
            <w:pPr>
              <w:spacing w:line="240" w:lineRule="atLeast"/>
              <w:rPr>
                <w:rFonts w:ascii="宋体" w:hAnsi="宋体"/>
                <w:szCs w:val="21"/>
              </w:rPr>
            </w:pPr>
            <w:r>
              <w:rPr>
                <w:rFonts w:hint="eastAsia" w:ascii="宋体" w:hAnsi="宋体"/>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544" w:hRule="atLeast"/>
          <w:jc w:val="center"/>
        </w:trPr>
        <w:tc>
          <w:tcPr>
            <w:tcW w:w="842" w:type="dxa"/>
            <w:vMerge w:val="restart"/>
            <w:vAlign w:val="center"/>
          </w:tcPr>
          <w:p>
            <w:pPr>
              <w:spacing w:line="240" w:lineRule="atLeast"/>
              <w:jc w:val="center"/>
              <w:rPr>
                <w:rFonts w:ascii="宋体" w:hAnsi="宋体"/>
                <w:b/>
                <w:szCs w:val="21"/>
              </w:rPr>
            </w:pPr>
            <w:r>
              <w:rPr>
                <w:rFonts w:hint="eastAsia" w:ascii="宋体" w:hAnsi="宋体"/>
                <w:b/>
                <w:szCs w:val="21"/>
              </w:rPr>
              <w:t>履约情况评价</w:t>
            </w:r>
          </w:p>
        </w:tc>
        <w:tc>
          <w:tcPr>
            <w:tcW w:w="1440" w:type="dxa"/>
            <w:gridSpan w:val="2"/>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总体评价</w:t>
            </w:r>
          </w:p>
        </w:tc>
        <w:tc>
          <w:tcPr>
            <w:tcW w:w="6635" w:type="dxa"/>
            <w:gridSpan w:val="3"/>
            <w:tcBorders>
              <w:left w:val="single" w:color="auto" w:sz="4" w:space="0"/>
            </w:tcBorders>
            <w:vAlign w:val="center"/>
          </w:tcPr>
          <w:p>
            <w:pPr>
              <w:spacing w:line="240" w:lineRule="atLeast"/>
              <w:ind w:firstLine="105" w:firstLineChars="50"/>
              <w:jc w:val="center"/>
              <w:rPr>
                <w:rFonts w:ascii="宋体" w:hAnsi="宋体"/>
                <w:szCs w:val="21"/>
              </w:rPr>
            </w:pPr>
            <w:r>
              <w:rPr>
                <w:rFonts w:hint="eastAsia" w:ascii="宋体" w:hAnsi="宋体"/>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restart"/>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分项评价</w:t>
            </w: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质量方面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价格方面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服务方面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时间方面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环境保护</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其他</w:t>
            </w:r>
          </w:p>
        </w:tc>
        <w:tc>
          <w:tcPr>
            <w:tcW w:w="6635" w:type="dxa"/>
            <w:gridSpan w:val="3"/>
            <w:tcBorders>
              <w:left w:val="single" w:color="auto" w:sz="4" w:space="0"/>
            </w:tcBorders>
            <w:vAlign w:val="center"/>
          </w:tcPr>
          <w:p>
            <w:pPr>
              <w:spacing w:before="120" w:beforeLines="50" w:after="120" w:afterLines="50" w:line="240" w:lineRule="atLeast"/>
              <w:rPr>
                <w:rFonts w:ascii="宋体" w:hAnsi="宋体"/>
                <w:szCs w:val="21"/>
                <w:u w:val="single"/>
              </w:rPr>
            </w:pPr>
            <w:r>
              <w:rPr>
                <w:rFonts w:hint="eastAsia" w:ascii="宋体" w:hAnsi="宋体"/>
                <w:szCs w:val="21"/>
              </w:rPr>
              <w:t>评价内容为：</w:t>
            </w:r>
            <w:r>
              <w:rPr>
                <w:rFonts w:hint="eastAsia" w:ascii="宋体" w:hAnsi="宋体"/>
                <w:szCs w:val="21"/>
                <w:u w:val="single"/>
              </w:rPr>
              <w:t xml:space="preserve">                    </w:t>
            </w:r>
          </w:p>
          <w:p>
            <w:pPr>
              <w:spacing w:before="120" w:beforeLines="50" w:after="120" w:afterLines="50" w:line="240" w:lineRule="atLeast"/>
              <w:rPr>
                <w:rFonts w:ascii="宋体" w:hAnsi="宋体"/>
                <w:szCs w:val="21"/>
              </w:rPr>
            </w:pPr>
            <w:r>
              <w:rPr>
                <w:rFonts w:hint="eastAsia" w:ascii="宋体" w:hAnsi="宋体"/>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1" w:hRule="atLeast"/>
          <w:jc w:val="center"/>
        </w:trPr>
        <w:tc>
          <w:tcPr>
            <w:tcW w:w="1562" w:type="dxa"/>
            <w:gridSpan w:val="2"/>
            <w:vAlign w:val="center"/>
          </w:tcPr>
          <w:p>
            <w:pPr>
              <w:spacing w:line="240" w:lineRule="atLeast"/>
              <w:jc w:val="center"/>
              <w:rPr>
                <w:rFonts w:ascii="宋体" w:hAnsi="宋体"/>
                <w:szCs w:val="21"/>
              </w:rPr>
            </w:pPr>
            <w:r>
              <w:rPr>
                <w:rFonts w:hint="eastAsia" w:ascii="宋体" w:hAnsi="宋体"/>
                <w:szCs w:val="21"/>
              </w:rPr>
              <w:t>具体情况说明</w:t>
            </w:r>
          </w:p>
        </w:tc>
        <w:tc>
          <w:tcPr>
            <w:tcW w:w="7355" w:type="dxa"/>
            <w:gridSpan w:val="4"/>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10" w:hRule="atLeast"/>
          <w:jc w:val="center"/>
        </w:trPr>
        <w:tc>
          <w:tcPr>
            <w:tcW w:w="1562" w:type="dxa"/>
            <w:gridSpan w:val="2"/>
            <w:vAlign w:val="center"/>
          </w:tcPr>
          <w:p>
            <w:pPr>
              <w:spacing w:line="240" w:lineRule="atLeast"/>
              <w:jc w:val="center"/>
              <w:rPr>
                <w:rFonts w:ascii="宋体" w:hAnsi="宋体"/>
                <w:szCs w:val="21"/>
              </w:rPr>
            </w:pPr>
            <w:r>
              <w:rPr>
                <w:rFonts w:hint="eastAsia" w:ascii="宋体" w:hAnsi="宋体"/>
                <w:szCs w:val="21"/>
              </w:rPr>
              <w:t>采购人意见</w:t>
            </w:r>
          </w:p>
          <w:p>
            <w:pPr>
              <w:spacing w:line="240" w:lineRule="atLeast"/>
              <w:jc w:val="center"/>
              <w:rPr>
                <w:rFonts w:ascii="宋体" w:hAnsi="宋体"/>
                <w:szCs w:val="21"/>
              </w:rPr>
            </w:pPr>
            <w:r>
              <w:rPr>
                <w:rFonts w:hint="eastAsia" w:ascii="宋体" w:hAnsi="宋体"/>
                <w:szCs w:val="21"/>
              </w:rPr>
              <w:t>（公章）</w:t>
            </w:r>
          </w:p>
        </w:tc>
        <w:tc>
          <w:tcPr>
            <w:tcW w:w="7355" w:type="dxa"/>
            <w:gridSpan w:val="4"/>
            <w:vAlign w:val="center"/>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r>
              <w:rPr>
                <w:rFonts w:hint="eastAsia" w:ascii="宋体" w:hAnsi="宋体"/>
                <w:szCs w:val="21"/>
              </w:rPr>
              <w:t xml:space="preserve">                                        </w:t>
            </w:r>
          </w:p>
          <w:p>
            <w:pPr>
              <w:spacing w:line="240" w:lineRule="atLeast"/>
              <w:ind w:firstLine="3780" w:firstLineChars="1800"/>
              <w:rPr>
                <w:rFonts w:ascii="宋体" w:hAnsi="宋体"/>
                <w:szCs w:val="21"/>
              </w:rPr>
            </w:pPr>
          </w:p>
          <w:p>
            <w:pPr>
              <w:spacing w:line="240" w:lineRule="atLeast"/>
              <w:ind w:firstLine="3780" w:firstLineChars="1800"/>
              <w:rPr>
                <w:rFonts w:ascii="宋体" w:hAnsi="宋体"/>
                <w:szCs w:val="21"/>
              </w:rPr>
            </w:pPr>
            <w:r>
              <w:rPr>
                <w:rFonts w:hint="eastAsia" w:ascii="宋体" w:hAnsi="宋体"/>
                <w:szCs w:val="21"/>
              </w:rPr>
              <w:t>日期：   年   月   日</w:t>
            </w:r>
          </w:p>
        </w:tc>
      </w:tr>
    </w:tbl>
    <w:p>
      <w:pPr>
        <w:spacing w:line="240" w:lineRule="atLeast"/>
        <w:rPr>
          <w:rFonts w:ascii="宋体" w:hAnsi="宋体"/>
          <w:szCs w:val="21"/>
        </w:rPr>
      </w:pPr>
      <w:r>
        <w:rPr>
          <w:rFonts w:hint="eastAsia" w:ascii="宋体" w:hAnsi="宋体"/>
          <w:szCs w:val="21"/>
        </w:rPr>
        <w:t>说明：</w:t>
      </w:r>
    </w:p>
    <w:p>
      <w:pPr>
        <w:spacing w:line="240" w:lineRule="atLeast"/>
        <w:rPr>
          <w:rFonts w:ascii="宋体" w:hAnsi="宋体"/>
          <w:szCs w:val="21"/>
        </w:rPr>
      </w:pPr>
      <w:r>
        <w:rPr>
          <w:rFonts w:hint="eastAsia" w:ascii="宋体" w:hAnsi="宋体"/>
          <w:szCs w:val="21"/>
        </w:rPr>
        <w:t>1、本表为采购人向深圳市政府采购中心反映政府采购项目履约情况时所用；</w:t>
      </w:r>
    </w:p>
    <w:p>
      <w:pPr>
        <w:spacing w:line="240" w:lineRule="atLeast"/>
        <w:rPr>
          <w:rFonts w:ascii="宋体" w:hAnsi="宋体"/>
          <w:szCs w:val="21"/>
        </w:rPr>
      </w:pPr>
      <w:r>
        <w:rPr>
          <w:rFonts w:hint="eastAsia" w:ascii="宋体" w:hAnsi="宋体"/>
          <w:szCs w:val="21"/>
        </w:rPr>
        <w:t>2、履约情况评价分为优、良、中、差四个等级，请在对应的框前打“√”，然后在“具体情况说明”一栏详细说明有关情况。</w:t>
      </w:r>
    </w:p>
    <w:sectPr>
      <w:headerReference r:id="rId3" w:type="first"/>
      <w:footerReference r:id="rId4" w:type="default"/>
      <w:footerReference r:id="rId5"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新宋体">
    <w:panose1 w:val="02010609030101010101"/>
    <w:charset w:val="86"/>
    <w:family w:val="modern"/>
    <w:pitch w:val="default"/>
    <w:sig w:usb0="00000283" w:usb1="288F0000" w:usb2="00000006" w:usb3="00000000" w:csb0="00040001" w:csb1="00000000"/>
  </w:font>
  <w:font w:name="inheri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t xml:space="preserve">- </w:t>
    </w:r>
    <w:r>
      <w:fldChar w:fldCharType="begin"/>
    </w:r>
    <w:r>
      <w:instrText xml:space="preserve"> PAGE </w:instrText>
    </w:r>
    <w:r>
      <w:fldChar w:fldCharType="separate"/>
    </w:r>
    <w:r>
      <w:t>5</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rPr>
        <w:rStyle w:val="48"/>
      </w:rPr>
      <w:fldChar w:fldCharType="begin"/>
    </w:r>
    <w:r>
      <w:rPr>
        <w:rStyle w:val="48"/>
      </w:rPr>
      <w:instrText xml:space="preserve">PAGE  </w:instrText>
    </w:r>
    <w:r>
      <w:rPr>
        <w:rStyle w:val="48"/>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9"/>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2">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60D20D0"/>
    <w:multiLevelType w:val="multilevel"/>
    <w:tmpl w:val="160D20D0"/>
    <w:lvl w:ilvl="0" w:tentative="0">
      <w:start w:val="1"/>
      <w:numFmt w:val="bullet"/>
      <w:pStyle w:val="75"/>
      <w:lvlText w:val=""/>
      <w:lvlJc w:val="left"/>
      <w:pPr>
        <w:tabs>
          <w:tab w:val="left" w:pos="840"/>
        </w:tabs>
        <w:ind w:left="840" w:hanging="420"/>
      </w:pPr>
      <w:rPr>
        <w:rFonts w:hint="default" w:ascii="Wingdings" w:hAnsi="Wingdings"/>
      </w:rPr>
    </w:lvl>
    <w:lvl w:ilvl="1" w:tentative="0">
      <w:start w:val="1"/>
      <w:numFmt w:val="bullet"/>
      <w:pStyle w:val="7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29347054"/>
    <w:multiLevelType w:val="multilevel"/>
    <w:tmpl w:val="2934705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F395B7B"/>
    <w:multiLevelType w:val="multilevel"/>
    <w:tmpl w:val="2F395B7B"/>
    <w:lvl w:ilvl="0" w:tentative="0">
      <w:start w:val="1"/>
      <w:numFmt w:val="bullet"/>
      <w:pStyle w:val="167"/>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6">
    <w:nsid w:val="40D2C304"/>
    <w:multiLevelType w:val="singleLevel"/>
    <w:tmpl w:val="40D2C304"/>
    <w:lvl w:ilvl="0" w:tentative="0">
      <w:start w:val="1"/>
      <w:numFmt w:val="decimal"/>
      <w:suff w:val="nothing"/>
      <w:lvlText w:val="%1、"/>
      <w:lvlJc w:val="left"/>
    </w:lvl>
  </w:abstractNum>
  <w:abstractNum w:abstractNumId="7">
    <w:nsid w:val="45882EC0"/>
    <w:multiLevelType w:val="multilevel"/>
    <w:tmpl w:val="45882E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EC17BB9"/>
    <w:multiLevelType w:val="multilevel"/>
    <w:tmpl w:val="4EC17BB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7AEF7716"/>
    <w:multiLevelType w:val="multilevel"/>
    <w:tmpl w:val="7AEF7716"/>
    <w:lvl w:ilvl="0" w:tentative="0">
      <w:start w:val="1"/>
      <w:numFmt w:val="chineseCountingThousand"/>
      <w:pStyle w:val="120"/>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9"/>
  </w:num>
  <w:num w:numId="6">
    <w:abstractNumId w:val="5"/>
  </w:num>
  <w:num w:numId="7">
    <w:abstractNumId w:val="8"/>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640"/>
    <w:rsid w:val="00012B21"/>
    <w:rsid w:val="0001300F"/>
    <w:rsid w:val="0001480D"/>
    <w:rsid w:val="00014A5C"/>
    <w:rsid w:val="00015388"/>
    <w:rsid w:val="0001716B"/>
    <w:rsid w:val="00017F81"/>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4BCF"/>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7003A"/>
    <w:rsid w:val="00070210"/>
    <w:rsid w:val="000707BF"/>
    <w:rsid w:val="00072CB4"/>
    <w:rsid w:val="000734CD"/>
    <w:rsid w:val="00074403"/>
    <w:rsid w:val="000750DC"/>
    <w:rsid w:val="0007583C"/>
    <w:rsid w:val="00075E26"/>
    <w:rsid w:val="00076057"/>
    <w:rsid w:val="000770EC"/>
    <w:rsid w:val="00080613"/>
    <w:rsid w:val="00082667"/>
    <w:rsid w:val="00082AD2"/>
    <w:rsid w:val="00083DC6"/>
    <w:rsid w:val="00084857"/>
    <w:rsid w:val="000850AF"/>
    <w:rsid w:val="000852EB"/>
    <w:rsid w:val="000869D8"/>
    <w:rsid w:val="00086CA6"/>
    <w:rsid w:val="00090213"/>
    <w:rsid w:val="00092FC7"/>
    <w:rsid w:val="00093133"/>
    <w:rsid w:val="0009395E"/>
    <w:rsid w:val="000954D5"/>
    <w:rsid w:val="00095723"/>
    <w:rsid w:val="00095A74"/>
    <w:rsid w:val="0009618D"/>
    <w:rsid w:val="0009709B"/>
    <w:rsid w:val="000975E3"/>
    <w:rsid w:val="000A1DD1"/>
    <w:rsid w:val="000A21A5"/>
    <w:rsid w:val="000A30F3"/>
    <w:rsid w:val="000A3908"/>
    <w:rsid w:val="000A4C29"/>
    <w:rsid w:val="000A6E2B"/>
    <w:rsid w:val="000A79D3"/>
    <w:rsid w:val="000B05E2"/>
    <w:rsid w:val="000B2568"/>
    <w:rsid w:val="000B41BB"/>
    <w:rsid w:val="000B5357"/>
    <w:rsid w:val="000B597F"/>
    <w:rsid w:val="000B634D"/>
    <w:rsid w:val="000B7465"/>
    <w:rsid w:val="000C14CB"/>
    <w:rsid w:val="000C18BC"/>
    <w:rsid w:val="000C1EE4"/>
    <w:rsid w:val="000C1FF9"/>
    <w:rsid w:val="000C4151"/>
    <w:rsid w:val="000C4425"/>
    <w:rsid w:val="000C4B12"/>
    <w:rsid w:val="000C5FA7"/>
    <w:rsid w:val="000C7E71"/>
    <w:rsid w:val="000D16AA"/>
    <w:rsid w:val="000D1A7D"/>
    <w:rsid w:val="000D2309"/>
    <w:rsid w:val="000D2CCA"/>
    <w:rsid w:val="000D366B"/>
    <w:rsid w:val="000D38F9"/>
    <w:rsid w:val="000D5D6B"/>
    <w:rsid w:val="000D7A20"/>
    <w:rsid w:val="000E161C"/>
    <w:rsid w:val="000E2C39"/>
    <w:rsid w:val="000E355C"/>
    <w:rsid w:val="000E4445"/>
    <w:rsid w:val="000E470B"/>
    <w:rsid w:val="000E4DE8"/>
    <w:rsid w:val="000E50F5"/>
    <w:rsid w:val="000E5E99"/>
    <w:rsid w:val="000E6A66"/>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91B"/>
    <w:rsid w:val="00102B4B"/>
    <w:rsid w:val="00103AB9"/>
    <w:rsid w:val="00103E80"/>
    <w:rsid w:val="00107187"/>
    <w:rsid w:val="00107272"/>
    <w:rsid w:val="00107D54"/>
    <w:rsid w:val="00110383"/>
    <w:rsid w:val="00110B62"/>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1FC"/>
    <w:rsid w:val="001306FE"/>
    <w:rsid w:val="00130827"/>
    <w:rsid w:val="001308A2"/>
    <w:rsid w:val="00131140"/>
    <w:rsid w:val="0013281E"/>
    <w:rsid w:val="00132FD3"/>
    <w:rsid w:val="001339CF"/>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3CCF"/>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77753"/>
    <w:rsid w:val="00181A71"/>
    <w:rsid w:val="00182329"/>
    <w:rsid w:val="0018261B"/>
    <w:rsid w:val="001834A7"/>
    <w:rsid w:val="0018373B"/>
    <w:rsid w:val="00183C79"/>
    <w:rsid w:val="00183C8B"/>
    <w:rsid w:val="00183E75"/>
    <w:rsid w:val="001845CF"/>
    <w:rsid w:val="001846C2"/>
    <w:rsid w:val="001865BB"/>
    <w:rsid w:val="00187518"/>
    <w:rsid w:val="00187743"/>
    <w:rsid w:val="0019096C"/>
    <w:rsid w:val="00191EA7"/>
    <w:rsid w:val="00192164"/>
    <w:rsid w:val="00192883"/>
    <w:rsid w:val="00194C98"/>
    <w:rsid w:val="00194FB7"/>
    <w:rsid w:val="00195D28"/>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6FAD"/>
    <w:rsid w:val="001C04B2"/>
    <w:rsid w:val="001C14C1"/>
    <w:rsid w:val="001C1FDE"/>
    <w:rsid w:val="001C2063"/>
    <w:rsid w:val="001C21E1"/>
    <w:rsid w:val="001C3426"/>
    <w:rsid w:val="001C4768"/>
    <w:rsid w:val="001C5839"/>
    <w:rsid w:val="001C6AF6"/>
    <w:rsid w:val="001C7129"/>
    <w:rsid w:val="001C77E1"/>
    <w:rsid w:val="001C7ADA"/>
    <w:rsid w:val="001C7B48"/>
    <w:rsid w:val="001D121D"/>
    <w:rsid w:val="001D3543"/>
    <w:rsid w:val="001D4151"/>
    <w:rsid w:val="001D58E5"/>
    <w:rsid w:val="001D7299"/>
    <w:rsid w:val="001E0FAB"/>
    <w:rsid w:val="001E2084"/>
    <w:rsid w:val="001E2502"/>
    <w:rsid w:val="001E292F"/>
    <w:rsid w:val="001E351C"/>
    <w:rsid w:val="001E474D"/>
    <w:rsid w:val="001E5194"/>
    <w:rsid w:val="001E5A81"/>
    <w:rsid w:val="001E62FB"/>
    <w:rsid w:val="001E6A0B"/>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2000B8"/>
    <w:rsid w:val="002005CD"/>
    <w:rsid w:val="00200B4C"/>
    <w:rsid w:val="00202F46"/>
    <w:rsid w:val="00203267"/>
    <w:rsid w:val="00203897"/>
    <w:rsid w:val="0020391D"/>
    <w:rsid w:val="00205F9C"/>
    <w:rsid w:val="002060F7"/>
    <w:rsid w:val="00207BC6"/>
    <w:rsid w:val="00210771"/>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27DF"/>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70B4E"/>
    <w:rsid w:val="00271500"/>
    <w:rsid w:val="00272E57"/>
    <w:rsid w:val="00274663"/>
    <w:rsid w:val="00275641"/>
    <w:rsid w:val="0027569A"/>
    <w:rsid w:val="002767D9"/>
    <w:rsid w:val="00280382"/>
    <w:rsid w:val="00280F4B"/>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60D"/>
    <w:rsid w:val="002B7969"/>
    <w:rsid w:val="002C0031"/>
    <w:rsid w:val="002C0485"/>
    <w:rsid w:val="002C0762"/>
    <w:rsid w:val="002C257A"/>
    <w:rsid w:val="002C2BEC"/>
    <w:rsid w:val="002C30C0"/>
    <w:rsid w:val="002C4F4B"/>
    <w:rsid w:val="002C6EC0"/>
    <w:rsid w:val="002C7258"/>
    <w:rsid w:val="002D0356"/>
    <w:rsid w:val="002D07C0"/>
    <w:rsid w:val="002D0F98"/>
    <w:rsid w:val="002D1DFB"/>
    <w:rsid w:val="002D45BF"/>
    <w:rsid w:val="002D4A85"/>
    <w:rsid w:val="002D6162"/>
    <w:rsid w:val="002D64DF"/>
    <w:rsid w:val="002D750A"/>
    <w:rsid w:val="002E242E"/>
    <w:rsid w:val="002E2FEC"/>
    <w:rsid w:val="002E38DB"/>
    <w:rsid w:val="002E3BEB"/>
    <w:rsid w:val="002E441D"/>
    <w:rsid w:val="002E4AB1"/>
    <w:rsid w:val="002E4F8A"/>
    <w:rsid w:val="002E505D"/>
    <w:rsid w:val="002E6F69"/>
    <w:rsid w:val="002E7296"/>
    <w:rsid w:val="002E73B8"/>
    <w:rsid w:val="002F0823"/>
    <w:rsid w:val="002F2471"/>
    <w:rsid w:val="002F2B7A"/>
    <w:rsid w:val="002F3105"/>
    <w:rsid w:val="002F5E6C"/>
    <w:rsid w:val="002F72FF"/>
    <w:rsid w:val="00300BF3"/>
    <w:rsid w:val="0030143F"/>
    <w:rsid w:val="00301A2B"/>
    <w:rsid w:val="00301BCD"/>
    <w:rsid w:val="00303ACF"/>
    <w:rsid w:val="0030463E"/>
    <w:rsid w:val="00304ED6"/>
    <w:rsid w:val="00306654"/>
    <w:rsid w:val="00306D5D"/>
    <w:rsid w:val="00306FF4"/>
    <w:rsid w:val="00310EE1"/>
    <w:rsid w:val="003122B0"/>
    <w:rsid w:val="00312390"/>
    <w:rsid w:val="00313487"/>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F6C"/>
    <w:rsid w:val="00380094"/>
    <w:rsid w:val="00380256"/>
    <w:rsid w:val="0038165D"/>
    <w:rsid w:val="00383071"/>
    <w:rsid w:val="00385175"/>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DC3"/>
    <w:rsid w:val="003A1CF5"/>
    <w:rsid w:val="003A2812"/>
    <w:rsid w:val="003A2D0C"/>
    <w:rsid w:val="003A3304"/>
    <w:rsid w:val="003A3551"/>
    <w:rsid w:val="003A38F0"/>
    <w:rsid w:val="003A443D"/>
    <w:rsid w:val="003A4DE4"/>
    <w:rsid w:val="003A6A5A"/>
    <w:rsid w:val="003A72E9"/>
    <w:rsid w:val="003B175A"/>
    <w:rsid w:val="003B3231"/>
    <w:rsid w:val="003B357A"/>
    <w:rsid w:val="003B499C"/>
    <w:rsid w:val="003B4CCD"/>
    <w:rsid w:val="003B53D4"/>
    <w:rsid w:val="003B56D7"/>
    <w:rsid w:val="003B5C43"/>
    <w:rsid w:val="003B7298"/>
    <w:rsid w:val="003C0FF8"/>
    <w:rsid w:val="003C1D0C"/>
    <w:rsid w:val="003C4FD5"/>
    <w:rsid w:val="003C582B"/>
    <w:rsid w:val="003C6BFF"/>
    <w:rsid w:val="003D2333"/>
    <w:rsid w:val="003D3241"/>
    <w:rsid w:val="003D39AE"/>
    <w:rsid w:val="003D4804"/>
    <w:rsid w:val="003D5413"/>
    <w:rsid w:val="003D7685"/>
    <w:rsid w:val="003D7E9A"/>
    <w:rsid w:val="003E0366"/>
    <w:rsid w:val="003E10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781"/>
    <w:rsid w:val="00416485"/>
    <w:rsid w:val="00416F40"/>
    <w:rsid w:val="00417769"/>
    <w:rsid w:val="00417F0D"/>
    <w:rsid w:val="00421EF2"/>
    <w:rsid w:val="00422668"/>
    <w:rsid w:val="00424946"/>
    <w:rsid w:val="0042602D"/>
    <w:rsid w:val="004261DA"/>
    <w:rsid w:val="00427004"/>
    <w:rsid w:val="00431AC1"/>
    <w:rsid w:val="00431DE1"/>
    <w:rsid w:val="004329C9"/>
    <w:rsid w:val="00432CD5"/>
    <w:rsid w:val="00432EF0"/>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6553"/>
    <w:rsid w:val="00446A92"/>
    <w:rsid w:val="004501B4"/>
    <w:rsid w:val="0045082F"/>
    <w:rsid w:val="00450C00"/>
    <w:rsid w:val="0045135E"/>
    <w:rsid w:val="00452434"/>
    <w:rsid w:val="00452C53"/>
    <w:rsid w:val="004539C7"/>
    <w:rsid w:val="00454597"/>
    <w:rsid w:val="004548E6"/>
    <w:rsid w:val="0045543A"/>
    <w:rsid w:val="0045543C"/>
    <w:rsid w:val="004556FB"/>
    <w:rsid w:val="00455880"/>
    <w:rsid w:val="004561F9"/>
    <w:rsid w:val="0045637C"/>
    <w:rsid w:val="004569A3"/>
    <w:rsid w:val="004578ED"/>
    <w:rsid w:val="0046064C"/>
    <w:rsid w:val="004611B6"/>
    <w:rsid w:val="00461997"/>
    <w:rsid w:val="00463F8B"/>
    <w:rsid w:val="004649AD"/>
    <w:rsid w:val="004650E7"/>
    <w:rsid w:val="0046687B"/>
    <w:rsid w:val="00466CB4"/>
    <w:rsid w:val="00470418"/>
    <w:rsid w:val="004704EA"/>
    <w:rsid w:val="0047071D"/>
    <w:rsid w:val="004727C4"/>
    <w:rsid w:val="00472F62"/>
    <w:rsid w:val="00473579"/>
    <w:rsid w:val="00473E50"/>
    <w:rsid w:val="00474E5A"/>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1AB1"/>
    <w:rsid w:val="004A2013"/>
    <w:rsid w:val="004A201B"/>
    <w:rsid w:val="004A2B7A"/>
    <w:rsid w:val="004A3EB3"/>
    <w:rsid w:val="004A4377"/>
    <w:rsid w:val="004A57EB"/>
    <w:rsid w:val="004A5824"/>
    <w:rsid w:val="004A59D3"/>
    <w:rsid w:val="004A6D7C"/>
    <w:rsid w:val="004A6F11"/>
    <w:rsid w:val="004A74DD"/>
    <w:rsid w:val="004B00D1"/>
    <w:rsid w:val="004B0B57"/>
    <w:rsid w:val="004B0BBE"/>
    <w:rsid w:val="004B1246"/>
    <w:rsid w:val="004B1CAB"/>
    <w:rsid w:val="004B2FF9"/>
    <w:rsid w:val="004B3506"/>
    <w:rsid w:val="004B36ED"/>
    <w:rsid w:val="004B40DB"/>
    <w:rsid w:val="004B4EF6"/>
    <w:rsid w:val="004B612E"/>
    <w:rsid w:val="004B623B"/>
    <w:rsid w:val="004B6554"/>
    <w:rsid w:val="004B6B22"/>
    <w:rsid w:val="004B6C50"/>
    <w:rsid w:val="004C0DA0"/>
    <w:rsid w:val="004C3E02"/>
    <w:rsid w:val="004C422D"/>
    <w:rsid w:val="004C4CEB"/>
    <w:rsid w:val="004C5CBA"/>
    <w:rsid w:val="004C64F7"/>
    <w:rsid w:val="004C6C09"/>
    <w:rsid w:val="004C6EA3"/>
    <w:rsid w:val="004D000F"/>
    <w:rsid w:val="004D055D"/>
    <w:rsid w:val="004D1240"/>
    <w:rsid w:val="004D3E71"/>
    <w:rsid w:val="004D49EE"/>
    <w:rsid w:val="004D4AE0"/>
    <w:rsid w:val="004D4C0B"/>
    <w:rsid w:val="004D69FC"/>
    <w:rsid w:val="004D72BA"/>
    <w:rsid w:val="004D77BD"/>
    <w:rsid w:val="004D77DE"/>
    <w:rsid w:val="004D7BF4"/>
    <w:rsid w:val="004D7C92"/>
    <w:rsid w:val="004E295C"/>
    <w:rsid w:val="004E38B2"/>
    <w:rsid w:val="004E3936"/>
    <w:rsid w:val="004E490B"/>
    <w:rsid w:val="004E57F7"/>
    <w:rsid w:val="004E5D9C"/>
    <w:rsid w:val="004E6707"/>
    <w:rsid w:val="004E6B8E"/>
    <w:rsid w:val="004F0543"/>
    <w:rsid w:val="004F0D33"/>
    <w:rsid w:val="004F2385"/>
    <w:rsid w:val="004F246C"/>
    <w:rsid w:val="004F3A97"/>
    <w:rsid w:val="004F5591"/>
    <w:rsid w:val="004F5D14"/>
    <w:rsid w:val="004F68DC"/>
    <w:rsid w:val="00500F7A"/>
    <w:rsid w:val="005012AD"/>
    <w:rsid w:val="005016E5"/>
    <w:rsid w:val="00501A56"/>
    <w:rsid w:val="00502317"/>
    <w:rsid w:val="005027BB"/>
    <w:rsid w:val="00503415"/>
    <w:rsid w:val="005037E1"/>
    <w:rsid w:val="00503B5C"/>
    <w:rsid w:val="0050456A"/>
    <w:rsid w:val="005068E1"/>
    <w:rsid w:val="005070B6"/>
    <w:rsid w:val="005077C5"/>
    <w:rsid w:val="00510B80"/>
    <w:rsid w:val="0051168A"/>
    <w:rsid w:val="005117D2"/>
    <w:rsid w:val="005118A6"/>
    <w:rsid w:val="005122F4"/>
    <w:rsid w:val="0051405F"/>
    <w:rsid w:val="0051444F"/>
    <w:rsid w:val="005156A6"/>
    <w:rsid w:val="00516393"/>
    <w:rsid w:val="00516669"/>
    <w:rsid w:val="005179A5"/>
    <w:rsid w:val="00520B4F"/>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B19"/>
    <w:rsid w:val="00547404"/>
    <w:rsid w:val="0055035F"/>
    <w:rsid w:val="005507FD"/>
    <w:rsid w:val="005511C0"/>
    <w:rsid w:val="0055232C"/>
    <w:rsid w:val="0055278E"/>
    <w:rsid w:val="00555488"/>
    <w:rsid w:val="0055549A"/>
    <w:rsid w:val="00555B18"/>
    <w:rsid w:val="00555C9C"/>
    <w:rsid w:val="00556A4D"/>
    <w:rsid w:val="00557319"/>
    <w:rsid w:val="0055764E"/>
    <w:rsid w:val="00560528"/>
    <w:rsid w:val="00560699"/>
    <w:rsid w:val="00561923"/>
    <w:rsid w:val="005622F8"/>
    <w:rsid w:val="0056310A"/>
    <w:rsid w:val="0056336F"/>
    <w:rsid w:val="00565AF7"/>
    <w:rsid w:val="00566024"/>
    <w:rsid w:val="0057189C"/>
    <w:rsid w:val="00571BD2"/>
    <w:rsid w:val="00571CD7"/>
    <w:rsid w:val="00571D59"/>
    <w:rsid w:val="00572E3E"/>
    <w:rsid w:val="005737FC"/>
    <w:rsid w:val="0057420B"/>
    <w:rsid w:val="0057593B"/>
    <w:rsid w:val="005762CE"/>
    <w:rsid w:val="00580280"/>
    <w:rsid w:val="00580B9E"/>
    <w:rsid w:val="00580DAB"/>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E4"/>
    <w:rsid w:val="005907D5"/>
    <w:rsid w:val="005910C0"/>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2BD2"/>
    <w:rsid w:val="00604980"/>
    <w:rsid w:val="0060614D"/>
    <w:rsid w:val="00610871"/>
    <w:rsid w:val="00610E48"/>
    <w:rsid w:val="00610FE0"/>
    <w:rsid w:val="00613C47"/>
    <w:rsid w:val="00615086"/>
    <w:rsid w:val="00616201"/>
    <w:rsid w:val="00616225"/>
    <w:rsid w:val="0061705E"/>
    <w:rsid w:val="006176F1"/>
    <w:rsid w:val="00617914"/>
    <w:rsid w:val="00617A8B"/>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47673"/>
    <w:rsid w:val="00650F81"/>
    <w:rsid w:val="00650FC7"/>
    <w:rsid w:val="00651F86"/>
    <w:rsid w:val="0065395E"/>
    <w:rsid w:val="00653C24"/>
    <w:rsid w:val="00653D68"/>
    <w:rsid w:val="00653E4E"/>
    <w:rsid w:val="00654275"/>
    <w:rsid w:val="0065446D"/>
    <w:rsid w:val="00654891"/>
    <w:rsid w:val="00654894"/>
    <w:rsid w:val="00655104"/>
    <w:rsid w:val="00656067"/>
    <w:rsid w:val="00660693"/>
    <w:rsid w:val="006611D6"/>
    <w:rsid w:val="00661918"/>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738E"/>
    <w:rsid w:val="00677F23"/>
    <w:rsid w:val="0068055B"/>
    <w:rsid w:val="006806B9"/>
    <w:rsid w:val="00680936"/>
    <w:rsid w:val="00680D8C"/>
    <w:rsid w:val="00680D99"/>
    <w:rsid w:val="006821B2"/>
    <w:rsid w:val="00682725"/>
    <w:rsid w:val="00682A1B"/>
    <w:rsid w:val="00682D73"/>
    <w:rsid w:val="00682ED3"/>
    <w:rsid w:val="00683993"/>
    <w:rsid w:val="006846E8"/>
    <w:rsid w:val="00685EBD"/>
    <w:rsid w:val="006861C3"/>
    <w:rsid w:val="00686AF3"/>
    <w:rsid w:val="00690F1F"/>
    <w:rsid w:val="006915BD"/>
    <w:rsid w:val="00692582"/>
    <w:rsid w:val="00692592"/>
    <w:rsid w:val="00692A2F"/>
    <w:rsid w:val="0069322C"/>
    <w:rsid w:val="00693652"/>
    <w:rsid w:val="006939E7"/>
    <w:rsid w:val="00693D3E"/>
    <w:rsid w:val="006942F7"/>
    <w:rsid w:val="006956FB"/>
    <w:rsid w:val="00697D85"/>
    <w:rsid w:val="006A1A71"/>
    <w:rsid w:val="006A1D3D"/>
    <w:rsid w:val="006A2150"/>
    <w:rsid w:val="006A2216"/>
    <w:rsid w:val="006A241D"/>
    <w:rsid w:val="006A3288"/>
    <w:rsid w:val="006A43E6"/>
    <w:rsid w:val="006A4AEE"/>
    <w:rsid w:val="006A6450"/>
    <w:rsid w:val="006A70BE"/>
    <w:rsid w:val="006A7934"/>
    <w:rsid w:val="006B0001"/>
    <w:rsid w:val="006B054B"/>
    <w:rsid w:val="006B059F"/>
    <w:rsid w:val="006B2048"/>
    <w:rsid w:val="006B2AD6"/>
    <w:rsid w:val="006B342E"/>
    <w:rsid w:val="006B3812"/>
    <w:rsid w:val="006B3B80"/>
    <w:rsid w:val="006B6EF0"/>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386A"/>
    <w:rsid w:val="006D4242"/>
    <w:rsid w:val="006D45F0"/>
    <w:rsid w:val="006D4C8F"/>
    <w:rsid w:val="006D52A0"/>
    <w:rsid w:val="006D57CB"/>
    <w:rsid w:val="006D5819"/>
    <w:rsid w:val="006D5E6F"/>
    <w:rsid w:val="006D693F"/>
    <w:rsid w:val="006D6CDD"/>
    <w:rsid w:val="006D7604"/>
    <w:rsid w:val="006D765E"/>
    <w:rsid w:val="006D76CB"/>
    <w:rsid w:val="006E0455"/>
    <w:rsid w:val="006E4238"/>
    <w:rsid w:val="006E4551"/>
    <w:rsid w:val="006E5F01"/>
    <w:rsid w:val="006E7404"/>
    <w:rsid w:val="006E7B97"/>
    <w:rsid w:val="006F05B9"/>
    <w:rsid w:val="006F1EA3"/>
    <w:rsid w:val="006F2627"/>
    <w:rsid w:val="006F3187"/>
    <w:rsid w:val="006F3568"/>
    <w:rsid w:val="006F40AD"/>
    <w:rsid w:val="006F53EB"/>
    <w:rsid w:val="006F6360"/>
    <w:rsid w:val="006F6436"/>
    <w:rsid w:val="006F65C5"/>
    <w:rsid w:val="006F687A"/>
    <w:rsid w:val="006F68EF"/>
    <w:rsid w:val="006F6D4C"/>
    <w:rsid w:val="006F6E67"/>
    <w:rsid w:val="006F7157"/>
    <w:rsid w:val="006F78E0"/>
    <w:rsid w:val="007023EA"/>
    <w:rsid w:val="00702B1B"/>
    <w:rsid w:val="007032B3"/>
    <w:rsid w:val="00704164"/>
    <w:rsid w:val="007063BD"/>
    <w:rsid w:val="00706A58"/>
    <w:rsid w:val="00707517"/>
    <w:rsid w:val="007078ED"/>
    <w:rsid w:val="00710187"/>
    <w:rsid w:val="007110E1"/>
    <w:rsid w:val="00711B18"/>
    <w:rsid w:val="007126D1"/>
    <w:rsid w:val="00714394"/>
    <w:rsid w:val="00714ED6"/>
    <w:rsid w:val="00715E8D"/>
    <w:rsid w:val="00721C26"/>
    <w:rsid w:val="00721F7E"/>
    <w:rsid w:val="00722E29"/>
    <w:rsid w:val="00723ECB"/>
    <w:rsid w:val="00724606"/>
    <w:rsid w:val="00724A36"/>
    <w:rsid w:val="00724A60"/>
    <w:rsid w:val="00724E85"/>
    <w:rsid w:val="0072525D"/>
    <w:rsid w:val="00726E8A"/>
    <w:rsid w:val="00727047"/>
    <w:rsid w:val="00727A0E"/>
    <w:rsid w:val="00734510"/>
    <w:rsid w:val="00734887"/>
    <w:rsid w:val="007365B6"/>
    <w:rsid w:val="00737394"/>
    <w:rsid w:val="007401E2"/>
    <w:rsid w:val="00740205"/>
    <w:rsid w:val="007411E5"/>
    <w:rsid w:val="00741605"/>
    <w:rsid w:val="00742788"/>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61434"/>
    <w:rsid w:val="00761FD5"/>
    <w:rsid w:val="00762BB6"/>
    <w:rsid w:val="0076341D"/>
    <w:rsid w:val="0076446D"/>
    <w:rsid w:val="007647EF"/>
    <w:rsid w:val="00765DD8"/>
    <w:rsid w:val="00766B33"/>
    <w:rsid w:val="00766D36"/>
    <w:rsid w:val="00767607"/>
    <w:rsid w:val="00767ACD"/>
    <w:rsid w:val="007705B5"/>
    <w:rsid w:val="0077270D"/>
    <w:rsid w:val="00773874"/>
    <w:rsid w:val="0077393B"/>
    <w:rsid w:val="00775D3B"/>
    <w:rsid w:val="0077615A"/>
    <w:rsid w:val="007806A0"/>
    <w:rsid w:val="00782346"/>
    <w:rsid w:val="007838CD"/>
    <w:rsid w:val="007840F3"/>
    <w:rsid w:val="007849BE"/>
    <w:rsid w:val="00785491"/>
    <w:rsid w:val="007858C0"/>
    <w:rsid w:val="0078679A"/>
    <w:rsid w:val="007871FE"/>
    <w:rsid w:val="00787C89"/>
    <w:rsid w:val="007908ED"/>
    <w:rsid w:val="00790F74"/>
    <w:rsid w:val="00792288"/>
    <w:rsid w:val="00792447"/>
    <w:rsid w:val="007928C6"/>
    <w:rsid w:val="00792E73"/>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800D05"/>
    <w:rsid w:val="00801D7A"/>
    <w:rsid w:val="008020F2"/>
    <w:rsid w:val="00803F74"/>
    <w:rsid w:val="00804653"/>
    <w:rsid w:val="00804C48"/>
    <w:rsid w:val="0080505A"/>
    <w:rsid w:val="008060B3"/>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577"/>
    <w:rsid w:val="008349A6"/>
    <w:rsid w:val="00835271"/>
    <w:rsid w:val="00835679"/>
    <w:rsid w:val="008377DA"/>
    <w:rsid w:val="00841F21"/>
    <w:rsid w:val="00842991"/>
    <w:rsid w:val="008429B0"/>
    <w:rsid w:val="00843900"/>
    <w:rsid w:val="00844C5B"/>
    <w:rsid w:val="00845A15"/>
    <w:rsid w:val="0084632F"/>
    <w:rsid w:val="008474A9"/>
    <w:rsid w:val="00851180"/>
    <w:rsid w:val="00852528"/>
    <w:rsid w:val="008543F7"/>
    <w:rsid w:val="008545DC"/>
    <w:rsid w:val="00854A7E"/>
    <w:rsid w:val="00855B06"/>
    <w:rsid w:val="00856B95"/>
    <w:rsid w:val="00856D1A"/>
    <w:rsid w:val="00857D29"/>
    <w:rsid w:val="0086161C"/>
    <w:rsid w:val="008617AF"/>
    <w:rsid w:val="00861DB0"/>
    <w:rsid w:val="00861E83"/>
    <w:rsid w:val="0086225C"/>
    <w:rsid w:val="008629A8"/>
    <w:rsid w:val="00863225"/>
    <w:rsid w:val="00863ADA"/>
    <w:rsid w:val="00865BAA"/>
    <w:rsid w:val="008677CB"/>
    <w:rsid w:val="0087056E"/>
    <w:rsid w:val="00870CB6"/>
    <w:rsid w:val="008737AE"/>
    <w:rsid w:val="00873FEA"/>
    <w:rsid w:val="0087419B"/>
    <w:rsid w:val="008744CC"/>
    <w:rsid w:val="00874592"/>
    <w:rsid w:val="008751C1"/>
    <w:rsid w:val="00876C1B"/>
    <w:rsid w:val="00876E70"/>
    <w:rsid w:val="008804E1"/>
    <w:rsid w:val="008815B6"/>
    <w:rsid w:val="008818F6"/>
    <w:rsid w:val="00881D45"/>
    <w:rsid w:val="0088398E"/>
    <w:rsid w:val="00885182"/>
    <w:rsid w:val="008858B7"/>
    <w:rsid w:val="0088647E"/>
    <w:rsid w:val="00886D52"/>
    <w:rsid w:val="00887215"/>
    <w:rsid w:val="00887E02"/>
    <w:rsid w:val="00890382"/>
    <w:rsid w:val="0089046A"/>
    <w:rsid w:val="00891106"/>
    <w:rsid w:val="00892833"/>
    <w:rsid w:val="00893479"/>
    <w:rsid w:val="0089375D"/>
    <w:rsid w:val="008943CB"/>
    <w:rsid w:val="008946B9"/>
    <w:rsid w:val="008A0882"/>
    <w:rsid w:val="008A10C1"/>
    <w:rsid w:val="008A181A"/>
    <w:rsid w:val="008A183F"/>
    <w:rsid w:val="008A1C47"/>
    <w:rsid w:val="008A2289"/>
    <w:rsid w:val="008A3766"/>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E17"/>
    <w:rsid w:val="008E5337"/>
    <w:rsid w:val="008E610D"/>
    <w:rsid w:val="008E69A2"/>
    <w:rsid w:val="008E78F2"/>
    <w:rsid w:val="008E7B12"/>
    <w:rsid w:val="008F022C"/>
    <w:rsid w:val="008F152D"/>
    <w:rsid w:val="008F2A60"/>
    <w:rsid w:val="008F310D"/>
    <w:rsid w:val="008F3888"/>
    <w:rsid w:val="008F3B22"/>
    <w:rsid w:val="008F43C7"/>
    <w:rsid w:val="008F4823"/>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75A4"/>
    <w:rsid w:val="009101AF"/>
    <w:rsid w:val="00911808"/>
    <w:rsid w:val="009145FB"/>
    <w:rsid w:val="0091555E"/>
    <w:rsid w:val="00915786"/>
    <w:rsid w:val="0091746C"/>
    <w:rsid w:val="00917816"/>
    <w:rsid w:val="00917D06"/>
    <w:rsid w:val="009207DB"/>
    <w:rsid w:val="00922024"/>
    <w:rsid w:val="009222A3"/>
    <w:rsid w:val="00922D24"/>
    <w:rsid w:val="00924853"/>
    <w:rsid w:val="009252E0"/>
    <w:rsid w:val="00925501"/>
    <w:rsid w:val="00926982"/>
    <w:rsid w:val="00926D4C"/>
    <w:rsid w:val="009270C4"/>
    <w:rsid w:val="0093083B"/>
    <w:rsid w:val="0093092B"/>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18E9"/>
    <w:rsid w:val="009734B8"/>
    <w:rsid w:val="00973514"/>
    <w:rsid w:val="009741E7"/>
    <w:rsid w:val="00975C75"/>
    <w:rsid w:val="00977506"/>
    <w:rsid w:val="00977DFD"/>
    <w:rsid w:val="0098177A"/>
    <w:rsid w:val="00983583"/>
    <w:rsid w:val="00983EFD"/>
    <w:rsid w:val="009855B0"/>
    <w:rsid w:val="009859A8"/>
    <w:rsid w:val="00986257"/>
    <w:rsid w:val="0098658A"/>
    <w:rsid w:val="00986861"/>
    <w:rsid w:val="00987CBC"/>
    <w:rsid w:val="00991EB0"/>
    <w:rsid w:val="0099212B"/>
    <w:rsid w:val="0099245F"/>
    <w:rsid w:val="00995768"/>
    <w:rsid w:val="00995F21"/>
    <w:rsid w:val="00996203"/>
    <w:rsid w:val="00996326"/>
    <w:rsid w:val="00996F95"/>
    <w:rsid w:val="00997B35"/>
    <w:rsid w:val="00997EA5"/>
    <w:rsid w:val="009A07D5"/>
    <w:rsid w:val="009A1FE7"/>
    <w:rsid w:val="009A2967"/>
    <w:rsid w:val="009A36B7"/>
    <w:rsid w:val="009A3720"/>
    <w:rsid w:val="009A392B"/>
    <w:rsid w:val="009A42CF"/>
    <w:rsid w:val="009A44E8"/>
    <w:rsid w:val="009A581E"/>
    <w:rsid w:val="009B1DA5"/>
    <w:rsid w:val="009B1E1D"/>
    <w:rsid w:val="009B28FD"/>
    <w:rsid w:val="009B2AD6"/>
    <w:rsid w:val="009B3172"/>
    <w:rsid w:val="009B461D"/>
    <w:rsid w:val="009B4F1F"/>
    <w:rsid w:val="009B5594"/>
    <w:rsid w:val="009B59ED"/>
    <w:rsid w:val="009B6405"/>
    <w:rsid w:val="009B729E"/>
    <w:rsid w:val="009B7498"/>
    <w:rsid w:val="009C264B"/>
    <w:rsid w:val="009C34F1"/>
    <w:rsid w:val="009C3B80"/>
    <w:rsid w:val="009C3D84"/>
    <w:rsid w:val="009C48C6"/>
    <w:rsid w:val="009C5D76"/>
    <w:rsid w:val="009C5DFB"/>
    <w:rsid w:val="009C5FDE"/>
    <w:rsid w:val="009C7B1D"/>
    <w:rsid w:val="009C7F10"/>
    <w:rsid w:val="009C7FF8"/>
    <w:rsid w:val="009D03F1"/>
    <w:rsid w:val="009D0921"/>
    <w:rsid w:val="009D101B"/>
    <w:rsid w:val="009D118E"/>
    <w:rsid w:val="009D1CF4"/>
    <w:rsid w:val="009D380F"/>
    <w:rsid w:val="009D57A7"/>
    <w:rsid w:val="009D65EE"/>
    <w:rsid w:val="009D6903"/>
    <w:rsid w:val="009E0525"/>
    <w:rsid w:val="009E20A6"/>
    <w:rsid w:val="009E233F"/>
    <w:rsid w:val="009E323A"/>
    <w:rsid w:val="009E328B"/>
    <w:rsid w:val="009E68C1"/>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25E5"/>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CA4"/>
    <w:rsid w:val="00A26E5D"/>
    <w:rsid w:val="00A276A6"/>
    <w:rsid w:val="00A276FF"/>
    <w:rsid w:val="00A30C82"/>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606A0"/>
    <w:rsid w:val="00A60A2E"/>
    <w:rsid w:val="00A60A60"/>
    <w:rsid w:val="00A61263"/>
    <w:rsid w:val="00A614AD"/>
    <w:rsid w:val="00A61886"/>
    <w:rsid w:val="00A61E92"/>
    <w:rsid w:val="00A63D89"/>
    <w:rsid w:val="00A650F1"/>
    <w:rsid w:val="00A6526E"/>
    <w:rsid w:val="00A65DA4"/>
    <w:rsid w:val="00A66E04"/>
    <w:rsid w:val="00A67194"/>
    <w:rsid w:val="00A671B3"/>
    <w:rsid w:val="00A67864"/>
    <w:rsid w:val="00A7040E"/>
    <w:rsid w:val="00A7286F"/>
    <w:rsid w:val="00A734F2"/>
    <w:rsid w:val="00A73DEE"/>
    <w:rsid w:val="00A74678"/>
    <w:rsid w:val="00A75AEA"/>
    <w:rsid w:val="00A76063"/>
    <w:rsid w:val="00A767EB"/>
    <w:rsid w:val="00A771BF"/>
    <w:rsid w:val="00A77299"/>
    <w:rsid w:val="00A803C1"/>
    <w:rsid w:val="00A815B6"/>
    <w:rsid w:val="00A81953"/>
    <w:rsid w:val="00A827C9"/>
    <w:rsid w:val="00A85B31"/>
    <w:rsid w:val="00A861F3"/>
    <w:rsid w:val="00A86C48"/>
    <w:rsid w:val="00A86CB0"/>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11BA"/>
    <w:rsid w:val="00AA2D62"/>
    <w:rsid w:val="00AA2E2C"/>
    <w:rsid w:val="00AA2E90"/>
    <w:rsid w:val="00AA3077"/>
    <w:rsid w:val="00AA375B"/>
    <w:rsid w:val="00AA38AF"/>
    <w:rsid w:val="00AA450C"/>
    <w:rsid w:val="00AA4B62"/>
    <w:rsid w:val="00AA5EB3"/>
    <w:rsid w:val="00AA6916"/>
    <w:rsid w:val="00AA7822"/>
    <w:rsid w:val="00AB040A"/>
    <w:rsid w:val="00AB110E"/>
    <w:rsid w:val="00AB11CF"/>
    <w:rsid w:val="00AB1287"/>
    <w:rsid w:val="00AB1CE8"/>
    <w:rsid w:val="00AB2F06"/>
    <w:rsid w:val="00AB4FFF"/>
    <w:rsid w:val="00AB5190"/>
    <w:rsid w:val="00AB5513"/>
    <w:rsid w:val="00AB6070"/>
    <w:rsid w:val="00AB6DFC"/>
    <w:rsid w:val="00AB7354"/>
    <w:rsid w:val="00AB7C46"/>
    <w:rsid w:val="00AC3637"/>
    <w:rsid w:val="00AC3D4F"/>
    <w:rsid w:val="00AC3DB7"/>
    <w:rsid w:val="00AC4699"/>
    <w:rsid w:val="00AC5650"/>
    <w:rsid w:val="00AC59DF"/>
    <w:rsid w:val="00AC72C7"/>
    <w:rsid w:val="00AC7899"/>
    <w:rsid w:val="00AD13D6"/>
    <w:rsid w:val="00AD4087"/>
    <w:rsid w:val="00AD6A21"/>
    <w:rsid w:val="00AD6BE0"/>
    <w:rsid w:val="00AD752F"/>
    <w:rsid w:val="00AE0B5D"/>
    <w:rsid w:val="00AE0C8D"/>
    <w:rsid w:val="00AE0E2A"/>
    <w:rsid w:val="00AE1411"/>
    <w:rsid w:val="00AE19B4"/>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1B75"/>
    <w:rsid w:val="00B52AD3"/>
    <w:rsid w:val="00B539EB"/>
    <w:rsid w:val="00B54B76"/>
    <w:rsid w:val="00B55ECC"/>
    <w:rsid w:val="00B560E5"/>
    <w:rsid w:val="00B576E1"/>
    <w:rsid w:val="00B6088D"/>
    <w:rsid w:val="00B608F1"/>
    <w:rsid w:val="00B60F79"/>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6069"/>
    <w:rsid w:val="00BA0A76"/>
    <w:rsid w:val="00BA11A9"/>
    <w:rsid w:val="00BA1642"/>
    <w:rsid w:val="00BA30C2"/>
    <w:rsid w:val="00BA31C6"/>
    <w:rsid w:val="00BA4B0A"/>
    <w:rsid w:val="00BA4FE7"/>
    <w:rsid w:val="00BA699B"/>
    <w:rsid w:val="00BA76AB"/>
    <w:rsid w:val="00BB0225"/>
    <w:rsid w:val="00BB0423"/>
    <w:rsid w:val="00BB1D73"/>
    <w:rsid w:val="00BB2CE4"/>
    <w:rsid w:val="00BB2D1B"/>
    <w:rsid w:val="00BB42D2"/>
    <w:rsid w:val="00BB6ECF"/>
    <w:rsid w:val="00BB74B3"/>
    <w:rsid w:val="00BB777A"/>
    <w:rsid w:val="00BC06FE"/>
    <w:rsid w:val="00BC1765"/>
    <w:rsid w:val="00BC1FD6"/>
    <w:rsid w:val="00BC25D7"/>
    <w:rsid w:val="00BC320C"/>
    <w:rsid w:val="00BC4883"/>
    <w:rsid w:val="00BC5454"/>
    <w:rsid w:val="00BC5F7F"/>
    <w:rsid w:val="00BC74EE"/>
    <w:rsid w:val="00BC777E"/>
    <w:rsid w:val="00BD219A"/>
    <w:rsid w:val="00BD2C42"/>
    <w:rsid w:val="00BD2EF9"/>
    <w:rsid w:val="00BD2F1D"/>
    <w:rsid w:val="00BD3997"/>
    <w:rsid w:val="00BD5D7E"/>
    <w:rsid w:val="00BD6EF9"/>
    <w:rsid w:val="00BD754C"/>
    <w:rsid w:val="00BD78C6"/>
    <w:rsid w:val="00BE01E1"/>
    <w:rsid w:val="00BE15DA"/>
    <w:rsid w:val="00BE19AD"/>
    <w:rsid w:val="00BE369C"/>
    <w:rsid w:val="00BE4FBC"/>
    <w:rsid w:val="00BE5B7C"/>
    <w:rsid w:val="00BE72FD"/>
    <w:rsid w:val="00BE733C"/>
    <w:rsid w:val="00BE73D4"/>
    <w:rsid w:val="00BE7AF2"/>
    <w:rsid w:val="00BF1EF8"/>
    <w:rsid w:val="00BF25A9"/>
    <w:rsid w:val="00BF2DE5"/>
    <w:rsid w:val="00BF4429"/>
    <w:rsid w:val="00BF4C49"/>
    <w:rsid w:val="00BF4D1A"/>
    <w:rsid w:val="00BF5168"/>
    <w:rsid w:val="00BF51C9"/>
    <w:rsid w:val="00BF5A5B"/>
    <w:rsid w:val="00BF6338"/>
    <w:rsid w:val="00BF6D56"/>
    <w:rsid w:val="00C00D03"/>
    <w:rsid w:val="00C00D9C"/>
    <w:rsid w:val="00C01DFC"/>
    <w:rsid w:val="00C0270E"/>
    <w:rsid w:val="00C0282B"/>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BBB"/>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3614"/>
    <w:rsid w:val="00C33AEC"/>
    <w:rsid w:val="00C357CB"/>
    <w:rsid w:val="00C35C8E"/>
    <w:rsid w:val="00C36B1D"/>
    <w:rsid w:val="00C3742C"/>
    <w:rsid w:val="00C3782B"/>
    <w:rsid w:val="00C410D2"/>
    <w:rsid w:val="00C41363"/>
    <w:rsid w:val="00C42A78"/>
    <w:rsid w:val="00C437D6"/>
    <w:rsid w:val="00C4601D"/>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4FAE"/>
    <w:rsid w:val="00C66344"/>
    <w:rsid w:val="00C66EDC"/>
    <w:rsid w:val="00C674F7"/>
    <w:rsid w:val="00C67D05"/>
    <w:rsid w:val="00C714EE"/>
    <w:rsid w:val="00C731E1"/>
    <w:rsid w:val="00C73FCE"/>
    <w:rsid w:val="00C7443F"/>
    <w:rsid w:val="00C745D7"/>
    <w:rsid w:val="00C7702A"/>
    <w:rsid w:val="00C7732F"/>
    <w:rsid w:val="00C773C8"/>
    <w:rsid w:val="00C80A25"/>
    <w:rsid w:val="00C80E5E"/>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1711"/>
    <w:rsid w:val="00C92931"/>
    <w:rsid w:val="00C92949"/>
    <w:rsid w:val="00C9312F"/>
    <w:rsid w:val="00C94499"/>
    <w:rsid w:val="00C9491A"/>
    <w:rsid w:val="00C94BE9"/>
    <w:rsid w:val="00C95DD7"/>
    <w:rsid w:val="00C95ED6"/>
    <w:rsid w:val="00C96BBB"/>
    <w:rsid w:val="00CA04D5"/>
    <w:rsid w:val="00CA1AC8"/>
    <w:rsid w:val="00CA1FB0"/>
    <w:rsid w:val="00CA24D1"/>
    <w:rsid w:val="00CA39CC"/>
    <w:rsid w:val="00CA403D"/>
    <w:rsid w:val="00CA4743"/>
    <w:rsid w:val="00CA57FE"/>
    <w:rsid w:val="00CA5FF6"/>
    <w:rsid w:val="00CA6F32"/>
    <w:rsid w:val="00CA735E"/>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544C"/>
    <w:rsid w:val="00CC559E"/>
    <w:rsid w:val="00CC707F"/>
    <w:rsid w:val="00CC708A"/>
    <w:rsid w:val="00CC79CD"/>
    <w:rsid w:val="00CD1447"/>
    <w:rsid w:val="00CD1841"/>
    <w:rsid w:val="00CD1BF1"/>
    <w:rsid w:val="00CD1D2E"/>
    <w:rsid w:val="00CD27CD"/>
    <w:rsid w:val="00CD4BF8"/>
    <w:rsid w:val="00CD52CD"/>
    <w:rsid w:val="00CD652E"/>
    <w:rsid w:val="00CD68DD"/>
    <w:rsid w:val="00CD7B8B"/>
    <w:rsid w:val="00CE01F8"/>
    <w:rsid w:val="00CE24B9"/>
    <w:rsid w:val="00CE2B04"/>
    <w:rsid w:val="00CE3E8B"/>
    <w:rsid w:val="00CE47DC"/>
    <w:rsid w:val="00CE5298"/>
    <w:rsid w:val="00CE5322"/>
    <w:rsid w:val="00CE58EB"/>
    <w:rsid w:val="00CE705F"/>
    <w:rsid w:val="00CF0041"/>
    <w:rsid w:val="00CF0D4B"/>
    <w:rsid w:val="00CF2605"/>
    <w:rsid w:val="00CF2804"/>
    <w:rsid w:val="00CF35B2"/>
    <w:rsid w:val="00CF36C4"/>
    <w:rsid w:val="00CF38D4"/>
    <w:rsid w:val="00CF5C07"/>
    <w:rsid w:val="00CF5CFC"/>
    <w:rsid w:val="00D00AF5"/>
    <w:rsid w:val="00D00E75"/>
    <w:rsid w:val="00D00EE2"/>
    <w:rsid w:val="00D01917"/>
    <w:rsid w:val="00D01EBC"/>
    <w:rsid w:val="00D03DE1"/>
    <w:rsid w:val="00D03EDD"/>
    <w:rsid w:val="00D03EEF"/>
    <w:rsid w:val="00D04F08"/>
    <w:rsid w:val="00D050BB"/>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BD"/>
    <w:rsid w:val="00D34305"/>
    <w:rsid w:val="00D34E83"/>
    <w:rsid w:val="00D35189"/>
    <w:rsid w:val="00D352D0"/>
    <w:rsid w:val="00D37354"/>
    <w:rsid w:val="00D404B1"/>
    <w:rsid w:val="00D4104F"/>
    <w:rsid w:val="00D43988"/>
    <w:rsid w:val="00D4707E"/>
    <w:rsid w:val="00D47238"/>
    <w:rsid w:val="00D4762C"/>
    <w:rsid w:val="00D47867"/>
    <w:rsid w:val="00D47EAF"/>
    <w:rsid w:val="00D50B2A"/>
    <w:rsid w:val="00D51517"/>
    <w:rsid w:val="00D52D7F"/>
    <w:rsid w:val="00D53034"/>
    <w:rsid w:val="00D541A8"/>
    <w:rsid w:val="00D55A05"/>
    <w:rsid w:val="00D562A8"/>
    <w:rsid w:val="00D61A9F"/>
    <w:rsid w:val="00D61EDD"/>
    <w:rsid w:val="00D628AF"/>
    <w:rsid w:val="00D6294B"/>
    <w:rsid w:val="00D654F8"/>
    <w:rsid w:val="00D66697"/>
    <w:rsid w:val="00D676B3"/>
    <w:rsid w:val="00D6787A"/>
    <w:rsid w:val="00D67ACA"/>
    <w:rsid w:val="00D67F69"/>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16AA"/>
    <w:rsid w:val="00DA28A7"/>
    <w:rsid w:val="00DA2BB0"/>
    <w:rsid w:val="00DA2FCA"/>
    <w:rsid w:val="00DA348E"/>
    <w:rsid w:val="00DA373A"/>
    <w:rsid w:val="00DA59D2"/>
    <w:rsid w:val="00DA5A9C"/>
    <w:rsid w:val="00DA5F60"/>
    <w:rsid w:val="00DA6E9D"/>
    <w:rsid w:val="00DA6FF3"/>
    <w:rsid w:val="00DB0F33"/>
    <w:rsid w:val="00DB1595"/>
    <w:rsid w:val="00DB297D"/>
    <w:rsid w:val="00DB2B7E"/>
    <w:rsid w:val="00DB2BA7"/>
    <w:rsid w:val="00DB2F6C"/>
    <w:rsid w:val="00DB345D"/>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7F9B"/>
    <w:rsid w:val="00DE1C74"/>
    <w:rsid w:val="00DE3385"/>
    <w:rsid w:val="00DE3CA1"/>
    <w:rsid w:val="00DE4007"/>
    <w:rsid w:val="00DE4638"/>
    <w:rsid w:val="00DE4651"/>
    <w:rsid w:val="00DE534A"/>
    <w:rsid w:val="00DE55FD"/>
    <w:rsid w:val="00DE60A8"/>
    <w:rsid w:val="00DE7265"/>
    <w:rsid w:val="00DE7525"/>
    <w:rsid w:val="00DE7C1C"/>
    <w:rsid w:val="00DF0111"/>
    <w:rsid w:val="00DF2247"/>
    <w:rsid w:val="00DF2353"/>
    <w:rsid w:val="00DF3AB2"/>
    <w:rsid w:val="00DF4116"/>
    <w:rsid w:val="00DF5129"/>
    <w:rsid w:val="00DF5784"/>
    <w:rsid w:val="00DF58B8"/>
    <w:rsid w:val="00DF5FF8"/>
    <w:rsid w:val="00DF6EE5"/>
    <w:rsid w:val="00E0077B"/>
    <w:rsid w:val="00E00898"/>
    <w:rsid w:val="00E03634"/>
    <w:rsid w:val="00E050B6"/>
    <w:rsid w:val="00E0557E"/>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21A9"/>
    <w:rsid w:val="00E73549"/>
    <w:rsid w:val="00E7484F"/>
    <w:rsid w:val="00E74861"/>
    <w:rsid w:val="00E74B50"/>
    <w:rsid w:val="00E74EC9"/>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96D"/>
    <w:rsid w:val="00E92AA5"/>
    <w:rsid w:val="00E94509"/>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7E82"/>
    <w:rsid w:val="00ED0B81"/>
    <w:rsid w:val="00ED19B3"/>
    <w:rsid w:val="00ED1A64"/>
    <w:rsid w:val="00ED28DD"/>
    <w:rsid w:val="00ED421C"/>
    <w:rsid w:val="00ED43A6"/>
    <w:rsid w:val="00ED502A"/>
    <w:rsid w:val="00ED69B3"/>
    <w:rsid w:val="00ED6FB9"/>
    <w:rsid w:val="00ED7371"/>
    <w:rsid w:val="00ED7E2F"/>
    <w:rsid w:val="00ED7EA8"/>
    <w:rsid w:val="00EE1313"/>
    <w:rsid w:val="00EE2126"/>
    <w:rsid w:val="00EE3363"/>
    <w:rsid w:val="00EE3F3C"/>
    <w:rsid w:val="00EE4C7E"/>
    <w:rsid w:val="00EE556D"/>
    <w:rsid w:val="00EE60A2"/>
    <w:rsid w:val="00EE6184"/>
    <w:rsid w:val="00EE679C"/>
    <w:rsid w:val="00EE7A2C"/>
    <w:rsid w:val="00EF06D3"/>
    <w:rsid w:val="00EF09D3"/>
    <w:rsid w:val="00EF108A"/>
    <w:rsid w:val="00EF1240"/>
    <w:rsid w:val="00EF1F75"/>
    <w:rsid w:val="00EF2240"/>
    <w:rsid w:val="00EF3069"/>
    <w:rsid w:val="00EF31A5"/>
    <w:rsid w:val="00EF3742"/>
    <w:rsid w:val="00EF3EB5"/>
    <w:rsid w:val="00EF57B9"/>
    <w:rsid w:val="00EF57DF"/>
    <w:rsid w:val="00EF632B"/>
    <w:rsid w:val="00EF6556"/>
    <w:rsid w:val="00EF689A"/>
    <w:rsid w:val="00F02BAD"/>
    <w:rsid w:val="00F0319D"/>
    <w:rsid w:val="00F07890"/>
    <w:rsid w:val="00F11635"/>
    <w:rsid w:val="00F12D86"/>
    <w:rsid w:val="00F131AA"/>
    <w:rsid w:val="00F131FD"/>
    <w:rsid w:val="00F1350B"/>
    <w:rsid w:val="00F13B05"/>
    <w:rsid w:val="00F13B5A"/>
    <w:rsid w:val="00F13EED"/>
    <w:rsid w:val="00F15AF2"/>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0C4"/>
    <w:rsid w:val="00F461AE"/>
    <w:rsid w:val="00F467F9"/>
    <w:rsid w:val="00F5184D"/>
    <w:rsid w:val="00F51B88"/>
    <w:rsid w:val="00F51CB2"/>
    <w:rsid w:val="00F534D3"/>
    <w:rsid w:val="00F5421D"/>
    <w:rsid w:val="00F55022"/>
    <w:rsid w:val="00F55184"/>
    <w:rsid w:val="00F5704A"/>
    <w:rsid w:val="00F60DF3"/>
    <w:rsid w:val="00F62057"/>
    <w:rsid w:val="00F62597"/>
    <w:rsid w:val="00F6264B"/>
    <w:rsid w:val="00F6290C"/>
    <w:rsid w:val="00F646C8"/>
    <w:rsid w:val="00F66E25"/>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476C"/>
    <w:rsid w:val="00F850A1"/>
    <w:rsid w:val="00F85CBD"/>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C072E"/>
    <w:rsid w:val="00FC4323"/>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5688"/>
    <w:rsid w:val="00FD5725"/>
    <w:rsid w:val="00FD5E1C"/>
    <w:rsid w:val="00FD5F36"/>
    <w:rsid w:val="00FD7F6B"/>
    <w:rsid w:val="00FE0948"/>
    <w:rsid w:val="00FE1880"/>
    <w:rsid w:val="00FE3256"/>
    <w:rsid w:val="00FE3F8E"/>
    <w:rsid w:val="00FE47ED"/>
    <w:rsid w:val="00FE5101"/>
    <w:rsid w:val="00FE61DC"/>
    <w:rsid w:val="00FE67D0"/>
    <w:rsid w:val="00FE689B"/>
    <w:rsid w:val="00FE7081"/>
    <w:rsid w:val="00FE79CE"/>
    <w:rsid w:val="00FF081E"/>
    <w:rsid w:val="00FF145C"/>
    <w:rsid w:val="00FF26EE"/>
    <w:rsid w:val="00FF28EC"/>
    <w:rsid w:val="00FF47A3"/>
    <w:rsid w:val="00FF4B3F"/>
    <w:rsid w:val="00FF4B43"/>
    <w:rsid w:val="00FF574F"/>
    <w:rsid w:val="02445027"/>
    <w:rsid w:val="090C7C1B"/>
    <w:rsid w:val="0C4C5587"/>
    <w:rsid w:val="0F354FF1"/>
    <w:rsid w:val="12C70492"/>
    <w:rsid w:val="17B510F0"/>
    <w:rsid w:val="19371F13"/>
    <w:rsid w:val="1EE75DDA"/>
    <w:rsid w:val="313B31CA"/>
    <w:rsid w:val="3AB05188"/>
    <w:rsid w:val="5A392747"/>
    <w:rsid w:val="69D4537F"/>
    <w:rsid w:val="7E8A4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6"/>
    <w:qFormat/>
    <w:uiPriority w:val="0"/>
    <w:pPr>
      <w:spacing w:before="340" w:after="330" w:line="360" w:lineRule="auto"/>
      <w:jc w:val="center"/>
      <w:outlineLvl w:val="0"/>
    </w:pPr>
    <w:rPr>
      <w:rFonts w:eastAsia="黑体"/>
      <w:kern w:val="44"/>
      <w:szCs w:val="44"/>
    </w:rPr>
  </w:style>
  <w:style w:type="paragraph" w:styleId="6">
    <w:name w:val="heading 2"/>
    <w:basedOn w:val="4"/>
    <w:next w:val="5"/>
    <w:link w:val="71"/>
    <w:qFormat/>
    <w:uiPriority w:val="0"/>
    <w:pPr>
      <w:adjustRightInd w:val="0"/>
      <w:jc w:val="center"/>
      <w:textAlignment w:val="baseline"/>
      <w:outlineLvl w:val="1"/>
    </w:pPr>
    <w:rPr>
      <w:kern w:val="0"/>
      <w:sz w:val="24"/>
      <w:szCs w:val="20"/>
    </w:rPr>
  </w:style>
  <w:style w:type="paragraph" w:styleId="4">
    <w:name w:val="heading 3"/>
    <w:basedOn w:val="5"/>
    <w:next w:val="1"/>
    <w:link w:val="55"/>
    <w:qFormat/>
    <w:uiPriority w:val="0"/>
    <w:pPr>
      <w:spacing w:before="260" w:after="260" w:line="240" w:lineRule="auto"/>
      <w:outlineLvl w:val="2"/>
    </w:pPr>
    <w:rPr>
      <w:rFonts w:ascii="宋体" w:hAnsi="宋体" w:eastAsia="宋体"/>
      <w:szCs w:val="32"/>
    </w:rPr>
  </w:style>
  <w:style w:type="paragraph" w:styleId="5">
    <w:name w:val="heading 4"/>
    <w:basedOn w:val="1"/>
    <w:next w:val="1"/>
    <w:link w:val="5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0"/>
    <w:qFormat/>
    <w:uiPriority w:val="0"/>
    <w:pPr>
      <w:keepNext/>
      <w:keepLines/>
      <w:spacing w:before="280" w:after="290" w:line="376" w:lineRule="auto"/>
      <w:outlineLvl w:val="4"/>
    </w:pPr>
    <w:rPr>
      <w:b/>
      <w:sz w:val="28"/>
      <w:szCs w:val="20"/>
    </w:rPr>
  </w:style>
  <w:style w:type="paragraph" w:styleId="9">
    <w:name w:val="heading 6"/>
    <w:basedOn w:val="1"/>
    <w:next w:val="8"/>
    <w:link w:val="83"/>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84"/>
    <w:qFormat/>
    <w:uiPriority w:val="0"/>
    <w:pPr>
      <w:keepNext/>
      <w:keepLines/>
      <w:spacing w:before="240" w:after="64" w:line="320" w:lineRule="auto"/>
      <w:outlineLvl w:val="6"/>
    </w:pPr>
    <w:rPr>
      <w:b/>
      <w:sz w:val="24"/>
      <w:szCs w:val="20"/>
    </w:rPr>
  </w:style>
  <w:style w:type="paragraph" w:styleId="11">
    <w:name w:val="heading 8"/>
    <w:basedOn w:val="1"/>
    <w:next w:val="8"/>
    <w:link w:val="85"/>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86"/>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2"/>
    <w:qFormat/>
    <w:uiPriority w:val="0"/>
    <w:pPr>
      <w:spacing w:line="360" w:lineRule="auto"/>
    </w:pPr>
    <w:rPr>
      <w:b/>
      <w:bCs/>
      <w:sz w:val="24"/>
    </w:rPr>
  </w:style>
  <w:style w:type="paragraph" w:styleId="8">
    <w:name w:val="Normal Indent"/>
    <w:basedOn w:val="1"/>
    <w:link w:val="57"/>
    <w:qFormat/>
    <w:uiPriority w:val="0"/>
    <w:pPr>
      <w:ind w:firstLine="420"/>
    </w:pPr>
    <w:rPr>
      <w:szCs w:val="20"/>
    </w:rPr>
  </w:style>
  <w:style w:type="paragraph" w:styleId="13">
    <w:name w:val="toc 7"/>
    <w:basedOn w:val="1"/>
    <w:next w:val="1"/>
    <w:semiHidden/>
    <w:qFormat/>
    <w:uiPriority w:val="0"/>
    <w:pPr>
      <w:ind w:left="1260"/>
      <w:jc w:val="left"/>
    </w:pPr>
    <w:rPr>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numPr>
        <w:ilvl w:val="0"/>
        <w:numId w:val="1"/>
      </w:numPr>
    </w:pPr>
    <w:rPr>
      <w:szCs w:val="20"/>
    </w:rPr>
  </w:style>
  <w:style w:type="paragraph" w:styleId="16">
    <w:name w:val="Document Map"/>
    <w:basedOn w:val="1"/>
    <w:semiHidden/>
    <w:qFormat/>
    <w:uiPriority w:val="0"/>
    <w:pPr>
      <w:shd w:val="clear" w:color="auto" w:fill="000080"/>
    </w:pPr>
  </w:style>
  <w:style w:type="paragraph" w:styleId="17">
    <w:name w:val="annotation text"/>
    <w:basedOn w:val="1"/>
    <w:link w:val="184"/>
    <w:semiHidden/>
    <w:qFormat/>
    <w:uiPriority w:val="0"/>
    <w:pPr>
      <w:autoSpaceDE w:val="0"/>
      <w:autoSpaceDN w:val="0"/>
      <w:adjustRightInd w:val="0"/>
      <w:jc w:val="left"/>
      <w:textAlignment w:val="baseline"/>
    </w:pPr>
    <w:rPr>
      <w:rFonts w:ascii="宋体"/>
      <w:kern w:val="0"/>
      <w:sz w:val="34"/>
      <w:szCs w:val="20"/>
    </w:rPr>
  </w:style>
  <w:style w:type="paragraph" w:styleId="18">
    <w:name w:val="Body Text 3"/>
    <w:basedOn w:val="1"/>
    <w:link w:val="98"/>
    <w:qFormat/>
    <w:uiPriority w:val="0"/>
    <w:pPr>
      <w:spacing w:after="120"/>
    </w:pPr>
    <w:rPr>
      <w:sz w:val="16"/>
      <w:szCs w:val="16"/>
    </w:rPr>
  </w:style>
  <w:style w:type="paragraph" w:styleId="19">
    <w:name w:val="Body Text Indent"/>
    <w:basedOn w:val="1"/>
    <w:link w:val="79"/>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90"/>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8"/>
    <w:qFormat/>
    <w:uiPriority w:val="0"/>
    <w:rPr>
      <w:rFonts w:ascii="宋体" w:hAnsi="Courier New"/>
      <w:sz w:val="32"/>
      <w:szCs w:val="20"/>
    </w:rPr>
  </w:style>
  <w:style w:type="paragraph" w:styleId="25">
    <w:name w:val="Body Text Indent 2"/>
    <w:basedOn w:val="1"/>
    <w:link w:val="93"/>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9"/>
    <w:semiHidden/>
    <w:qFormat/>
    <w:uiPriority w:val="0"/>
    <w:rPr>
      <w:sz w:val="18"/>
      <w:szCs w:val="18"/>
    </w:rPr>
  </w:style>
  <w:style w:type="paragraph" w:styleId="27">
    <w:name w:val="footer"/>
    <w:basedOn w:val="1"/>
    <w:link w:val="97"/>
    <w:qFormat/>
    <w:uiPriority w:val="0"/>
    <w:pPr>
      <w:tabs>
        <w:tab w:val="center" w:pos="4153"/>
        <w:tab w:val="right" w:pos="8306"/>
      </w:tabs>
      <w:snapToGrid w:val="0"/>
      <w:jc w:val="left"/>
    </w:pPr>
    <w:rPr>
      <w:sz w:val="18"/>
      <w:szCs w:val="18"/>
    </w:rPr>
  </w:style>
  <w:style w:type="paragraph" w:styleId="28">
    <w:name w:val="header"/>
    <w:basedOn w:val="1"/>
    <w:link w:val="94"/>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Subtitle"/>
    <w:next w:val="1"/>
    <w:link w:val="309"/>
    <w:qFormat/>
    <w:uiPriority w:val="0"/>
    <w:pPr>
      <w:wordWrap w:val="0"/>
      <w:spacing w:after="60"/>
      <w:jc w:val="center"/>
    </w:pPr>
    <w:rPr>
      <w:rFonts w:ascii="Calibri" w:hAnsi="Calibri" w:eastAsia="宋体" w:cs="Times New Roman"/>
      <w:sz w:val="24"/>
      <w:lang w:val="en-US" w:eastAsia="zh-CN" w:bidi="ar-SA"/>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95"/>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link w:val="96"/>
    <w:qFormat/>
    <w:uiPriority w:val="0"/>
    <w:pPr>
      <w:spacing w:line="360" w:lineRule="auto"/>
    </w:pPr>
    <w:rPr>
      <w:sz w:val="24"/>
    </w:rPr>
  </w:style>
  <w:style w:type="paragraph" w:styleId="37">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link w:val="470"/>
    <w:qFormat/>
    <w:uiPriority w:val="99"/>
    <w:rPr>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87"/>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7"/>
    <w:next w:val="17"/>
    <w:link w:val="185"/>
    <w:qFormat/>
    <w:uiPriority w:val="0"/>
    <w:pPr>
      <w:autoSpaceDE/>
      <w:autoSpaceDN/>
      <w:adjustRightInd/>
      <w:textAlignment w:val="auto"/>
    </w:pPr>
    <w:rPr>
      <w:rFonts w:ascii="Times New Roman"/>
      <w:b/>
      <w:bCs/>
      <w:kern w:val="2"/>
      <w:sz w:val="21"/>
      <w:szCs w:val="24"/>
    </w:rPr>
  </w:style>
  <w:style w:type="paragraph" w:styleId="42">
    <w:name w:val="Body Text First Indent"/>
    <w:basedOn w:val="2"/>
    <w:link w:val="130"/>
    <w:qFormat/>
    <w:uiPriority w:val="0"/>
    <w:pPr>
      <w:spacing w:after="120" w:line="240" w:lineRule="auto"/>
      <w:ind w:firstLine="420" w:firstLineChars="100"/>
    </w:pPr>
    <w:rPr>
      <w:sz w:val="21"/>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5">
    <w:name w:val="Table Elegant"/>
    <w:basedOn w:val="43"/>
    <w:qFormat/>
    <w:uiPriority w:val="0"/>
    <w:pPr>
      <w:widowControl w:val="0"/>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basedOn w:val="46"/>
    <w:qFormat/>
    <w:uiPriority w:val="0"/>
    <w:rPr>
      <w:sz w:val="20"/>
    </w:rPr>
  </w:style>
  <w:style w:type="character" w:styleId="51">
    <w:name w:val="Hyperlink"/>
    <w:qFormat/>
    <w:uiPriority w:val="0"/>
    <w:rPr>
      <w:color w:val="0000FF"/>
      <w:u w:val="single"/>
    </w:rPr>
  </w:style>
  <w:style w:type="character" w:styleId="52">
    <w:name w:val="annotation reference"/>
    <w:basedOn w:val="46"/>
    <w:qFormat/>
    <w:uiPriority w:val="0"/>
    <w:rPr>
      <w:sz w:val="21"/>
      <w:szCs w:val="21"/>
    </w:rPr>
  </w:style>
  <w:style w:type="character" w:customStyle="1" w:styleId="53">
    <w:name w:val="标题 4 Char"/>
    <w:link w:val="5"/>
    <w:qFormat/>
    <w:uiPriority w:val="0"/>
    <w:rPr>
      <w:rFonts w:ascii="Arial" w:hAnsi="Arial" w:eastAsia="黑体"/>
      <w:b/>
      <w:bCs/>
      <w:kern w:val="2"/>
      <w:sz w:val="28"/>
      <w:szCs w:val="28"/>
      <w:lang w:val="en-US" w:eastAsia="zh-CN" w:bidi="ar-SA"/>
    </w:rPr>
  </w:style>
  <w:style w:type="paragraph" w:customStyle="1" w:styleId="5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5">
    <w:name w:val="标题 3 Char1"/>
    <w:link w:val="4"/>
    <w:qFormat/>
    <w:uiPriority w:val="0"/>
    <w:rPr>
      <w:rFonts w:ascii="宋体" w:hAnsi="宋体" w:eastAsia="宋体"/>
      <w:b/>
      <w:bCs/>
      <w:kern w:val="2"/>
      <w:sz w:val="28"/>
      <w:szCs w:val="32"/>
      <w:lang w:val="en-US" w:eastAsia="zh-CN" w:bidi="ar-SA"/>
    </w:rPr>
  </w:style>
  <w:style w:type="character" w:customStyle="1" w:styleId="56">
    <w:name w:val="标题 1 Char"/>
    <w:link w:val="3"/>
    <w:qFormat/>
    <w:uiPriority w:val="0"/>
    <w:rPr>
      <w:rFonts w:ascii="宋体" w:hAnsi="宋体" w:eastAsia="黑体"/>
      <w:b/>
      <w:bCs/>
      <w:kern w:val="44"/>
      <w:sz w:val="28"/>
      <w:szCs w:val="44"/>
      <w:lang w:val="en-US" w:eastAsia="zh-CN" w:bidi="ar-SA"/>
    </w:rPr>
  </w:style>
  <w:style w:type="character" w:customStyle="1" w:styleId="57">
    <w:name w:val="正文缩进 Char"/>
    <w:link w:val="8"/>
    <w:qFormat/>
    <w:uiPriority w:val="0"/>
    <w:rPr>
      <w:rFonts w:eastAsia="宋体"/>
      <w:kern w:val="2"/>
      <w:sz w:val="21"/>
      <w:lang w:val="en-US" w:eastAsia="zh-CN" w:bidi="ar-SA"/>
    </w:rPr>
  </w:style>
  <w:style w:type="character" w:customStyle="1" w:styleId="58">
    <w:name w:val="标题 3 Char"/>
    <w:qFormat/>
    <w:uiPriority w:val="0"/>
    <w:rPr>
      <w:rFonts w:ascii="黑体" w:eastAsia="黑体"/>
      <w:bCs/>
      <w:sz w:val="30"/>
    </w:rPr>
  </w:style>
  <w:style w:type="paragraph" w:customStyle="1" w:styleId="59">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1">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6">
    <w:name w:val="自定义正文"/>
    <w:basedOn w:val="1"/>
    <w:qFormat/>
    <w:uiPriority w:val="0"/>
    <w:pPr>
      <w:spacing w:afterLines="50"/>
      <w:ind w:left="600" w:leftChars="600"/>
    </w:pPr>
  </w:style>
  <w:style w:type="paragraph" w:customStyle="1" w:styleId="67">
    <w:name w:val="Char Char Char Char Char"/>
    <w:basedOn w:val="1"/>
    <w:qFormat/>
    <w:uiPriority w:val="0"/>
    <w:rPr>
      <w:rFonts w:ascii="Tahoma" w:hAnsi="Tahoma"/>
      <w:sz w:val="24"/>
      <w:szCs w:val="20"/>
    </w:rPr>
  </w:style>
  <w:style w:type="paragraph" w:customStyle="1" w:styleId="6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9">
    <w:name w:val="Char Char"/>
    <w:basedOn w:val="1"/>
    <w:qFormat/>
    <w:uiPriority w:val="0"/>
    <w:rPr>
      <w:rFonts w:ascii="Tahoma" w:hAnsi="Tahoma"/>
      <w:sz w:val="24"/>
      <w:szCs w:val="20"/>
    </w:rPr>
  </w:style>
  <w:style w:type="paragraph" w:customStyle="1" w:styleId="70">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1">
    <w:name w:val="标题 2 Char"/>
    <w:link w:val="6"/>
    <w:qFormat/>
    <w:uiPriority w:val="0"/>
    <w:rPr>
      <w:rFonts w:ascii="宋体" w:hAnsi="宋体" w:eastAsia="宋体"/>
      <w:b/>
      <w:bCs/>
      <w:sz w:val="24"/>
      <w:lang w:val="en-US" w:eastAsia="zh-CN" w:bidi="ar-SA"/>
    </w:rPr>
  </w:style>
  <w:style w:type="paragraph" w:customStyle="1" w:styleId="7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3">
    <w:name w:val="List Paragraph"/>
    <w:basedOn w:val="1"/>
    <w:qFormat/>
    <w:uiPriority w:val="0"/>
    <w:pPr>
      <w:ind w:firstLine="420" w:firstLineChars="200"/>
    </w:pPr>
    <w:rPr>
      <w:rFonts w:ascii="Calibri" w:hAnsi="Calibri"/>
      <w:szCs w:val="22"/>
    </w:rPr>
  </w:style>
  <w:style w:type="paragraph" w:customStyle="1" w:styleId="74">
    <w:name w:val="USE 1"/>
    <w:basedOn w:val="1"/>
    <w:qFormat/>
    <w:uiPriority w:val="0"/>
    <w:pPr>
      <w:spacing w:line="200" w:lineRule="atLeast"/>
      <w:jc w:val="left"/>
    </w:pPr>
    <w:rPr>
      <w:rFonts w:ascii="宋体" w:hAnsi="宋体"/>
      <w:b/>
      <w:sz w:val="24"/>
      <w:szCs w:val="28"/>
    </w:rPr>
  </w:style>
  <w:style w:type="paragraph" w:customStyle="1" w:styleId="75">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6">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7">
    <w:name w:val="样式 标题 2 + 段前: 13 磅 段后: 13 磅 行距: 单倍行距"/>
    <w:basedOn w:val="6"/>
    <w:qFormat/>
    <w:uiPriority w:val="0"/>
    <w:pPr>
      <w:adjustRightInd/>
      <w:spacing w:before="0" w:after="0"/>
      <w:jc w:val="both"/>
      <w:textAlignment w:val="auto"/>
    </w:pPr>
    <w:rPr>
      <w:rFonts w:ascii="Cambria" w:hAnsi="Cambria" w:cs="宋体"/>
      <w:kern w:val="2"/>
      <w:sz w:val="32"/>
    </w:rPr>
  </w:style>
  <w:style w:type="character" w:customStyle="1" w:styleId="78">
    <w:name w:val="H4 Char2"/>
    <w:qFormat/>
    <w:uiPriority w:val="0"/>
    <w:rPr>
      <w:rFonts w:ascii="Arial" w:hAnsi="Arial" w:eastAsia="黑体"/>
      <w:b/>
      <w:bCs/>
      <w:kern w:val="2"/>
      <w:sz w:val="28"/>
      <w:szCs w:val="28"/>
      <w:lang w:val="en-US" w:eastAsia="zh-CN" w:bidi="ar-SA"/>
    </w:rPr>
  </w:style>
  <w:style w:type="character" w:customStyle="1" w:styleId="79">
    <w:name w:val="正文文本缩进 Char"/>
    <w:link w:val="19"/>
    <w:qFormat/>
    <w:uiPriority w:val="0"/>
    <w:rPr>
      <w:rFonts w:eastAsia="宋体"/>
      <w:kern w:val="2"/>
      <w:sz w:val="21"/>
      <w:szCs w:val="24"/>
      <w:lang w:val="en-US" w:eastAsia="zh-CN" w:bidi="ar-SA"/>
    </w:rPr>
  </w:style>
  <w:style w:type="character" w:customStyle="1" w:styleId="80">
    <w:name w:val="标题 5 Char"/>
    <w:link w:val="7"/>
    <w:qFormat/>
    <w:uiPriority w:val="0"/>
    <w:rPr>
      <w:rFonts w:eastAsia="宋体"/>
      <w:b/>
      <w:kern w:val="2"/>
      <w:sz w:val="28"/>
      <w:lang w:val="en-US" w:eastAsia="zh-CN" w:bidi="ar-SA"/>
    </w:rPr>
  </w:style>
  <w:style w:type="character" w:customStyle="1" w:styleId="81">
    <w:name w:val="第*章 Char"/>
    <w:qFormat/>
    <w:uiPriority w:val="0"/>
    <w:rPr>
      <w:rFonts w:ascii="Arial" w:hAnsi="Arial" w:eastAsia="黑体"/>
      <w:b/>
      <w:bCs/>
      <w:kern w:val="2"/>
      <w:sz w:val="32"/>
      <w:szCs w:val="32"/>
    </w:rPr>
  </w:style>
  <w:style w:type="character" w:customStyle="1" w:styleId="82">
    <w:name w:val="章标题1 Char"/>
    <w:qFormat/>
    <w:uiPriority w:val="0"/>
    <w:rPr>
      <w:rFonts w:eastAsia="宋体"/>
      <w:b/>
      <w:bCs/>
      <w:kern w:val="2"/>
      <w:sz w:val="32"/>
      <w:szCs w:val="32"/>
      <w:lang w:val="en-US" w:eastAsia="zh-CN" w:bidi="ar-SA"/>
    </w:rPr>
  </w:style>
  <w:style w:type="character" w:customStyle="1" w:styleId="83">
    <w:name w:val="标题 6 Char"/>
    <w:link w:val="9"/>
    <w:qFormat/>
    <w:uiPriority w:val="0"/>
    <w:rPr>
      <w:rFonts w:ascii="Arial" w:hAnsi="Arial" w:eastAsia="黑体"/>
      <w:b/>
      <w:kern w:val="2"/>
      <w:sz w:val="24"/>
      <w:lang w:val="en-US" w:eastAsia="zh-CN" w:bidi="ar-SA"/>
    </w:rPr>
  </w:style>
  <w:style w:type="character" w:customStyle="1" w:styleId="84">
    <w:name w:val="标题 7 Char"/>
    <w:link w:val="10"/>
    <w:qFormat/>
    <w:uiPriority w:val="0"/>
    <w:rPr>
      <w:rFonts w:eastAsia="宋体"/>
      <w:b/>
      <w:kern w:val="2"/>
      <w:sz w:val="24"/>
      <w:lang w:val="en-US" w:eastAsia="zh-CN" w:bidi="ar-SA"/>
    </w:rPr>
  </w:style>
  <w:style w:type="character" w:customStyle="1" w:styleId="85">
    <w:name w:val="标题 8 Char"/>
    <w:link w:val="11"/>
    <w:qFormat/>
    <w:uiPriority w:val="0"/>
    <w:rPr>
      <w:rFonts w:ascii="Arial" w:hAnsi="Arial" w:eastAsia="黑体"/>
      <w:kern w:val="2"/>
      <w:sz w:val="24"/>
      <w:lang w:val="en-US" w:eastAsia="zh-CN" w:bidi="ar-SA"/>
    </w:rPr>
  </w:style>
  <w:style w:type="character" w:customStyle="1" w:styleId="86">
    <w:name w:val="标题 9 Char"/>
    <w:link w:val="12"/>
    <w:qFormat/>
    <w:uiPriority w:val="0"/>
    <w:rPr>
      <w:rFonts w:ascii="Arial" w:hAnsi="Arial" w:eastAsia="黑体"/>
      <w:kern w:val="2"/>
      <w:sz w:val="21"/>
      <w:lang w:val="en-US" w:eastAsia="zh-CN" w:bidi="ar-SA"/>
    </w:rPr>
  </w:style>
  <w:style w:type="character" w:customStyle="1" w:styleId="87">
    <w:name w:val="标题 Char"/>
    <w:link w:val="40"/>
    <w:qFormat/>
    <w:uiPriority w:val="0"/>
    <w:rPr>
      <w:rFonts w:ascii="Arial" w:hAnsi="Arial" w:eastAsia="隶书" w:cs="Arial"/>
      <w:b/>
      <w:bCs/>
      <w:kern w:val="2"/>
      <w:sz w:val="32"/>
      <w:szCs w:val="32"/>
      <w:lang w:val="en-US" w:eastAsia="zh-CN" w:bidi="ar-SA"/>
    </w:rPr>
  </w:style>
  <w:style w:type="character" w:customStyle="1" w:styleId="88">
    <w:name w:val="日期 Char"/>
    <w:link w:val="24"/>
    <w:qFormat/>
    <w:uiPriority w:val="0"/>
    <w:rPr>
      <w:rFonts w:ascii="宋体" w:hAnsi="Courier New" w:eastAsia="宋体"/>
      <w:kern w:val="2"/>
      <w:sz w:val="32"/>
      <w:lang w:val="en-US" w:eastAsia="zh-CN" w:bidi="ar-SA"/>
    </w:rPr>
  </w:style>
  <w:style w:type="character" w:customStyle="1" w:styleId="89">
    <w:name w:val="HTML 预设格式 Char"/>
    <w:link w:val="37"/>
    <w:qFormat/>
    <w:uiPriority w:val="0"/>
    <w:rPr>
      <w:rFonts w:ascii="Arial Unicode MS" w:hAnsi="Arial Unicode MS" w:eastAsia="Arial Unicode MS"/>
      <w:color w:val="000000"/>
      <w:lang w:val="en-US" w:eastAsia="zh-CN" w:bidi="ar-SA"/>
    </w:rPr>
  </w:style>
  <w:style w:type="character" w:customStyle="1" w:styleId="90">
    <w:name w:val="纯文本 Char"/>
    <w:link w:val="22"/>
    <w:qFormat/>
    <w:uiPriority w:val="0"/>
    <w:rPr>
      <w:rFonts w:ascii="宋体" w:hAnsi="Courier New" w:eastAsia="宋体"/>
      <w:kern w:val="2"/>
      <w:sz w:val="21"/>
      <w:lang w:val="en-US" w:eastAsia="zh-CN" w:bidi="ar-SA"/>
    </w:rPr>
  </w:style>
  <w:style w:type="character" w:customStyle="1" w:styleId="91">
    <w:name w:val="正文文字首行缩进 Char"/>
    <w:qFormat/>
    <w:uiPriority w:val="0"/>
    <w:rPr>
      <w:kern w:val="2"/>
      <w:sz w:val="21"/>
      <w:szCs w:val="24"/>
    </w:rPr>
  </w:style>
  <w:style w:type="character" w:customStyle="1" w:styleId="92">
    <w:name w:val="正文文本 Char"/>
    <w:link w:val="2"/>
    <w:qFormat/>
    <w:uiPriority w:val="0"/>
    <w:rPr>
      <w:rFonts w:eastAsia="宋体"/>
      <w:b/>
      <w:bCs/>
      <w:kern w:val="2"/>
      <w:sz w:val="24"/>
      <w:szCs w:val="24"/>
      <w:lang w:val="en-US" w:eastAsia="zh-CN" w:bidi="ar-SA"/>
    </w:rPr>
  </w:style>
  <w:style w:type="character" w:customStyle="1" w:styleId="93">
    <w:name w:val="正文文本缩进 2 Char"/>
    <w:link w:val="25"/>
    <w:qFormat/>
    <w:uiPriority w:val="0"/>
    <w:rPr>
      <w:rFonts w:ascii="宋体" w:hAnsi="宋体" w:eastAsia="宋体"/>
      <w:kern w:val="2"/>
      <w:sz w:val="21"/>
      <w:szCs w:val="24"/>
      <w:lang w:val="en-US" w:eastAsia="zh-CN" w:bidi="ar-SA"/>
    </w:rPr>
  </w:style>
  <w:style w:type="character" w:customStyle="1" w:styleId="94">
    <w:name w:val="页眉 Char"/>
    <w:link w:val="28"/>
    <w:qFormat/>
    <w:uiPriority w:val="99"/>
    <w:rPr>
      <w:rFonts w:eastAsia="宋体"/>
      <w:kern w:val="2"/>
      <w:sz w:val="18"/>
      <w:szCs w:val="18"/>
      <w:lang w:val="en-US" w:eastAsia="zh-CN" w:bidi="ar-SA"/>
    </w:rPr>
  </w:style>
  <w:style w:type="character" w:customStyle="1" w:styleId="95">
    <w:name w:val="正文文本缩进 3 Char"/>
    <w:link w:val="33"/>
    <w:qFormat/>
    <w:uiPriority w:val="0"/>
    <w:rPr>
      <w:rFonts w:ascii="宋体" w:eastAsia="宋体"/>
      <w:b/>
      <w:bCs/>
      <w:kern w:val="2"/>
      <w:sz w:val="24"/>
      <w:szCs w:val="24"/>
      <w:lang w:val="en-US" w:eastAsia="zh-CN" w:bidi="ar-SA"/>
    </w:rPr>
  </w:style>
  <w:style w:type="character" w:customStyle="1" w:styleId="96">
    <w:name w:val="正文文本 2 Char"/>
    <w:link w:val="36"/>
    <w:qFormat/>
    <w:uiPriority w:val="0"/>
    <w:rPr>
      <w:rFonts w:eastAsia="宋体"/>
      <w:kern w:val="2"/>
      <w:sz w:val="24"/>
      <w:szCs w:val="24"/>
      <w:lang w:val="en-US" w:eastAsia="zh-CN" w:bidi="ar-SA"/>
    </w:rPr>
  </w:style>
  <w:style w:type="character" w:customStyle="1" w:styleId="97">
    <w:name w:val="页脚 Char"/>
    <w:link w:val="27"/>
    <w:qFormat/>
    <w:uiPriority w:val="0"/>
    <w:rPr>
      <w:rFonts w:eastAsia="宋体"/>
      <w:kern w:val="2"/>
      <w:sz w:val="18"/>
      <w:szCs w:val="18"/>
      <w:lang w:val="en-US" w:eastAsia="zh-CN" w:bidi="ar-SA"/>
    </w:rPr>
  </w:style>
  <w:style w:type="character" w:customStyle="1" w:styleId="98">
    <w:name w:val="正文文本 3 Char"/>
    <w:link w:val="18"/>
    <w:qFormat/>
    <w:uiPriority w:val="0"/>
    <w:rPr>
      <w:rFonts w:eastAsia="宋体"/>
      <w:kern w:val="2"/>
      <w:sz w:val="16"/>
      <w:szCs w:val="16"/>
      <w:lang w:val="en-US" w:eastAsia="zh-CN" w:bidi="ar-SA"/>
    </w:rPr>
  </w:style>
  <w:style w:type="character" w:customStyle="1" w:styleId="99">
    <w:name w:val="批注框文本 Char"/>
    <w:link w:val="26"/>
    <w:semiHidden/>
    <w:qFormat/>
    <w:uiPriority w:val="0"/>
    <w:rPr>
      <w:rFonts w:eastAsia="宋体"/>
      <w:kern w:val="2"/>
      <w:sz w:val="18"/>
      <w:szCs w:val="18"/>
      <w:lang w:val="en-US" w:eastAsia="zh-CN" w:bidi="ar-SA"/>
    </w:rPr>
  </w:style>
  <w:style w:type="paragraph" w:customStyle="1" w:styleId="100">
    <w:name w:val="样式1"/>
    <w:basedOn w:val="40"/>
    <w:qFormat/>
    <w:uiPriority w:val="0"/>
    <w:pPr>
      <w:spacing w:before="120" w:after="120"/>
    </w:pPr>
    <w:rPr>
      <w:rFonts w:eastAsia="黑体"/>
      <w:b w:val="0"/>
      <w:sz w:val="30"/>
      <w:szCs w:val="21"/>
    </w:rPr>
  </w:style>
  <w:style w:type="paragraph" w:customStyle="1" w:styleId="101">
    <w:name w:val="样式2"/>
    <w:basedOn w:val="40"/>
    <w:next w:val="100"/>
    <w:qFormat/>
    <w:uiPriority w:val="0"/>
    <w:pPr>
      <w:spacing w:before="120" w:after="120"/>
    </w:pPr>
    <w:rPr>
      <w:rFonts w:eastAsia="黑体"/>
      <w:b w:val="0"/>
      <w:sz w:val="30"/>
      <w:szCs w:val="30"/>
    </w:rPr>
  </w:style>
  <w:style w:type="character" w:customStyle="1" w:styleId="102">
    <w:name w:val="标题 3 Char Char"/>
    <w:qFormat/>
    <w:uiPriority w:val="0"/>
    <w:rPr>
      <w:rFonts w:eastAsia="宋体"/>
      <w:b/>
      <w:bCs/>
      <w:kern w:val="2"/>
      <w:sz w:val="32"/>
      <w:szCs w:val="32"/>
      <w:lang w:val="en-US" w:eastAsia="zh-CN" w:bidi="ar-SA"/>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szCs w:val="20"/>
    </w:rPr>
  </w:style>
  <w:style w:type="paragraph" w:customStyle="1" w:styleId="106">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7">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sz w:val="24"/>
    </w:rPr>
  </w:style>
  <w:style w:type="paragraph" w:customStyle="1" w:styleId="109">
    <w:name w:val="文字"/>
    <w:basedOn w:val="1"/>
    <w:qFormat/>
    <w:uiPriority w:val="0"/>
    <w:pPr>
      <w:tabs>
        <w:tab w:val="left" w:pos="8520"/>
      </w:tabs>
      <w:spacing w:line="312" w:lineRule="auto"/>
      <w:ind w:right="-210" w:firstLine="556"/>
    </w:pPr>
    <w:rPr>
      <w:rFonts w:ascii="宋体"/>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szCs w:val="21"/>
    </w:rPr>
  </w:style>
  <w:style w:type="paragraph" w:customStyle="1" w:styleId="113">
    <w:name w:val="--规划-题注"/>
    <w:basedOn w:val="1"/>
    <w:next w:val="105"/>
    <w:qFormat/>
    <w:uiPriority w:val="0"/>
    <w:pPr>
      <w:spacing w:line="360" w:lineRule="auto"/>
      <w:jc w:val="center"/>
    </w:pPr>
    <w:rPr>
      <w:rFonts w:eastAsia="黑体"/>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eastAsia="黑体"/>
    </w:rPr>
  </w:style>
  <w:style w:type="paragraph" w:customStyle="1" w:styleId="116">
    <w:name w:val="--规划正文 Char"/>
    <w:basedOn w:val="1"/>
    <w:qFormat/>
    <w:uiPriority w:val="0"/>
    <w:pPr>
      <w:spacing w:line="360" w:lineRule="auto"/>
      <w:ind w:firstLine="200" w:firstLineChars="200"/>
    </w:pPr>
    <w:rPr>
      <w:sz w:val="24"/>
    </w:rPr>
  </w:style>
  <w:style w:type="paragraph" w:customStyle="1" w:styleId="117">
    <w:name w:val="缺省文本"/>
    <w:basedOn w:val="1"/>
    <w:qFormat/>
    <w:uiPriority w:val="0"/>
    <w:pPr>
      <w:autoSpaceDE w:val="0"/>
      <w:autoSpaceDN w:val="0"/>
      <w:adjustRightInd w:val="0"/>
      <w:jc w:val="left"/>
    </w:pPr>
    <w:rPr>
      <w:kern w:val="0"/>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9">
    <w:name w:val="--规划正文 Char Char"/>
    <w:qFormat/>
    <w:uiPriority w:val="0"/>
    <w:rPr>
      <w:rFonts w:eastAsia="宋体"/>
      <w:kern w:val="2"/>
      <w:sz w:val="24"/>
      <w:szCs w:val="24"/>
      <w:lang w:val="en-US" w:eastAsia="zh-CN" w:bidi="ar-SA"/>
    </w:rPr>
  </w:style>
  <w:style w:type="paragraph" w:customStyle="1" w:styleId="120">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1">
    <w:name w:val="--规划正文 Char1"/>
    <w:qFormat/>
    <w:uiPriority w:val="0"/>
    <w:rPr>
      <w:rFonts w:eastAsia="宋体"/>
      <w:kern w:val="2"/>
      <w:sz w:val="21"/>
      <w:lang w:val="en-US" w:eastAsia="zh-CN" w:bidi="ar-SA"/>
    </w:rPr>
  </w:style>
  <w:style w:type="paragraph" w:customStyle="1" w:styleId="122">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3">
    <w:name w:val="列表项目"/>
    <w:basedOn w:val="1"/>
    <w:qFormat/>
    <w:uiPriority w:val="0"/>
    <w:pPr>
      <w:tabs>
        <w:tab w:val="left" w:pos="420"/>
        <w:tab w:val="left" w:pos="1080"/>
      </w:tabs>
      <w:spacing w:line="288" w:lineRule="auto"/>
      <w:ind w:left="1080" w:hanging="360"/>
    </w:pPr>
    <w:rPr>
      <w:sz w:val="24"/>
      <w:szCs w:val="20"/>
    </w:rPr>
  </w:style>
  <w:style w:type="character" w:customStyle="1" w:styleId="124">
    <w:name w:val="content1"/>
    <w:qFormat/>
    <w:uiPriority w:val="0"/>
    <w:rPr>
      <w:rFonts w:hint="default" w:ascii="??" w:hAnsi="??"/>
      <w:sz w:val="16"/>
      <w:szCs w:val="16"/>
      <w:u w:val="none"/>
    </w:rPr>
  </w:style>
  <w:style w:type="character" w:customStyle="1" w:styleId="125">
    <w:name w:val="unnamed4"/>
    <w:basedOn w:val="46"/>
    <w:qFormat/>
    <w:uiPriority w:val="0"/>
  </w:style>
  <w:style w:type="character" w:customStyle="1" w:styleId="126">
    <w:name w:val="font2"/>
    <w:basedOn w:val="46"/>
    <w:qFormat/>
    <w:uiPriority w:val="0"/>
  </w:style>
  <w:style w:type="character" w:customStyle="1" w:styleId="127">
    <w:name w:val="font41"/>
    <w:qFormat/>
    <w:uiPriority w:val="0"/>
    <w:rPr>
      <w:color w:val="000000"/>
      <w:spacing w:val="260"/>
      <w:sz w:val="18"/>
      <w:szCs w:val="18"/>
      <w:u w:val="none"/>
    </w:rPr>
  </w:style>
  <w:style w:type="paragraph" w:customStyle="1" w:styleId="128">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9">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0">
    <w:name w:val="正文首行缩进 Char"/>
    <w:link w:val="42"/>
    <w:qFormat/>
    <w:uiPriority w:val="0"/>
    <w:rPr>
      <w:rFonts w:eastAsia="宋体"/>
      <w:b/>
      <w:bCs/>
      <w:kern w:val="2"/>
      <w:sz w:val="21"/>
      <w:szCs w:val="24"/>
      <w:lang w:val="en-US" w:eastAsia="zh-CN" w:bidi="ar-SA"/>
    </w:rPr>
  </w:style>
  <w:style w:type="paragraph" w:customStyle="1" w:styleId="131">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2">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3">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4">
    <w:name w:val="mode"/>
    <w:basedOn w:val="46"/>
    <w:qFormat/>
    <w:uiPriority w:val="0"/>
  </w:style>
  <w:style w:type="paragraph" w:customStyle="1" w:styleId="135">
    <w:name w:val="9"/>
    <w:basedOn w:val="1"/>
    <w:next w:val="8"/>
    <w:qFormat/>
    <w:uiPriority w:val="0"/>
    <w:pPr>
      <w:autoSpaceDE w:val="0"/>
      <w:autoSpaceDN w:val="0"/>
      <w:adjustRightInd w:val="0"/>
      <w:ind w:firstLine="420"/>
      <w:jc w:val="left"/>
      <w:textAlignment w:val="baseline"/>
    </w:pPr>
    <w:rPr>
      <w:rFonts w:ascii="宋体"/>
      <w:kern w:val="0"/>
      <w:sz w:val="34"/>
      <w:szCs w:val="20"/>
    </w:rPr>
  </w:style>
  <w:style w:type="character" w:customStyle="1" w:styleId="136">
    <w:name w:val="unnamed3"/>
    <w:basedOn w:val="46"/>
    <w:qFormat/>
    <w:uiPriority w:val="0"/>
  </w:style>
  <w:style w:type="paragraph" w:customStyle="1" w:styleId="137">
    <w:name w:val="8"/>
    <w:basedOn w:val="1"/>
    <w:next w:val="19"/>
    <w:qFormat/>
    <w:uiPriority w:val="0"/>
    <w:pPr>
      <w:spacing w:after="120"/>
      <w:ind w:left="420" w:leftChars="200"/>
    </w:pPr>
  </w:style>
  <w:style w:type="paragraph" w:customStyle="1" w:styleId="138">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9">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0">
    <w:name w:val="5"/>
    <w:basedOn w:val="1"/>
    <w:qFormat/>
    <w:uiPriority w:val="0"/>
    <w:pPr>
      <w:autoSpaceDE w:val="0"/>
      <w:autoSpaceDN w:val="0"/>
      <w:adjustRightInd w:val="0"/>
      <w:jc w:val="left"/>
    </w:pPr>
    <w:rPr>
      <w:rFonts w:ascii="宋体"/>
      <w:b/>
      <w:bCs/>
      <w:kern w:val="0"/>
      <w:sz w:val="18"/>
      <w:szCs w:val="18"/>
    </w:rPr>
  </w:style>
  <w:style w:type="paragraph" w:customStyle="1" w:styleId="141">
    <w:name w:val="6"/>
    <w:basedOn w:val="140"/>
    <w:qFormat/>
    <w:uiPriority w:val="0"/>
    <w:pPr>
      <w:spacing w:line="270" w:lineRule="atLeast"/>
      <w:jc w:val="both"/>
    </w:pPr>
    <w:rPr>
      <w:b w:val="0"/>
      <w:bCs w:val="0"/>
    </w:rPr>
  </w:style>
  <w:style w:type="paragraph" w:customStyle="1" w:styleId="142">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3">
    <w:name w:val="姜文清定义的正文"/>
    <w:basedOn w:val="1"/>
    <w:qFormat/>
    <w:uiPriority w:val="0"/>
    <w:pPr>
      <w:spacing w:line="240" w:lineRule="atLeast"/>
      <w:ind w:firstLine="567"/>
    </w:pPr>
    <w:rPr>
      <w:szCs w:val="20"/>
    </w:rPr>
  </w:style>
  <w:style w:type="paragraph" w:customStyle="1" w:styleId="14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5">
    <w:name w:val="CM2"/>
    <w:basedOn w:val="144"/>
    <w:next w:val="144"/>
    <w:qFormat/>
    <w:uiPriority w:val="0"/>
    <w:pPr>
      <w:spacing w:line="200" w:lineRule="atLeast"/>
    </w:pPr>
    <w:rPr>
      <w:rFonts w:ascii="Arial" w:hAnsi="Arial" w:eastAsia="宋体" w:cs="Times New Roman"/>
      <w:color w:val="auto"/>
    </w:rPr>
  </w:style>
  <w:style w:type="paragraph" w:customStyle="1" w:styleId="146">
    <w:name w:val="Normal Paragraph"/>
    <w:basedOn w:val="1"/>
    <w:qFormat/>
    <w:uiPriority w:val="0"/>
    <w:pPr>
      <w:widowControl/>
      <w:spacing w:before="120" w:line="360" w:lineRule="auto"/>
      <w:ind w:firstLine="425"/>
    </w:pPr>
    <w:rPr>
      <w:kern w:val="0"/>
      <w:sz w:val="24"/>
    </w:rPr>
  </w:style>
  <w:style w:type="character" w:customStyle="1" w:styleId="147">
    <w:name w:val="blue"/>
    <w:basedOn w:val="46"/>
    <w:qFormat/>
    <w:uiPriority w:val="0"/>
  </w:style>
  <w:style w:type="paragraph" w:customStyle="1" w:styleId="148">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9">
    <w:name w:val="font"/>
    <w:basedOn w:val="46"/>
    <w:qFormat/>
    <w:uiPriority w:val="0"/>
  </w:style>
  <w:style w:type="character" w:customStyle="1" w:styleId="150">
    <w:name w:val="font11"/>
    <w:qFormat/>
    <w:uiPriority w:val="0"/>
    <w:rPr>
      <w:rFonts w:hint="default" w:ascii="ˎ̥" w:hAnsi="ˎ̥"/>
    </w:rPr>
  </w:style>
  <w:style w:type="paragraph" w:customStyle="1" w:styleId="151">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2">
    <w:name w:val="proddescription"/>
    <w:basedOn w:val="46"/>
    <w:qFormat/>
    <w:uiPriority w:val="0"/>
  </w:style>
  <w:style w:type="character" w:customStyle="1" w:styleId="153">
    <w:name w:val="prodheadlines"/>
    <w:basedOn w:val="46"/>
    <w:qFormat/>
    <w:uiPriority w:val="0"/>
  </w:style>
  <w:style w:type="character" w:customStyle="1" w:styleId="154">
    <w:name w:val="text"/>
    <w:basedOn w:val="46"/>
    <w:qFormat/>
    <w:uiPriority w:val="0"/>
  </w:style>
  <w:style w:type="paragraph" w:customStyle="1" w:styleId="155">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7">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8">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9">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0">
    <w:name w:val="段落正文"/>
    <w:basedOn w:val="22"/>
    <w:qFormat/>
    <w:uiPriority w:val="0"/>
    <w:pPr>
      <w:ind w:firstLine="560" w:firstLineChars="200"/>
    </w:pPr>
    <w:rPr>
      <w:sz w:val="28"/>
    </w:rPr>
  </w:style>
  <w:style w:type="character" w:customStyle="1" w:styleId="161">
    <w:name w:val="gray6"/>
    <w:basedOn w:val="46"/>
    <w:qFormat/>
    <w:uiPriority w:val="0"/>
  </w:style>
  <w:style w:type="character" w:customStyle="1" w:styleId="162">
    <w:name w:val="style9"/>
    <w:basedOn w:val="46"/>
    <w:qFormat/>
    <w:uiPriority w:val="0"/>
  </w:style>
  <w:style w:type="paragraph" w:customStyle="1" w:styleId="163">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4">
    <w:name w:val="grame"/>
    <w:basedOn w:val="46"/>
    <w:qFormat/>
    <w:uiPriority w:val="0"/>
  </w:style>
  <w:style w:type="paragraph" w:customStyle="1" w:styleId="165">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6">
    <w:name w:val="Char1"/>
    <w:basedOn w:val="1"/>
    <w:qFormat/>
    <w:uiPriority w:val="0"/>
    <w:pPr>
      <w:jc w:val="left"/>
    </w:pPr>
    <w:rPr>
      <w:rFonts w:ascii="Tahoma" w:hAnsi="Tahoma"/>
      <w:sz w:val="24"/>
      <w:szCs w:val="20"/>
    </w:rPr>
  </w:style>
  <w:style w:type="paragraph" w:customStyle="1" w:styleId="167">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8">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1">
    <w:name w:val="font6"/>
    <w:basedOn w:val="1"/>
    <w:qFormat/>
    <w:uiPriority w:val="0"/>
    <w:pPr>
      <w:widowControl/>
      <w:spacing w:before="100" w:beforeAutospacing="1" w:after="100" w:afterAutospacing="1"/>
      <w:jc w:val="left"/>
    </w:pPr>
    <w:rPr>
      <w:kern w:val="0"/>
      <w:sz w:val="24"/>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4">
    <w:name w:val="表格字"/>
    <w:basedOn w:val="1"/>
    <w:qFormat/>
    <w:uiPriority w:val="0"/>
    <w:pPr>
      <w:adjustRightInd w:val="0"/>
      <w:jc w:val="center"/>
    </w:pPr>
    <w:rPr>
      <w:rFonts w:ascii="宋体"/>
      <w:sz w:val="24"/>
      <w:szCs w:val="20"/>
    </w:rPr>
  </w:style>
  <w:style w:type="character" w:customStyle="1" w:styleId="175">
    <w:name w:val="样式 小三 加粗"/>
    <w:qFormat/>
    <w:uiPriority w:val="0"/>
    <w:rPr>
      <w:rFonts w:eastAsia="宋体"/>
      <w:b/>
      <w:bCs/>
      <w:sz w:val="32"/>
    </w:rPr>
  </w:style>
  <w:style w:type="paragraph" w:customStyle="1" w:styleId="1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8">
    <w:name w:val="Char Char Char"/>
    <w:basedOn w:val="1"/>
    <w:qFormat/>
    <w:uiPriority w:val="0"/>
    <w:rPr>
      <w:rFonts w:ascii="Tahoma" w:hAnsi="Tahoma"/>
      <w:sz w:val="24"/>
      <w:szCs w:val="20"/>
    </w:rPr>
  </w:style>
  <w:style w:type="paragraph" w:customStyle="1" w:styleId="17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0">
    <w:name w:val="info4"/>
    <w:basedOn w:val="46"/>
    <w:qFormat/>
    <w:uiPriority w:val="0"/>
  </w:style>
  <w:style w:type="paragraph" w:customStyle="1" w:styleId="181">
    <w:name w:val="缩进正文"/>
    <w:basedOn w:val="1"/>
    <w:link w:val="182"/>
    <w:qFormat/>
    <w:uiPriority w:val="0"/>
    <w:pPr>
      <w:ind w:firstLine="560" w:firstLineChars="200"/>
    </w:pPr>
    <w:rPr>
      <w:rFonts w:eastAsia="仿宋_GB2312" w:cs="宋体"/>
      <w:sz w:val="28"/>
      <w:szCs w:val="20"/>
    </w:rPr>
  </w:style>
  <w:style w:type="character" w:customStyle="1" w:styleId="182">
    <w:name w:val="缩进正文 Char"/>
    <w:link w:val="181"/>
    <w:qFormat/>
    <w:uiPriority w:val="0"/>
    <w:rPr>
      <w:rFonts w:eastAsia="仿宋_GB2312" w:cs="宋体"/>
      <w:kern w:val="2"/>
      <w:sz w:val="28"/>
      <w:lang w:val="en-US" w:eastAsia="zh-CN" w:bidi="ar-SA"/>
    </w:rPr>
  </w:style>
  <w:style w:type="paragraph" w:customStyle="1" w:styleId="183">
    <w:name w:val="列出段落1"/>
    <w:basedOn w:val="1"/>
    <w:qFormat/>
    <w:uiPriority w:val="0"/>
    <w:pPr>
      <w:ind w:firstLine="420" w:firstLineChars="200"/>
    </w:pPr>
    <w:rPr>
      <w:rFonts w:ascii="Calibri" w:hAnsi="Calibri" w:cs="Calibri"/>
      <w:szCs w:val="21"/>
    </w:rPr>
  </w:style>
  <w:style w:type="character" w:customStyle="1" w:styleId="184">
    <w:name w:val="批注文字 Char"/>
    <w:basedOn w:val="46"/>
    <w:link w:val="17"/>
    <w:semiHidden/>
    <w:qFormat/>
    <w:uiPriority w:val="0"/>
    <w:rPr>
      <w:rFonts w:ascii="宋体"/>
      <w:sz w:val="34"/>
    </w:rPr>
  </w:style>
  <w:style w:type="character" w:customStyle="1" w:styleId="185">
    <w:name w:val="批注主题 Char"/>
    <w:basedOn w:val="184"/>
    <w:link w:val="41"/>
    <w:qFormat/>
    <w:uiPriority w:val="0"/>
    <w:rPr>
      <w:rFonts w:ascii="宋体"/>
      <w:sz w:val="34"/>
    </w:rPr>
  </w:style>
  <w:style w:type="paragraph" w:customStyle="1" w:styleId="186">
    <w:name w:val="评价"/>
    <w:basedOn w:val="1"/>
    <w:qFormat/>
    <w:uiPriority w:val="0"/>
    <w:pPr>
      <w:spacing w:afterLines="20"/>
      <w:ind w:firstLine="1446" w:firstLineChars="200"/>
    </w:pPr>
    <w:rPr>
      <w:rFonts w:ascii="Calibri" w:hAnsi="Calibri"/>
      <w:sz w:val="24"/>
    </w:rPr>
  </w:style>
  <w:style w:type="paragraph" w:customStyle="1" w:styleId="1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8">
    <w:name w:val="alt-edited1"/>
    <w:qFormat/>
    <w:uiPriority w:val="0"/>
    <w:rPr>
      <w:color w:val="4D90F0"/>
    </w:rPr>
  </w:style>
  <w:style w:type="paragraph" w:customStyle="1" w:styleId="189">
    <w:name w:val="toc 14"/>
    <w:next w:val="1"/>
    <w:qFormat/>
    <w:uiPriority w:val="0"/>
    <w:pPr>
      <w:wordWrap w:val="0"/>
      <w:jc w:val="both"/>
    </w:pPr>
    <w:rPr>
      <w:rFonts w:ascii="Calibri" w:hAnsi="Calibri" w:eastAsia="宋体" w:cs="Times New Roman"/>
      <w:sz w:val="21"/>
      <w:lang w:val="en-US" w:eastAsia="zh-CN" w:bidi="ar-SA"/>
    </w:rPr>
  </w:style>
  <w:style w:type="character" w:customStyle="1" w:styleId="190">
    <w:name w:val="文档结构图 Char1"/>
    <w:semiHidden/>
    <w:qFormat/>
    <w:uiPriority w:val="0"/>
    <w:rPr>
      <w:sz w:val="20"/>
    </w:rPr>
  </w:style>
  <w:style w:type="character" w:customStyle="1" w:styleId="191">
    <w:name w:val="文档结构图 Char"/>
    <w:semiHidden/>
    <w:qFormat/>
    <w:uiPriority w:val="0"/>
    <w:rPr>
      <w:sz w:val="20"/>
    </w:rPr>
  </w:style>
  <w:style w:type="character" w:customStyle="1" w:styleId="192">
    <w:name w:val="short_text"/>
    <w:basedOn w:val="46"/>
    <w:qFormat/>
    <w:uiPriority w:val="0"/>
    <w:rPr>
      <w:sz w:val="20"/>
    </w:rPr>
  </w:style>
  <w:style w:type="character" w:customStyle="1" w:styleId="193">
    <w:name w:val="标题 Char1"/>
    <w:qFormat/>
    <w:uiPriority w:val="0"/>
    <w:rPr>
      <w:b/>
      <w:sz w:val="20"/>
    </w:rPr>
  </w:style>
  <w:style w:type="character" w:customStyle="1" w:styleId="194">
    <w:name w:val="正文文本缩进 3 Char1"/>
    <w:semiHidden/>
    <w:qFormat/>
    <w:uiPriority w:val="0"/>
    <w:rPr>
      <w:sz w:val="20"/>
    </w:rPr>
  </w:style>
  <w:style w:type="character" w:customStyle="1" w:styleId="195">
    <w:name w:val="font21"/>
    <w:qFormat/>
    <w:uiPriority w:val="0"/>
    <w:rPr>
      <w:color w:val="FF0000"/>
      <w:sz w:val="20"/>
      <w:u w:val="none"/>
    </w:rPr>
  </w:style>
  <w:style w:type="character" w:customStyle="1" w:styleId="196">
    <w:name w:val="不明显强调1"/>
    <w:qFormat/>
    <w:uiPriority w:val="0"/>
    <w:rPr>
      <w:i/>
      <w:sz w:val="20"/>
    </w:rPr>
  </w:style>
  <w:style w:type="character" w:customStyle="1" w:styleId="197">
    <w:name w:val="font71"/>
    <w:qFormat/>
    <w:uiPriority w:val="0"/>
    <w:rPr>
      <w:sz w:val="20"/>
      <w:u w:val="none"/>
    </w:rPr>
  </w:style>
  <w:style w:type="character" w:customStyle="1" w:styleId="198">
    <w:name w:val="页眉 Char1"/>
    <w:semiHidden/>
    <w:qFormat/>
    <w:uiPriority w:val="0"/>
    <w:rPr>
      <w:sz w:val="20"/>
    </w:rPr>
  </w:style>
  <w:style w:type="character" w:customStyle="1" w:styleId="199">
    <w:name w:val="正文文本缩进 2 Char1"/>
    <w:semiHidden/>
    <w:qFormat/>
    <w:uiPriority w:val="0"/>
    <w:rPr>
      <w:sz w:val="20"/>
    </w:rPr>
  </w:style>
  <w:style w:type="character" w:customStyle="1" w:styleId="200">
    <w:name w:val="font61"/>
    <w:qFormat/>
    <w:uiPriority w:val="0"/>
    <w:rPr>
      <w:sz w:val="20"/>
      <w:u w:val="none"/>
    </w:rPr>
  </w:style>
  <w:style w:type="character" w:customStyle="1" w:styleId="201">
    <w:name w:val="纯文本 Char1"/>
    <w:semiHidden/>
    <w:qFormat/>
    <w:uiPriority w:val="0"/>
    <w:rPr>
      <w:sz w:val="20"/>
    </w:rPr>
  </w:style>
  <w:style w:type="character" w:customStyle="1" w:styleId="202">
    <w:name w:val="正文文本 3 Char1"/>
    <w:semiHidden/>
    <w:qFormat/>
    <w:uiPriority w:val="0"/>
    <w:rPr>
      <w:sz w:val="20"/>
    </w:rPr>
  </w:style>
  <w:style w:type="character" w:customStyle="1" w:styleId="203">
    <w:name w:val="正文文本缩进 Char1"/>
    <w:semiHidden/>
    <w:qFormat/>
    <w:uiPriority w:val="0"/>
    <w:rPr>
      <w:sz w:val="20"/>
    </w:rPr>
  </w:style>
  <w:style w:type="character" w:customStyle="1" w:styleId="204">
    <w:name w:val="明显参考1"/>
    <w:qFormat/>
    <w:uiPriority w:val="0"/>
    <w:rPr>
      <w:b/>
      <w:sz w:val="20"/>
    </w:rPr>
  </w:style>
  <w:style w:type="character" w:customStyle="1" w:styleId="205">
    <w:name w:val="apple-converted-space"/>
    <w:qFormat/>
    <w:uiPriority w:val="0"/>
    <w:rPr>
      <w:sz w:val="20"/>
    </w:rPr>
  </w:style>
  <w:style w:type="character" w:customStyle="1" w:styleId="206">
    <w:name w:val="书籍标题1"/>
    <w:qFormat/>
    <w:uiPriority w:val="0"/>
    <w:rPr>
      <w:b/>
      <w:i/>
      <w:sz w:val="20"/>
    </w:rPr>
  </w:style>
  <w:style w:type="character" w:customStyle="1" w:styleId="207">
    <w:name w:val="long_text"/>
    <w:qFormat/>
    <w:uiPriority w:val="0"/>
    <w:rPr>
      <w:sz w:val="20"/>
    </w:rPr>
  </w:style>
  <w:style w:type="character" w:customStyle="1" w:styleId="208">
    <w:name w:val="日期 Char1"/>
    <w:semiHidden/>
    <w:qFormat/>
    <w:uiPriority w:val="0"/>
    <w:rPr>
      <w:sz w:val="20"/>
    </w:rPr>
  </w:style>
  <w:style w:type="character" w:customStyle="1" w:styleId="209">
    <w:name w:val="批注文字 Char1"/>
    <w:semiHidden/>
    <w:qFormat/>
    <w:uiPriority w:val="0"/>
    <w:rPr>
      <w:sz w:val="20"/>
    </w:rPr>
  </w:style>
  <w:style w:type="character" w:customStyle="1" w:styleId="210">
    <w:name w:val="明显强调1"/>
    <w:qFormat/>
    <w:uiPriority w:val="0"/>
    <w:rPr>
      <w:i/>
      <w:sz w:val="20"/>
    </w:rPr>
  </w:style>
  <w:style w:type="character" w:customStyle="1" w:styleId="211">
    <w:name w:val="16"/>
    <w:qFormat/>
    <w:uiPriority w:val="0"/>
    <w:rPr>
      <w:b/>
      <w:color w:val="FF0356"/>
      <w:sz w:val="20"/>
    </w:rPr>
  </w:style>
  <w:style w:type="character" w:customStyle="1" w:styleId="212">
    <w:name w:val="批注主题 Char1"/>
    <w:semiHidden/>
    <w:qFormat/>
    <w:uiPriority w:val="0"/>
    <w:rPr>
      <w:b/>
      <w:sz w:val="20"/>
    </w:rPr>
  </w:style>
  <w:style w:type="character" w:customStyle="1" w:styleId="213">
    <w:name w:val="正文文本 2 Char1"/>
    <w:semiHidden/>
    <w:qFormat/>
    <w:uiPriority w:val="0"/>
    <w:rPr>
      <w:sz w:val="20"/>
    </w:rPr>
  </w:style>
  <w:style w:type="character" w:customStyle="1" w:styleId="214">
    <w:name w:val="font31"/>
    <w:qFormat/>
    <w:uiPriority w:val="0"/>
    <w:rPr>
      <w:color w:val="FF0000"/>
      <w:sz w:val="20"/>
      <w:u w:val="none"/>
      <w:vertAlign w:val="superscript"/>
    </w:rPr>
  </w:style>
  <w:style w:type="character" w:customStyle="1" w:styleId="215">
    <w:name w:val="不明显参考1"/>
    <w:qFormat/>
    <w:uiPriority w:val="0"/>
    <w:rPr>
      <w:sz w:val="20"/>
    </w:rPr>
  </w:style>
  <w:style w:type="character" w:customStyle="1" w:styleId="216">
    <w:name w:val="HTML 预设格式 Char1"/>
    <w:semiHidden/>
    <w:qFormat/>
    <w:uiPriority w:val="0"/>
    <w:rPr>
      <w:sz w:val="20"/>
    </w:rPr>
  </w:style>
  <w:style w:type="character" w:customStyle="1" w:styleId="217">
    <w:name w:val="font01"/>
    <w:qFormat/>
    <w:uiPriority w:val="0"/>
    <w:rPr>
      <w:color w:val="FF0000"/>
      <w:sz w:val="20"/>
      <w:u w:val="none"/>
      <w:vertAlign w:val="superscript"/>
    </w:rPr>
  </w:style>
  <w:style w:type="character" w:customStyle="1" w:styleId="218">
    <w:name w:val="页脚 Char1"/>
    <w:semiHidden/>
    <w:qFormat/>
    <w:uiPriority w:val="0"/>
    <w:rPr>
      <w:sz w:val="20"/>
    </w:rPr>
  </w:style>
  <w:style w:type="character" w:customStyle="1" w:styleId="219">
    <w:name w:val="批注框文本 Char1"/>
    <w:semiHidden/>
    <w:qFormat/>
    <w:uiPriority w:val="0"/>
    <w:rPr>
      <w:sz w:val="20"/>
    </w:rPr>
  </w:style>
  <w:style w:type="paragraph" w:customStyle="1" w:styleId="220">
    <w:name w:val="列出段落2"/>
    <w:basedOn w:val="1"/>
    <w:next w:val="221"/>
    <w:qFormat/>
    <w:uiPriority w:val="0"/>
    <w:pPr>
      <w:ind w:firstLine="420"/>
    </w:pPr>
    <w:rPr>
      <w:rFonts w:hAnsi="Calibri"/>
      <w:kern w:val="0"/>
      <w:szCs w:val="20"/>
    </w:rPr>
  </w:style>
  <w:style w:type="paragraph" w:customStyle="1" w:styleId="221">
    <w:name w:val="toc 814"/>
    <w:next w:val="1"/>
    <w:qFormat/>
    <w:uiPriority w:val="0"/>
    <w:pPr>
      <w:wordWrap w:val="0"/>
      <w:ind w:left="2975"/>
      <w:jc w:val="both"/>
    </w:pPr>
    <w:rPr>
      <w:rFonts w:ascii="Calibri" w:hAnsi="Calibri" w:eastAsia="宋体" w:cs="Times New Roman"/>
      <w:sz w:val="21"/>
      <w:lang w:val="en-US" w:eastAsia="zh-CN" w:bidi="ar-SA"/>
    </w:rPr>
  </w:style>
  <w:style w:type="paragraph" w:customStyle="1" w:styleId="222">
    <w:name w:val="toc 62"/>
    <w:next w:val="1"/>
    <w:qFormat/>
    <w:uiPriority w:val="0"/>
    <w:pPr>
      <w:wordWrap w:val="0"/>
      <w:ind w:left="2125"/>
      <w:jc w:val="both"/>
    </w:pPr>
    <w:rPr>
      <w:rFonts w:ascii="Calibri" w:hAnsi="Calibri" w:eastAsia="宋体" w:cs="Times New Roman"/>
      <w:sz w:val="21"/>
      <w:lang w:val="en-US" w:eastAsia="zh-CN" w:bidi="ar-SA"/>
    </w:rPr>
  </w:style>
  <w:style w:type="paragraph" w:customStyle="1" w:styleId="223">
    <w:name w:val="toc 414"/>
    <w:next w:val="1"/>
    <w:qFormat/>
    <w:uiPriority w:val="0"/>
    <w:pPr>
      <w:wordWrap w:val="0"/>
      <w:ind w:left="1275"/>
      <w:jc w:val="both"/>
    </w:pPr>
    <w:rPr>
      <w:rFonts w:ascii="Calibri" w:hAnsi="Calibri" w:eastAsia="宋体" w:cs="Times New Roman"/>
      <w:sz w:val="21"/>
      <w:lang w:val="en-US" w:eastAsia="zh-CN" w:bidi="ar-SA"/>
    </w:rPr>
  </w:style>
  <w:style w:type="paragraph" w:customStyle="1" w:styleId="224">
    <w:name w:val="toc 411"/>
    <w:next w:val="1"/>
    <w:qFormat/>
    <w:uiPriority w:val="0"/>
    <w:pPr>
      <w:wordWrap w:val="0"/>
      <w:ind w:left="1275"/>
      <w:jc w:val="both"/>
    </w:pPr>
    <w:rPr>
      <w:rFonts w:ascii="Calibri" w:hAnsi="Calibri" w:eastAsia="宋体" w:cs="Times New Roman"/>
      <w:sz w:val="21"/>
      <w:lang w:val="en-US" w:eastAsia="zh-CN" w:bidi="ar-SA"/>
    </w:rPr>
  </w:style>
  <w:style w:type="paragraph" w:customStyle="1" w:styleId="225">
    <w:name w:val="xl86"/>
    <w:basedOn w:val="1"/>
    <w:next w:val="226"/>
    <w:qFormat/>
    <w:uiPriority w:val="0"/>
    <w:pPr>
      <w:widowControl/>
      <w:shd w:val="clear" w:color="000000" w:fill="FFFFFF"/>
      <w:spacing w:before="280" w:after="280"/>
      <w:jc w:val="center"/>
    </w:pPr>
    <w:rPr>
      <w:rFonts w:ascii="宋体" w:hAnsi="Calibri"/>
      <w:kern w:val="0"/>
      <w:sz w:val="20"/>
      <w:szCs w:val="20"/>
    </w:rPr>
  </w:style>
  <w:style w:type="paragraph" w:customStyle="1" w:styleId="226">
    <w:name w:val="toc 515"/>
    <w:next w:val="1"/>
    <w:qFormat/>
    <w:uiPriority w:val="0"/>
    <w:pPr>
      <w:wordWrap w:val="0"/>
      <w:ind w:left="1700"/>
      <w:jc w:val="both"/>
    </w:pPr>
    <w:rPr>
      <w:rFonts w:ascii="Calibri" w:hAnsi="Calibri" w:eastAsia="宋体" w:cs="Times New Roman"/>
      <w:sz w:val="21"/>
      <w:lang w:val="en-US" w:eastAsia="zh-CN" w:bidi="ar-SA"/>
    </w:rPr>
  </w:style>
  <w:style w:type="paragraph" w:customStyle="1" w:styleId="227">
    <w:name w:val="TOC Heading4"/>
    <w:next w:val="1"/>
    <w:qFormat/>
    <w:uiPriority w:val="0"/>
    <w:pPr>
      <w:wordWrap w:val="0"/>
    </w:pPr>
    <w:rPr>
      <w:rFonts w:ascii="Calibri" w:hAnsi="Calibri" w:eastAsia="宋体" w:cs="Times New Roman"/>
      <w:sz w:val="32"/>
      <w:lang w:val="en-US" w:eastAsia="zh-CN" w:bidi="ar-SA"/>
    </w:rPr>
  </w:style>
  <w:style w:type="paragraph" w:customStyle="1" w:styleId="228">
    <w:name w:val="toc 15"/>
    <w:next w:val="1"/>
    <w:qFormat/>
    <w:uiPriority w:val="0"/>
    <w:pPr>
      <w:wordWrap w:val="0"/>
      <w:jc w:val="both"/>
    </w:pPr>
    <w:rPr>
      <w:rFonts w:ascii="Calibri" w:hAnsi="Calibri" w:eastAsia="宋体" w:cs="Times New Roman"/>
      <w:sz w:val="21"/>
      <w:lang w:val="en-US" w:eastAsia="zh-CN" w:bidi="ar-SA"/>
    </w:rPr>
  </w:style>
  <w:style w:type="paragraph" w:customStyle="1" w:styleId="229">
    <w:name w:val="TOC Heading2"/>
    <w:next w:val="1"/>
    <w:qFormat/>
    <w:uiPriority w:val="0"/>
    <w:pPr>
      <w:wordWrap w:val="0"/>
    </w:pPr>
    <w:rPr>
      <w:rFonts w:ascii="Calibri" w:hAnsi="Calibri" w:eastAsia="宋体" w:cs="Times New Roman"/>
      <w:sz w:val="32"/>
      <w:lang w:val="en-US" w:eastAsia="zh-CN" w:bidi="ar-SA"/>
    </w:rPr>
  </w:style>
  <w:style w:type="paragraph" w:customStyle="1" w:styleId="230">
    <w:name w:val="TOC Heading1"/>
    <w:next w:val="1"/>
    <w:qFormat/>
    <w:uiPriority w:val="0"/>
    <w:pPr>
      <w:wordWrap w:val="0"/>
    </w:pPr>
    <w:rPr>
      <w:rFonts w:ascii="Calibri" w:hAnsi="Calibri" w:eastAsia="宋体" w:cs="Times New Roman"/>
      <w:sz w:val="32"/>
      <w:lang w:val="en-US" w:eastAsia="zh-CN" w:bidi="ar-SA"/>
    </w:rPr>
  </w:style>
  <w:style w:type="paragraph" w:customStyle="1" w:styleId="231">
    <w:name w:val="toc 73"/>
    <w:next w:val="1"/>
    <w:qFormat/>
    <w:uiPriority w:val="0"/>
    <w:pPr>
      <w:wordWrap w:val="0"/>
      <w:ind w:left="2550"/>
      <w:jc w:val="both"/>
    </w:pPr>
    <w:rPr>
      <w:rFonts w:ascii="Calibri" w:hAnsi="Calibri" w:eastAsia="宋体" w:cs="Times New Roman"/>
      <w:sz w:val="21"/>
      <w:lang w:val="en-US" w:eastAsia="zh-CN" w:bidi="ar-SA"/>
    </w:rPr>
  </w:style>
  <w:style w:type="paragraph" w:customStyle="1" w:styleId="232">
    <w:name w:val="font7"/>
    <w:basedOn w:val="1"/>
    <w:next w:val="233"/>
    <w:qFormat/>
    <w:uiPriority w:val="0"/>
    <w:pPr>
      <w:widowControl/>
      <w:spacing w:before="280" w:after="280"/>
    </w:pPr>
    <w:rPr>
      <w:rFonts w:ascii="Arial" w:hAnsi="Calibri"/>
      <w:kern w:val="0"/>
      <w:sz w:val="18"/>
      <w:szCs w:val="20"/>
    </w:rPr>
  </w:style>
  <w:style w:type="paragraph" w:customStyle="1" w:styleId="233">
    <w:name w:val="toc 810"/>
    <w:next w:val="1"/>
    <w:qFormat/>
    <w:uiPriority w:val="0"/>
    <w:pPr>
      <w:wordWrap w:val="0"/>
      <w:ind w:left="2975"/>
      <w:jc w:val="both"/>
    </w:pPr>
    <w:rPr>
      <w:rFonts w:ascii="Calibri" w:hAnsi="Calibri" w:eastAsia="宋体" w:cs="Times New Roman"/>
      <w:sz w:val="21"/>
      <w:lang w:val="en-US" w:eastAsia="zh-CN" w:bidi="ar-SA"/>
    </w:rPr>
  </w:style>
  <w:style w:type="paragraph" w:customStyle="1" w:styleId="234">
    <w:name w:val="xl113"/>
    <w:basedOn w:val="1"/>
    <w:next w:val="235"/>
    <w:qFormat/>
    <w:uiPriority w:val="0"/>
    <w:pPr>
      <w:widowControl/>
      <w:shd w:val="clear" w:color="000000" w:fill="FFFFFF"/>
      <w:spacing w:before="280" w:after="280"/>
      <w:jc w:val="center"/>
    </w:pPr>
    <w:rPr>
      <w:rFonts w:ascii="宋体" w:hAnsi="Calibri"/>
      <w:b/>
      <w:kern w:val="0"/>
      <w:sz w:val="20"/>
      <w:szCs w:val="20"/>
    </w:rPr>
  </w:style>
  <w:style w:type="paragraph" w:customStyle="1" w:styleId="235">
    <w:name w:val="TOC Heading10"/>
    <w:next w:val="1"/>
    <w:qFormat/>
    <w:uiPriority w:val="0"/>
    <w:pPr>
      <w:wordWrap w:val="0"/>
    </w:pPr>
    <w:rPr>
      <w:rFonts w:ascii="Calibri" w:hAnsi="Calibri" w:eastAsia="宋体" w:cs="Times New Roman"/>
      <w:sz w:val="32"/>
      <w:lang w:val="en-US" w:eastAsia="zh-CN" w:bidi="ar-SA"/>
    </w:rPr>
  </w:style>
  <w:style w:type="paragraph" w:customStyle="1" w:styleId="236">
    <w:name w:val="toc 89"/>
    <w:next w:val="1"/>
    <w:qFormat/>
    <w:uiPriority w:val="0"/>
    <w:pPr>
      <w:wordWrap w:val="0"/>
      <w:ind w:left="2975"/>
      <w:jc w:val="both"/>
    </w:pPr>
    <w:rPr>
      <w:rFonts w:ascii="Calibri" w:hAnsi="Calibri" w:eastAsia="宋体" w:cs="Times New Roman"/>
      <w:sz w:val="21"/>
      <w:lang w:val="en-US" w:eastAsia="zh-CN" w:bidi="ar-SA"/>
    </w:rPr>
  </w:style>
  <w:style w:type="paragraph" w:customStyle="1" w:styleId="237">
    <w:name w:val="xl73"/>
    <w:basedOn w:val="1"/>
    <w:next w:val="238"/>
    <w:qFormat/>
    <w:uiPriority w:val="0"/>
    <w:pPr>
      <w:widowControl/>
      <w:shd w:val="clear" w:color="000000" w:fill="FFFFFF"/>
      <w:spacing w:before="280" w:after="280"/>
      <w:jc w:val="center"/>
    </w:pPr>
    <w:rPr>
      <w:rFonts w:ascii="宋体" w:hAnsi="Calibri"/>
      <w:kern w:val="0"/>
      <w:sz w:val="20"/>
      <w:szCs w:val="20"/>
    </w:rPr>
  </w:style>
  <w:style w:type="paragraph" w:customStyle="1" w:styleId="238">
    <w:name w:val="toc 613"/>
    <w:next w:val="1"/>
    <w:qFormat/>
    <w:uiPriority w:val="0"/>
    <w:pPr>
      <w:wordWrap w:val="0"/>
      <w:ind w:left="2125"/>
      <w:jc w:val="both"/>
    </w:pPr>
    <w:rPr>
      <w:rFonts w:ascii="Calibri" w:hAnsi="Calibri" w:eastAsia="宋体" w:cs="Times New Roman"/>
      <w:sz w:val="21"/>
      <w:lang w:val="en-US" w:eastAsia="zh-CN" w:bidi="ar-SA"/>
    </w:rPr>
  </w:style>
  <w:style w:type="paragraph" w:customStyle="1" w:styleId="239">
    <w:name w:val="xl79"/>
    <w:basedOn w:val="1"/>
    <w:next w:val="240"/>
    <w:qFormat/>
    <w:uiPriority w:val="0"/>
    <w:pPr>
      <w:widowControl/>
      <w:shd w:val="clear" w:color="000000" w:fill="FFFFFF"/>
      <w:spacing w:before="280" w:after="280"/>
    </w:pPr>
    <w:rPr>
      <w:rFonts w:ascii="宋体" w:hAnsi="Calibri"/>
      <w:b/>
      <w:kern w:val="0"/>
      <w:sz w:val="20"/>
      <w:szCs w:val="20"/>
    </w:rPr>
  </w:style>
  <w:style w:type="paragraph" w:customStyle="1" w:styleId="240">
    <w:name w:val="toc 87"/>
    <w:next w:val="1"/>
    <w:qFormat/>
    <w:uiPriority w:val="0"/>
    <w:pPr>
      <w:wordWrap w:val="0"/>
      <w:ind w:left="2975"/>
      <w:jc w:val="both"/>
    </w:pPr>
    <w:rPr>
      <w:rFonts w:ascii="Calibri" w:hAnsi="Calibri" w:eastAsia="宋体" w:cs="Times New Roman"/>
      <w:sz w:val="21"/>
      <w:lang w:val="en-US" w:eastAsia="zh-CN" w:bidi="ar-SA"/>
    </w:rPr>
  </w:style>
  <w:style w:type="paragraph" w:customStyle="1" w:styleId="241">
    <w:name w:val="toc 11"/>
    <w:next w:val="1"/>
    <w:qFormat/>
    <w:uiPriority w:val="0"/>
    <w:pPr>
      <w:wordWrap w:val="0"/>
      <w:jc w:val="both"/>
    </w:pPr>
    <w:rPr>
      <w:rFonts w:ascii="Calibri" w:hAnsi="Calibri" w:eastAsia="宋体" w:cs="Times New Roman"/>
      <w:sz w:val="21"/>
      <w:lang w:val="en-US" w:eastAsia="zh-CN" w:bidi="ar-SA"/>
    </w:rPr>
  </w:style>
  <w:style w:type="paragraph" w:customStyle="1" w:styleId="242">
    <w:name w:val="toc 410"/>
    <w:next w:val="1"/>
    <w:qFormat/>
    <w:uiPriority w:val="0"/>
    <w:pPr>
      <w:wordWrap w:val="0"/>
      <w:ind w:left="1275"/>
      <w:jc w:val="both"/>
    </w:pPr>
    <w:rPr>
      <w:rFonts w:ascii="Calibri" w:hAnsi="Calibri" w:eastAsia="宋体" w:cs="Times New Roman"/>
      <w:sz w:val="21"/>
      <w:lang w:val="en-US" w:eastAsia="zh-CN" w:bidi="ar-SA"/>
    </w:rPr>
  </w:style>
  <w:style w:type="paragraph" w:customStyle="1" w:styleId="243">
    <w:name w:val="toc 611"/>
    <w:next w:val="1"/>
    <w:qFormat/>
    <w:uiPriority w:val="0"/>
    <w:pPr>
      <w:wordWrap w:val="0"/>
      <w:ind w:left="2125"/>
      <w:jc w:val="both"/>
    </w:pPr>
    <w:rPr>
      <w:rFonts w:ascii="Calibri" w:hAnsi="Calibri" w:eastAsia="宋体" w:cs="Times New Roman"/>
      <w:sz w:val="21"/>
      <w:lang w:val="en-US" w:eastAsia="zh-CN" w:bidi="ar-SA"/>
    </w:rPr>
  </w:style>
  <w:style w:type="paragraph" w:customStyle="1" w:styleId="244">
    <w:name w:val="xl112"/>
    <w:basedOn w:val="1"/>
    <w:next w:val="243"/>
    <w:qFormat/>
    <w:uiPriority w:val="0"/>
    <w:pPr>
      <w:widowControl/>
      <w:shd w:val="clear" w:color="000000" w:fill="FFFFFF"/>
      <w:spacing w:before="280" w:after="280"/>
      <w:jc w:val="center"/>
    </w:pPr>
    <w:rPr>
      <w:rFonts w:ascii="宋体" w:hAnsi="Calibri"/>
      <w:b/>
      <w:kern w:val="0"/>
      <w:sz w:val="20"/>
      <w:szCs w:val="20"/>
    </w:rPr>
  </w:style>
  <w:style w:type="paragraph" w:customStyle="1" w:styleId="245">
    <w:name w:val="toc 514"/>
    <w:next w:val="1"/>
    <w:qFormat/>
    <w:uiPriority w:val="0"/>
    <w:pPr>
      <w:wordWrap w:val="0"/>
      <w:ind w:left="1700"/>
      <w:jc w:val="both"/>
    </w:pPr>
    <w:rPr>
      <w:rFonts w:ascii="Calibri" w:hAnsi="Calibri" w:eastAsia="宋体" w:cs="Times New Roman"/>
      <w:sz w:val="21"/>
      <w:lang w:val="en-US" w:eastAsia="zh-CN" w:bidi="ar-SA"/>
    </w:rPr>
  </w:style>
  <w:style w:type="paragraph" w:customStyle="1" w:styleId="246">
    <w:name w:val="toc 44"/>
    <w:next w:val="1"/>
    <w:qFormat/>
    <w:uiPriority w:val="0"/>
    <w:pPr>
      <w:wordWrap w:val="0"/>
      <w:ind w:left="1275"/>
      <w:jc w:val="both"/>
    </w:pPr>
    <w:rPr>
      <w:rFonts w:ascii="Calibri" w:hAnsi="Calibri" w:eastAsia="宋体" w:cs="Times New Roman"/>
      <w:sz w:val="21"/>
      <w:lang w:val="en-US" w:eastAsia="zh-CN" w:bidi="ar-SA"/>
    </w:rPr>
  </w:style>
  <w:style w:type="paragraph" w:customStyle="1" w:styleId="247">
    <w:name w:val="toc 412"/>
    <w:next w:val="1"/>
    <w:qFormat/>
    <w:uiPriority w:val="0"/>
    <w:pPr>
      <w:wordWrap w:val="0"/>
      <w:ind w:left="1275"/>
      <w:jc w:val="both"/>
    </w:pPr>
    <w:rPr>
      <w:rFonts w:ascii="Calibri" w:hAnsi="Calibri" w:eastAsia="宋体" w:cs="Times New Roman"/>
      <w:sz w:val="21"/>
      <w:lang w:val="en-US" w:eastAsia="zh-CN" w:bidi="ar-SA"/>
    </w:rPr>
  </w:style>
  <w:style w:type="paragraph" w:customStyle="1" w:styleId="248">
    <w:name w:val="xl74"/>
    <w:basedOn w:val="1"/>
    <w:next w:val="249"/>
    <w:qFormat/>
    <w:uiPriority w:val="0"/>
    <w:pPr>
      <w:widowControl/>
      <w:shd w:val="clear" w:color="000000" w:fill="FFFFFF"/>
      <w:spacing w:before="280" w:after="280"/>
    </w:pPr>
    <w:rPr>
      <w:rFonts w:ascii="宋体" w:hAnsi="Calibri"/>
      <w:kern w:val="0"/>
      <w:sz w:val="20"/>
      <w:szCs w:val="20"/>
    </w:rPr>
  </w:style>
  <w:style w:type="paragraph" w:customStyle="1" w:styleId="249">
    <w:name w:val="toc 57"/>
    <w:next w:val="1"/>
    <w:qFormat/>
    <w:uiPriority w:val="0"/>
    <w:pPr>
      <w:wordWrap w:val="0"/>
      <w:ind w:left="1700"/>
      <w:jc w:val="both"/>
    </w:pPr>
    <w:rPr>
      <w:rFonts w:ascii="Calibri" w:hAnsi="Calibri" w:eastAsia="宋体" w:cs="Times New Roman"/>
      <w:sz w:val="21"/>
      <w:lang w:val="en-US" w:eastAsia="zh-CN" w:bidi="ar-SA"/>
    </w:rPr>
  </w:style>
  <w:style w:type="paragraph" w:customStyle="1" w:styleId="250">
    <w:name w:val="toc 912"/>
    <w:next w:val="1"/>
    <w:qFormat/>
    <w:uiPriority w:val="0"/>
    <w:pPr>
      <w:wordWrap w:val="0"/>
      <w:ind w:left="3400"/>
      <w:jc w:val="both"/>
    </w:pPr>
    <w:rPr>
      <w:rFonts w:ascii="Calibri" w:hAnsi="Calibri" w:eastAsia="宋体" w:cs="Times New Roman"/>
      <w:sz w:val="21"/>
      <w:lang w:val="en-US" w:eastAsia="zh-CN" w:bidi="ar-SA"/>
    </w:rPr>
  </w:style>
  <w:style w:type="paragraph" w:customStyle="1" w:styleId="251">
    <w:name w:val="toc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52">
    <w:name w:val="toc 38"/>
    <w:next w:val="1"/>
    <w:qFormat/>
    <w:uiPriority w:val="0"/>
    <w:pPr>
      <w:wordWrap w:val="0"/>
      <w:ind w:left="850"/>
      <w:jc w:val="both"/>
    </w:pPr>
    <w:rPr>
      <w:rFonts w:ascii="Calibri" w:hAnsi="Calibri" w:eastAsia="宋体" w:cs="Times New Roman"/>
      <w:sz w:val="21"/>
      <w:lang w:val="en-US" w:eastAsia="zh-CN" w:bidi="ar-SA"/>
    </w:rPr>
  </w:style>
  <w:style w:type="paragraph" w:customStyle="1" w:styleId="253">
    <w:name w:val="toc 95"/>
    <w:next w:val="1"/>
    <w:qFormat/>
    <w:uiPriority w:val="0"/>
    <w:pPr>
      <w:wordWrap w:val="0"/>
      <w:ind w:left="3400"/>
      <w:jc w:val="both"/>
    </w:pPr>
    <w:rPr>
      <w:rFonts w:ascii="Calibri" w:hAnsi="Calibri" w:eastAsia="宋体" w:cs="Times New Roman"/>
      <w:sz w:val="21"/>
      <w:lang w:val="en-US" w:eastAsia="zh-CN" w:bidi="ar-SA"/>
    </w:rPr>
  </w:style>
  <w:style w:type="paragraph" w:customStyle="1" w:styleId="254">
    <w:name w:val="列出段落5"/>
    <w:basedOn w:val="1"/>
    <w:next w:val="255"/>
    <w:qFormat/>
    <w:uiPriority w:val="0"/>
    <w:pPr>
      <w:ind w:firstLine="420"/>
    </w:pPr>
    <w:rPr>
      <w:rFonts w:hAnsi="Calibri"/>
      <w:kern w:val="0"/>
      <w:szCs w:val="20"/>
    </w:rPr>
  </w:style>
  <w:style w:type="paragraph" w:customStyle="1" w:styleId="255">
    <w:name w:val="toc 312"/>
    <w:next w:val="1"/>
    <w:qFormat/>
    <w:uiPriority w:val="0"/>
    <w:pPr>
      <w:wordWrap w:val="0"/>
      <w:ind w:left="850"/>
      <w:jc w:val="both"/>
    </w:pPr>
    <w:rPr>
      <w:rFonts w:ascii="Calibri" w:hAnsi="Calibri" w:eastAsia="宋体" w:cs="Times New Roman"/>
      <w:sz w:val="21"/>
      <w:lang w:val="en-US" w:eastAsia="zh-CN" w:bidi="ar-SA"/>
    </w:rPr>
  </w:style>
  <w:style w:type="paragraph" w:customStyle="1" w:styleId="256">
    <w:name w:val="xl66"/>
    <w:basedOn w:val="1"/>
    <w:next w:val="257"/>
    <w:qFormat/>
    <w:uiPriority w:val="0"/>
    <w:pPr>
      <w:widowControl/>
      <w:shd w:val="clear" w:color="000000" w:fill="FFFFFF"/>
      <w:spacing w:before="280" w:after="280"/>
    </w:pPr>
    <w:rPr>
      <w:rFonts w:ascii="宋体" w:hAnsi="Calibri"/>
      <w:kern w:val="0"/>
      <w:sz w:val="20"/>
      <w:szCs w:val="20"/>
    </w:rPr>
  </w:style>
  <w:style w:type="paragraph" w:customStyle="1" w:styleId="257">
    <w:name w:val="toc 56"/>
    <w:next w:val="1"/>
    <w:qFormat/>
    <w:uiPriority w:val="0"/>
    <w:pPr>
      <w:wordWrap w:val="0"/>
      <w:ind w:left="1700"/>
      <w:jc w:val="both"/>
    </w:pPr>
    <w:rPr>
      <w:rFonts w:ascii="Calibri" w:hAnsi="Calibri" w:eastAsia="宋体" w:cs="Times New Roman"/>
      <w:sz w:val="21"/>
      <w:lang w:val="en-US" w:eastAsia="zh-CN" w:bidi="ar-SA"/>
    </w:rPr>
  </w:style>
  <w:style w:type="paragraph" w:customStyle="1" w:styleId="258">
    <w:name w:val="TOC Heading3"/>
    <w:next w:val="1"/>
    <w:qFormat/>
    <w:uiPriority w:val="0"/>
    <w:pPr>
      <w:wordWrap w:val="0"/>
    </w:pPr>
    <w:rPr>
      <w:rFonts w:ascii="Calibri" w:hAnsi="Calibri" w:eastAsia="宋体" w:cs="Times New Roman"/>
      <w:sz w:val="32"/>
      <w:lang w:val="en-US" w:eastAsia="zh-CN" w:bidi="ar-SA"/>
    </w:rPr>
  </w:style>
  <w:style w:type="paragraph" w:customStyle="1" w:styleId="259">
    <w:name w:val="toc 65"/>
    <w:next w:val="1"/>
    <w:qFormat/>
    <w:uiPriority w:val="0"/>
    <w:pPr>
      <w:wordWrap w:val="0"/>
      <w:ind w:left="2125"/>
      <w:jc w:val="both"/>
    </w:pPr>
    <w:rPr>
      <w:rFonts w:ascii="Calibri" w:hAnsi="Calibri" w:eastAsia="宋体" w:cs="Times New Roman"/>
      <w:sz w:val="21"/>
      <w:lang w:val="en-US" w:eastAsia="zh-CN" w:bidi="ar-SA"/>
    </w:rPr>
  </w:style>
  <w:style w:type="paragraph" w:customStyle="1" w:styleId="260">
    <w:name w:val="toc 25"/>
    <w:next w:val="1"/>
    <w:qFormat/>
    <w:uiPriority w:val="0"/>
    <w:pPr>
      <w:wordWrap w:val="0"/>
      <w:ind w:left="425"/>
      <w:jc w:val="both"/>
    </w:pPr>
    <w:rPr>
      <w:rFonts w:ascii="Calibri" w:hAnsi="Calibri" w:eastAsia="宋体" w:cs="Times New Roman"/>
      <w:sz w:val="21"/>
      <w:lang w:val="en-US" w:eastAsia="zh-CN" w:bidi="ar-SA"/>
    </w:rPr>
  </w:style>
  <w:style w:type="paragraph" w:customStyle="1" w:styleId="261">
    <w:name w:val="xl84"/>
    <w:basedOn w:val="1"/>
    <w:next w:val="262"/>
    <w:qFormat/>
    <w:uiPriority w:val="0"/>
    <w:pPr>
      <w:widowControl/>
      <w:shd w:val="clear" w:color="000000" w:fill="FFFFFF"/>
      <w:spacing w:before="280" w:after="280"/>
      <w:jc w:val="center"/>
    </w:pPr>
    <w:rPr>
      <w:rFonts w:ascii="宋体" w:hAnsi="Calibri"/>
      <w:kern w:val="0"/>
      <w:sz w:val="20"/>
      <w:szCs w:val="20"/>
    </w:rPr>
  </w:style>
  <w:style w:type="paragraph" w:customStyle="1" w:styleId="262">
    <w:name w:val="toc 99"/>
    <w:next w:val="1"/>
    <w:qFormat/>
    <w:uiPriority w:val="0"/>
    <w:pPr>
      <w:wordWrap w:val="0"/>
      <w:ind w:left="3400"/>
      <w:jc w:val="both"/>
    </w:pPr>
    <w:rPr>
      <w:rFonts w:ascii="Calibri" w:hAnsi="Calibri" w:eastAsia="宋体" w:cs="Times New Roman"/>
      <w:sz w:val="21"/>
      <w:lang w:val="en-US" w:eastAsia="zh-CN" w:bidi="ar-SA"/>
    </w:rPr>
  </w:style>
  <w:style w:type="paragraph" w:customStyle="1" w:styleId="263">
    <w:name w:val="xl81"/>
    <w:basedOn w:val="1"/>
    <w:next w:val="264"/>
    <w:qFormat/>
    <w:uiPriority w:val="0"/>
    <w:pPr>
      <w:widowControl/>
      <w:shd w:val="clear" w:color="000000" w:fill="FFFFFF"/>
      <w:spacing w:before="280" w:after="280"/>
    </w:pPr>
    <w:rPr>
      <w:rFonts w:ascii="宋体" w:hAnsi="Calibri"/>
      <w:kern w:val="0"/>
      <w:sz w:val="20"/>
      <w:szCs w:val="20"/>
    </w:rPr>
  </w:style>
  <w:style w:type="paragraph" w:customStyle="1" w:styleId="264">
    <w:name w:val="toc 59"/>
    <w:next w:val="1"/>
    <w:qFormat/>
    <w:uiPriority w:val="0"/>
    <w:pPr>
      <w:wordWrap w:val="0"/>
      <w:ind w:left="1700"/>
      <w:jc w:val="both"/>
    </w:pPr>
    <w:rPr>
      <w:rFonts w:ascii="Calibri" w:hAnsi="Calibri" w:eastAsia="宋体" w:cs="Times New Roman"/>
      <w:sz w:val="21"/>
      <w:lang w:val="en-US" w:eastAsia="zh-CN" w:bidi="ar-SA"/>
    </w:rPr>
  </w:style>
  <w:style w:type="paragraph" w:customStyle="1" w:styleId="265">
    <w:name w:val="目录 11"/>
    <w:next w:val="1"/>
    <w:qFormat/>
    <w:uiPriority w:val="0"/>
    <w:pPr>
      <w:wordWrap w:val="0"/>
      <w:jc w:val="both"/>
    </w:pPr>
    <w:rPr>
      <w:rFonts w:ascii="Calibri" w:hAnsi="Calibri" w:eastAsia="宋体" w:cs="Times New Roman"/>
      <w:sz w:val="21"/>
      <w:lang w:val="en-US" w:eastAsia="zh-CN" w:bidi="ar-SA"/>
    </w:rPr>
  </w:style>
  <w:style w:type="paragraph" w:customStyle="1" w:styleId="266">
    <w:name w:val="toc 513"/>
    <w:next w:val="1"/>
    <w:qFormat/>
    <w:uiPriority w:val="0"/>
    <w:pPr>
      <w:wordWrap w:val="0"/>
      <w:ind w:left="1700"/>
      <w:jc w:val="both"/>
    </w:pPr>
    <w:rPr>
      <w:rFonts w:ascii="Calibri" w:hAnsi="Calibri" w:eastAsia="宋体" w:cs="Times New Roman"/>
      <w:sz w:val="21"/>
      <w:lang w:val="en-US" w:eastAsia="zh-CN" w:bidi="ar-SA"/>
    </w:rPr>
  </w:style>
  <w:style w:type="paragraph" w:customStyle="1" w:styleId="267">
    <w:name w:val="TOC Heading12"/>
    <w:next w:val="1"/>
    <w:qFormat/>
    <w:uiPriority w:val="0"/>
    <w:pPr>
      <w:wordWrap w:val="0"/>
    </w:pPr>
    <w:rPr>
      <w:rFonts w:ascii="Calibri" w:hAnsi="Calibri" w:eastAsia="宋体" w:cs="Times New Roman"/>
      <w:sz w:val="32"/>
      <w:lang w:val="en-US" w:eastAsia="zh-CN" w:bidi="ar-SA"/>
    </w:rPr>
  </w:style>
  <w:style w:type="paragraph" w:customStyle="1" w:styleId="268">
    <w:name w:val="TOC Heading8"/>
    <w:next w:val="1"/>
    <w:qFormat/>
    <w:uiPriority w:val="0"/>
    <w:pPr>
      <w:wordWrap w:val="0"/>
    </w:pPr>
    <w:rPr>
      <w:rFonts w:ascii="Calibri" w:hAnsi="Calibri" w:eastAsia="宋体" w:cs="Times New Roman"/>
      <w:sz w:val="32"/>
      <w:lang w:val="en-US" w:eastAsia="zh-CN" w:bidi="ar-SA"/>
    </w:rPr>
  </w:style>
  <w:style w:type="paragraph" w:customStyle="1" w:styleId="269">
    <w:name w:val="toc 711"/>
    <w:next w:val="1"/>
    <w:qFormat/>
    <w:uiPriority w:val="0"/>
    <w:pPr>
      <w:wordWrap w:val="0"/>
      <w:ind w:left="2550"/>
      <w:jc w:val="both"/>
    </w:pPr>
    <w:rPr>
      <w:rFonts w:ascii="Calibri" w:hAnsi="Calibri" w:eastAsia="宋体" w:cs="Times New Roman"/>
      <w:sz w:val="21"/>
      <w:lang w:val="en-US" w:eastAsia="zh-CN" w:bidi="ar-SA"/>
    </w:rPr>
  </w:style>
  <w:style w:type="paragraph" w:customStyle="1" w:styleId="270">
    <w:name w:val="toc 212"/>
    <w:next w:val="1"/>
    <w:qFormat/>
    <w:uiPriority w:val="0"/>
    <w:pPr>
      <w:wordWrap w:val="0"/>
      <w:ind w:left="425"/>
      <w:jc w:val="both"/>
    </w:pPr>
    <w:rPr>
      <w:rFonts w:ascii="Calibri" w:hAnsi="Calibri" w:eastAsia="宋体" w:cs="Times New Roman"/>
      <w:sz w:val="21"/>
      <w:lang w:val="en-US" w:eastAsia="zh-CN" w:bidi="ar-SA"/>
    </w:rPr>
  </w:style>
  <w:style w:type="paragraph" w:customStyle="1" w:styleId="271">
    <w:name w:val="目录 21"/>
    <w:next w:val="1"/>
    <w:qFormat/>
    <w:uiPriority w:val="0"/>
    <w:pPr>
      <w:wordWrap w:val="0"/>
      <w:ind w:left="425"/>
      <w:jc w:val="both"/>
    </w:pPr>
    <w:rPr>
      <w:rFonts w:ascii="Calibri" w:hAnsi="Calibri" w:eastAsia="宋体" w:cs="Times New Roman"/>
      <w:sz w:val="21"/>
      <w:lang w:val="en-US" w:eastAsia="zh-CN" w:bidi="ar-SA"/>
    </w:rPr>
  </w:style>
  <w:style w:type="paragraph" w:customStyle="1" w:styleId="272">
    <w:name w:val="toc 45"/>
    <w:next w:val="1"/>
    <w:qFormat/>
    <w:uiPriority w:val="0"/>
    <w:pPr>
      <w:wordWrap w:val="0"/>
      <w:ind w:left="1275"/>
      <w:jc w:val="both"/>
    </w:pPr>
    <w:rPr>
      <w:rFonts w:ascii="Calibri" w:hAnsi="Calibri" w:eastAsia="宋体" w:cs="Times New Roman"/>
      <w:sz w:val="21"/>
      <w:lang w:val="en-US" w:eastAsia="zh-CN" w:bidi="ar-SA"/>
    </w:rPr>
  </w:style>
  <w:style w:type="paragraph" w:customStyle="1" w:styleId="273">
    <w:name w:val="xl116"/>
    <w:basedOn w:val="1"/>
    <w:next w:val="274"/>
    <w:qFormat/>
    <w:uiPriority w:val="0"/>
    <w:pPr>
      <w:widowControl/>
      <w:shd w:val="clear" w:color="000000" w:fill="FFFFFF"/>
      <w:spacing w:before="280" w:after="280"/>
      <w:jc w:val="center"/>
    </w:pPr>
    <w:rPr>
      <w:rFonts w:ascii="Arial Narrow" w:hAnsi="Calibri"/>
      <w:kern w:val="0"/>
      <w:sz w:val="20"/>
      <w:szCs w:val="20"/>
    </w:rPr>
  </w:style>
  <w:style w:type="paragraph" w:customStyle="1" w:styleId="274">
    <w:name w:val="toc 78"/>
    <w:next w:val="1"/>
    <w:qFormat/>
    <w:uiPriority w:val="0"/>
    <w:pPr>
      <w:wordWrap w:val="0"/>
      <w:ind w:left="2550"/>
      <w:jc w:val="both"/>
    </w:pPr>
    <w:rPr>
      <w:rFonts w:ascii="Calibri" w:hAnsi="Calibri" w:eastAsia="宋体" w:cs="Times New Roman"/>
      <w:sz w:val="21"/>
      <w:lang w:val="en-US" w:eastAsia="zh-CN" w:bidi="ar-SA"/>
    </w:rPr>
  </w:style>
  <w:style w:type="paragraph" w:customStyle="1" w:styleId="275">
    <w:name w:val="font8"/>
    <w:basedOn w:val="1"/>
    <w:next w:val="276"/>
    <w:qFormat/>
    <w:uiPriority w:val="0"/>
    <w:pPr>
      <w:widowControl/>
      <w:spacing w:before="280" w:after="280"/>
    </w:pPr>
    <w:rPr>
      <w:rFonts w:ascii="Arial" w:hAnsi="Calibri"/>
      <w:kern w:val="0"/>
      <w:sz w:val="20"/>
      <w:szCs w:val="20"/>
    </w:rPr>
  </w:style>
  <w:style w:type="paragraph" w:customStyle="1" w:styleId="276">
    <w:name w:val="TOC Heading11"/>
    <w:next w:val="1"/>
    <w:qFormat/>
    <w:uiPriority w:val="0"/>
    <w:pPr>
      <w:wordWrap w:val="0"/>
    </w:pPr>
    <w:rPr>
      <w:rFonts w:ascii="Calibri" w:hAnsi="Calibri" w:eastAsia="宋体" w:cs="Times New Roman"/>
      <w:sz w:val="32"/>
      <w:lang w:val="en-US" w:eastAsia="zh-CN" w:bidi="ar-SA"/>
    </w:rPr>
  </w:style>
  <w:style w:type="paragraph" w:customStyle="1" w:styleId="277">
    <w:name w:val="xl69"/>
    <w:basedOn w:val="1"/>
    <w:next w:val="278"/>
    <w:qFormat/>
    <w:uiPriority w:val="0"/>
    <w:pPr>
      <w:widowControl/>
      <w:shd w:val="clear" w:color="000000" w:fill="FFFFFF"/>
      <w:spacing w:before="280" w:after="280"/>
    </w:pPr>
    <w:rPr>
      <w:rFonts w:ascii="宋体" w:hAnsi="Calibri"/>
      <w:b/>
      <w:kern w:val="0"/>
      <w:sz w:val="20"/>
      <w:szCs w:val="20"/>
    </w:rPr>
  </w:style>
  <w:style w:type="paragraph" w:customStyle="1" w:styleId="278">
    <w:name w:val="toc 48"/>
    <w:next w:val="1"/>
    <w:qFormat/>
    <w:uiPriority w:val="0"/>
    <w:pPr>
      <w:wordWrap w:val="0"/>
      <w:ind w:left="1275"/>
      <w:jc w:val="both"/>
    </w:pPr>
    <w:rPr>
      <w:rFonts w:ascii="Calibri" w:hAnsi="Calibri" w:eastAsia="宋体" w:cs="Times New Roman"/>
      <w:sz w:val="21"/>
      <w:lang w:val="en-US" w:eastAsia="zh-CN" w:bidi="ar-SA"/>
    </w:rPr>
  </w:style>
  <w:style w:type="paragraph" w:customStyle="1" w:styleId="279">
    <w:name w:val="toc 813"/>
    <w:next w:val="1"/>
    <w:qFormat/>
    <w:uiPriority w:val="0"/>
    <w:pPr>
      <w:wordWrap w:val="0"/>
      <w:ind w:left="2975"/>
      <w:jc w:val="both"/>
    </w:pPr>
    <w:rPr>
      <w:rFonts w:ascii="Calibri" w:hAnsi="Calibri" w:eastAsia="宋体" w:cs="Times New Roman"/>
      <w:sz w:val="21"/>
      <w:lang w:val="en-US" w:eastAsia="zh-CN" w:bidi="ar-SA"/>
    </w:rPr>
  </w:style>
  <w:style w:type="paragraph" w:customStyle="1" w:styleId="280">
    <w:name w:val="目录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81">
    <w:name w:val="列出段落3"/>
    <w:basedOn w:val="1"/>
    <w:next w:val="282"/>
    <w:qFormat/>
    <w:uiPriority w:val="0"/>
    <w:pPr>
      <w:ind w:firstLine="420"/>
    </w:pPr>
    <w:rPr>
      <w:rFonts w:hAnsi="Calibri"/>
      <w:kern w:val="0"/>
      <w:szCs w:val="20"/>
    </w:rPr>
  </w:style>
  <w:style w:type="paragraph" w:customStyle="1" w:styleId="282">
    <w:name w:val="toc 213"/>
    <w:next w:val="1"/>
    <w:qFormat/>
    <w:uiPriority w:val="0"/>
    <w:pPr>
      <w:wordWrap w:val="0"/>
      <w:ind w:left="425"/>
      <w:jc w:val="both"/>
    </w:pPr>
    <w:rPr>
      <w:rFonts w:ascii="Calibri" w:hAnsi="Calibri" w:eastAsia="宋体" w:cs="Times New Roman"/>
      <w:sz w:val="21"/>
      <w:lang w:val="en-US" w:eastAsia="zh-CN" w:bidi="ar-SA"/>
    </w:rPr>
  </w:style>
  <w:style w:type="paragraph" w:customStyle="1" w:styleId="283">
    <w:name w:val="TOC 标题1"/>
    <w:next w:val="1"/>
    <w:qFormat/>
    <w:uiPriority w:val="0"/>
    <w:pPr>
      <w:wordWrap w:val="0"/>
    </w:pPr>
    <w:rPr>
      <w:rFonts w:ascii="Calibri" w:hAnsi="Calibri" w:eastAsia="宋体" w:cs="Times New Roman"/>
      <w:sz w:val="32"/>
      <w:lang w:val="en-US" w:eastAsia="zh-CN" w:bidi="ar-SA"/>
    </w:rPr>
  </w:style>
  <w:style w:type="paragraph" w:customStyle="1" w:styleId="284">
    <w:name w:val="TOC Heading5"/>
    <w:next w:val="1"/>
    <w:qFormat/>
    <w:uiPriority w:val="0"/>
    <w:pPr>
      <w:wordWrap w:val="0"/>
    </w:pPr>
    <w:rPr>
      <w:rFonts w:ascii="Calibri" w:hAnsi="Calibri" w:eastAsia="宋体" w:cs="Times New Roman"/>
      <w:sz w:val="32"/>
      <w:lang w:val="en-US" w:eastAsia="zh-CN" w:bidi="ar-SA"/>
    </w:rPr>
  </w:style>
  <w:style w:type="paragraph" w:customStyle="1" w:styleId="285">
    <w:name w:val="toc 313"/>
    <w:next w:val="1"/>
    <w:qFormat/>
    <w:uiPriority w:val="0"/>
    <w:pPr>
      <w:wordWrap w:val="0"/>
      <w:ind w:left="850"/>
      <w:jc w:val="both"/>
    </w:pPr>
    <w:rPr>
      <w:rFonts w:ascii="Calibri" w:hAnsi="Calibri" w:eastAsia="宋体" w:cs="Times New Roman"/>
      <w:sz w:val="21"/>
      <w:lang w:val="en-US" w:eastAsia="zh-CN" w:bidi="ar-SA"/>
    </w:rPr>
  </w:style>
  <w:style w:type="paragraph" w:customStyle="1" w:styleId="286">
    <w:name w:val="toc 716"/>
    <w:next w:val="1"/>
    <w:qFormat/>
    <w:uiPriority w:val="0"/>
    <w:pPr>
      <w:wordWrap w:val="0"/>
      <w:ind w:left="2550"/>
      <w:jc w:val="both"/>
    </w:pPr>
    <w:rPr>
      <w:rFonts w:ascii="Calibri" w:hAnsi="Calibri" w:eastAsia="宋体" w:cs="Times New Roman"/>
      <w:sz w:val="21"/>
      <w:lang w:val="en-US" w:eastAsia="zh-CN" w:bidi="ar-SA"/>
    </w:rPr>
  </w:style>
  <w:style w:type="paragraph" w:customStyle="1" w:styleId="287">
    <w:name w:val="xl115"/>
    <w:basedOn w:val="1"/>
    <w:next w:val="288"/>
    <w:qFormat/>
    <w:uiPriority w:val="0"/>
    <w:pPr>
      <w:widowControl/>
      <w:shd w:val="clear" w:color="000000" w:fill="FFFFFF"/>
      <w:spacing w:before="280" w:after="280"/>
      <w:jc w:val="center"/>
    </w:pPr>
    <w:rPr>
      <w:rFonts w:ascii="宋体" w:hAnsi="Calibri"/>
      <w:b/>
      <w:kern w:val="0"/>
      <w:sz w:val="20"/>
      <w:szCs w:val="20"/>
    </w:rPr>
  </w:style>
  <w:style w:type="paragraph" w:customStyle="1" w:styleId="288">
    <w:name w:val="toc 712"/>
    <w:next w:val="1"/>
    <w:qFormat/>
    <w:uiPriority w:val="0"/>
    <w:pPr>
      <w:wordWrap w:val="0"/>
      <w:ind w:left="2550"/>
      <w:jc w:val="both"/>
    </w:pPr>
    <w:rPr>
      <w:rFonts w:ascii="Calibri" w:hAnsi="Calibri" w:eastAsia="宋体" w:cs="Times New Roman"/>
      <w:sz w:val="21"/>
      <w:lang w:val="en-US" w:eastAsia="zh-CN" w:bidi="ar-SA"/>
    </w:rPr>
  </w:style>
  <w:style w:type="paragraph" w:customStyle="1" w:styleId="289">
    <w:name w:val="toc 64"/>
    <w:next w:val="1"/>
    <w:qFormat/>
    <w:uiPriority w:val="0"/>
    <w:pPr>
      <w:wordWrap w:val="0"/>
      <w:ind w:left="2125"/>
      <w:jc w:val="both"/>
    </w:pPr>
    <w:rPr>
      <w:rFonts w:ascii="Calibri" w:hAnsi="Calibri" w:eastAsia="宋体" w:cs="Times New Roman"/>
      <w:sz w:val="21"/>
      <w:lang w:val="en-US" w:eastAsia="zh-CN" w:bidi="ar-SA"/>
    </w:rPr>
  </w:style>
  <w:style w:type="paragraph" w:customStyle="1" w:styleId="290">
    <w:name w:val="toc 24"/>
    <w:next w:val="1"/>
    <w:qFormat/>
    <w:uiPriority w:val="0"/>
    <w:pPr>
      <w:wordWrap w:val="0"/>
      <w:ind w:left="425"/>
      <w:jc w:val="both"/>
    </w:pPr>
    <w:rPr>
      <w:rFonts w:ascii="Calibri" w:hAnsi="Calibri" w:eastAsia="宋体" w:cs="Times New Roman"/>
      <w:sz w:val="21"/>
      <w:lang w:val="en-US" w:eastAsia="zh-CN" w:bidi="ar-SA"/>
    </w:rPr>
  </w:style>
  <w:style w:type="paragraph" w:customStyle="1" w:styleId="291">
    <w:name w:val="toc 54"/>
    <w:next w:val="1"/>
    <w:qFormat/>
    <w:uiPriority w:val="0"/>
    <w:pPr>
      <w:wordWrap w:val="0"/>
      <w:ind w:left="1700"/>
      <w:jc w:val="both"/>
    </w:pPr>
    <w:rPr>
      <w:rFonts w:ascii="Calibri" w:hAnsi="Calibri" w:eastAsia="宋体" w:cs="Times New Roman"/>
      <w:sz w:val="21"/>
      <w:lang w:val="en-US" w:eastAsia="zh-CN" w:bidi="ar-SA"/>
    </w:rPr>
  </w:style>
  <w:style w:type="paragraph" w:customStyle="1" w:styleId="292">
    <w:name w:val="xl93"/>
    <w:basedOn w:val="1"/>
    <w:next w:val="293"/>
    <w:qFormat/>
    <w:uiPriority w:val="0"/>
    <w:pPr>
      <w:widowControl/>
      <w:shd w:val="clear" w:color="000000" w:fill="FFFFFF"/>
      <w:spacing w:before="280" w:after="280"/>
      <w:jc w:val="center"/>
    </w:pPr>
    <w:rPr>
      <w:rFonts w:ascii="宋体" w:hAnsi="Calibri"/>
      <w:kern w:val="0"/>
      <w:sz w:val="20"/>
      <w:szCs w:val="20"/>
    </w:rPr>
  </w:style>
  <w:style w:type="paragraph" w:customStyle="1" w:styleId="293">
    <w:name w:val="toc 112"/>
    <w:next w:val="1"/>
    <w:qFormat/>
    <w:uiPriority w:val="0"/>
    <w:pPr>
      <w:wordWrap w:val="0"/>
      <w:jc w:val="both"/>
    </w:pPr>
    <w:rPr>
      <w:rFonts w:ascii="Calibri" w:hAnsi="Calibri" w:eastAsia="宋体" w:cs="Times New Roman"/>
      <w:sz w:val="21"/>
      <w:lang w:val="en-US" w:eastAsia="zh-CN" w:bidi="ar-SA"/>
    </w:rPr>
  </w:style>
  <w:style w:type="paragraph" w:customStyle="1" w:styleId="294">
    <w:name w:val="xl96"/>
    <w:basedOn w:val="1"/>
    <w:next w:val="245"/>
    <w:qFormat/>
    <w:uiPriority w:val="0"/>
    <w:pPr>
      <w:widowControl/>
      <w:shd w:val="clear" w:color="000000" w:fill="FFFFFF"/>
      <w:spacing w:before="280" w:after="280"/>
      <w:jc w:val="center"/>
    </w:pPr>
    <w:rPr>
      <w:rFonts w:ascii="宋体" w:hAnsi="Calibri"/>
      <w:kern w:val="0"/>
      <w:sz w:val="20"/>
      <w:szCs w:val="20"/>
    </w:rPr>
  </w:style>
  <w:style w:type="paragraph" w:customStyle="1" w:styleId="295">
    <w:name w:val="xl106"/>
    <w:basedOn w:val="1"/>
    <w:next w:val="279"/>
    <w:qFormat/>
    <w:uiPriority w:val="0"/>
    <w:pPr>
      <w:widowControl/>
      <w:shd w:val="clear" w:color="000000" w:fill="FFFFFF"/>
      <w:spacing w:before="280" w:after="280"/>
    </w:pPr>
    <w:rPr>
      <w:rFonts w:ascii="宋体" w:hAnsi="Calibri"/>
      <w:kern w:val="0"/>
      <w:sz w:val="20"/>
      <w:szCs w:val="20"/>
    </w:rPr>
  </w:style>
  <w:style w:type="paragraph" w:customStyle="1" w:styleId="296">
    <w:name w:val="toc 35"/>
    <w:next w:val="1"/>
    <w:qFormat/>
    <w:uiPriority w:val="0"/>
    <w:pPr>
      <w:wordWrap w:val="0"/>
      <w:ind w:left="850"/>
      <w:jc w:val="both"/>
    </w:pPr>
    <w:rPr>
      <w:rFonts w:ascii="Calibri" w:hAnsi="Calibri" w:eastAsia="宋体" w:cs="Times New Roman"/>
      <w:sz w:val="21"/>
      <w:lang w:val="en-US" w:eastAsia="zh-CN" w:bidi="ar-SA"/>
    </w:rPr>
  </w:style>
  <w:style w:type="paragraph" w:customStyle="1" w:styleId="297">
    <w:name w:val="TOC Heading14"/>
    <w:next w:val="1"/>
    <w:qFormat/>
    <w:uiPriority w:val="0"/>
    <w:pPr>
      <w:wordWrap w:val="0"/>
    </w:pPr>
    <w:rPr>
      <w:rFonts w:ascii="Calibri" w:hAnsi="Calibri" w:eastAsia="宋体" w:cs="Times New Roman"/>
      <w:sz w:val="32"/>
      <w:lang w:val="en-US" w:eastAsia="zh-CN" w:bidi="ar-SA"/>
    </w:rPr>
  </w:style>
  <w:style w:type="paragraph" w:customStyle="1" w:styleId="298">
    <w:name w:val="Char Char Char Char Char Char Char1"/>
    <w:basedOn w:val="1"/>
    <w:next w:val="299"/>
    <w:qFormat/>
    <w:uiPriority w:val="0"/>
    <w:pPr>
      <w:widowControl/>
      <w:spacing w:after="160" w:line="240" w:lineRule="exact"/>
    </w:pPr>
    <w:rPr>
      <w:rFonts w:hAnsi="Calibri"/>
      <w:kern w:val="0"/>
      <w:szCs w:val="20"/>
    </w:rPr>
  </w:style>
  <w:style w:type="paragraph" w:customStyle="1" w:styleId="299">
    <w:name w:val="toc 67"/>
    <w:next w:val="1"/>
    <w:qFormat/>
    <w:uiPriority w:val="0"/>
    <w:pPr>
      <w:wordWrap w:val="0"/>
      <w:ind w:left="2125"/>
      <w:jc w:val="both"/>
    </w:pPr>
    <w:rPr>
      <w:rFonts w:ascii="Calibri" w:hAnsi="Calibri" w:eastAsia="宋体" w:cs="Times New Roman"/>
      <w:sz w:val="21"/>
      <w:lang w:val="en-US" w:eastAsia="zh-CN" w:bidi="ar-SA"/>
    </w:rPr>
  </w:style>
  <w:style w:type="paragraph" w:customStyle="1" w:styleId="300">
    <w:name w:val="列出段落4"/>
    <w:basedOn w:val="1"/>
    <w:next w:val="301"/>
    <w:qFormat/>
    <w:uiPriority w:val="0"/>
    <w:pPr>
      <w:ind w:firstLine="420"/>
    </w:pPr>
    <w:rPr>
      <w:rFonts w:hAnsi="Calibri"/>
      <w:kern w:val="0"/>
      <w:szCs w:val="20"/>
    </w:rPr>
  </w:style>
  <w:style w:type="paragraph" w:customStyle="1" w:styleId="301">
    <w:name w:val="TOC Heading9"/>
    <w:next w:val="1"/>
    <w:qFormat/>
    <w:uiPriority w:val="0"/>
    <w:pPr>
      <w:wordWrap w:val="0"/>
    </w:pPr>
    <w:rPr>
      <w:rFonts w:ascii="Calibri" w:hAnsi="Calibri" w:eastAsia="宋体" w:cs="Times New Roman"/>
      <w:sz w:val="32"/>
      <w:lang w:val="en-US" w:eastAsia="zh-CN" w:bidi="ar-SA"/>
    </w:rPr>
  </w:style>
  <w:style w:type="paragraph" w:customStyle="1" w:styleId="302">
    <w:name w:val="xl71"/>
    <w:basedOn w:val="1"/>
    <w:next w:val="303"/>
    <w:qFormat/>
    <w:uiPriority w:val="0"/>
    <w:pPr>
      <w:widowControl/>
      <w:shd w:val="clear" w:color="000000" w:fill="FFFFFF"/>
      <w:spacing w:before="280" w:after="280"/>
    </w:pPr>
    <w:rPr>
      <w:rFonts w:ascii="宋体" w:hAnsi="Calibri"/>
      <w:kern w:val="0"/>
      <w:sz w:val="24"/>
      <w:szCs w:val="20"/>
    </w:rPr>
  </w:style>
  <w:style w:type="paragraph" w:customStyle="1" w:styleId="303">
    <w:name w:val="toc 115"/>
    <w:next w:val="1"/>
    <w:qFormat/>
    <w:uiPriority w:val="0"/>
    <w:pPr>
      <w:wordWrap w:val="0"/>
      <w:jc w:val="both"/>
    </w:pPr>
    <w:rPr>
      <w:rFonts w:ascii="Calibri" w:hAnsi="Calibri" w:eastAsia="宋体" w:cs="Times New Roman"/>
      <w:sz w:val="21"/>
      <w:lang w:val="en-US" w:eastAsia="zh-CN" w:bidi="ar-SA"/>
    </w:rPr>
  </w:style>
  <w:style w:type="paragraph" w:customStyle="1" w:styleId="304">
    <w:name w:val="toc 51"/>
    <w:next w:val="1"/>
    <w:qFormat/>
    <w:uiPriority w:val="0"/>
    <w:pPr>
      <w:wordWrap w:val="0"/>
      <w:ind w:left="1700"/>
      <w:jc w:val="both"/>
    </w:pPr>
    <w:rPr>
      <w:rFonts w:ascii="Calibri" w:hAnsi="Calibri" w:eastAsia="宋体" w:cs="Times New Roman"/>
      <w:sz w:val="21"/>
      <w:lang w:val="en-US" w:eastAsia="zh-CN" w:bidi="ar-SA"/>
    </w:rPr>
  </w:style>
  <w:style w:type="paragraph" w:customStyle="1" w:styleId="305">
    <w:name w:val="toc 47"/>
    <w:next w:val="1"/>
    <w:qFormat/>
    <w:uiPriority w:val="0"/>
    <w:pPr>
      <w:wordWrap w:val="0"/>
      <w:ind w:left="1275"/>
      <w:jc w:val="both"/>
    </w:pPr>
    <w:rPr>
      <w:rFonts w:ascii="Calibri" w:hAnsi="Calibri" w:eastAsia="宋体" w:cs="Times New Roman"/>
      <w:sz w:val="21"/>
      <w:lang w:val="en-US" w:eastAsia="zh-CN" w:bidi="ar-SA"/>
    </w:rPr>
  </w:style>
  <w:style w:type="paragraph" w:customStyle="1" w:styleId="306">
    <w:name w:val="xl108"/>
    <w:basedOn w:val="1"/>
    <w:next w:val="307"/>
    <w:qFormat/>
    <w:uiPriority w:val="0"/>
    <w:pPr>
      <w:widowControl/>
      <w:shd w:val="clear" w:color="000000" w:fill="FFFFFF"/>
      <w:spacing w:before="280" w:after="280"/>
    </w:pPr>
    <w:rPr>
      <w:rFonts w:ascii="宋体" w:hAnsi="Calibri"/>
      <w:kern w:val="0"/>
      <w:sz w:val="18"/>
      <w:szCs w:val="20"/>
    </w:rPr>
  </w:style>
  <w:style w:type="paragraph" w:customStyle="1" w:styleId="307">
    <w:name w:val="toc 18"/>
    <w:next w:val="1"/>
    <w:qFormat/>
    <w:uiPriority w:val="0"/>
    <w:pPr>
      <w:wordWrap w:val="0"/>
      <w:jc w:val="both"/>
    </w:pPr>
    <w:rPr>
      <w:rFonts w:ascii="Calibri" w:hAnsi="Calibri" w:eastAsia="宋体" w:cs="Times New Roman"/>
      <w:sz w:val="21"/>
      <w:lang w:val="en-US" w:eastAsia="zh-CN" w:bidi="ar-SA"/>
    </w:rPr>
  </w:style>
  <w:style w:type="paragraph" w:customStyle="1" w:styleId="308">
    <w:name w:val="TOC Heading7"/>
    <w:next w:val="1"/>
    <w:qFormat/>
    <w:uiPriority w:val="0"/>
    <w:pPr>
      <w:wordWrap w:val="0"/>
    </w:pPr>
    <w:rPr>
      <w:rFonts w:ascii="Calibri" w:hAnsi="Calibri" w:eastAsia="宋体" w:cs="Times New Roman"/>
      <w:sz w:val="32"/>
      <w:lang w:val="en-US" w:eastAsia="zh-CN" w:bidi="ar-SA"/>
    </w:rPr>
  </w:style>
  <w:style w:type="character" w:customStyle="1" w:styleId="309">
    <w:name w:val="副标题 Char"/>
    <w:basedOn w:val="46"/>
    <w:link w:val="31"/>
    <w:qFormat/>
    <w:uiPriority w:val="0"/>
    <w:rPr>
      <w:rFonts w:ascii="Calibri" w:hAnsi="Calibri"/>
      <w:sz w:val="24"/>
    </w:rPr>
  </w:style>
  <w:style w:type="paragraph" w:customStyle="1" w:styleId="310">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311">
    <w:name w:val="toc 413"/>
    <w:next w:val="1"/>
    <w:qFormat/>
    <w:uiPriority w:val="0"/>
    <w:pPr>
      <w:wordWrap w:val="0"/>
      <w:ind w:left="1275"/>
      <w:jc w:val="both"/>
    </w:pPr>
    <w:rPr>
      <w:rFonts w:ascii="Calibri" w:hAnsi="Calibri" w:eastAsia="宋体" w:cs="Times New Roman"/>
      <w:sz w:val="21"/>
      <w:lang w:val="en-US" w:eastAsia="zh-CN" w:bidi="ar-SA"/>
    </w:rPr>
  </w:style>
  <w:style w:type="paragraph" w:customStyle="1" w:styleId="312">
    <w:name w:val="toc 85"/>
    <w:next w:val="1"/>
    <w:qFormat/>
    <w:uiPriority w:val="0"/>
    <w:pPr>
      <w:wordWrap w:val="0"/>
      <w:ind w:left="2975"/>
      <w:jc w:val="both"/>
    </w:pPr>
    <w:rPr>
      <w:rFonts w:ascii="Calibri" w:hAnsi="Calibri" w:eastAsia="宋体" w:cs="Times New Roman"/>
      <w:sz w:val="21"/>
      <w:lang w:val="en-US" w:eastAsia="zh-CN" w:bidi="ar-SA"/>
    </w:rPr>
  </w:style>
  <w:style w:type="paragraph" w:customStyle="1" w:styleId="313">
    <w:name w:val="列出段落6"/>
    <w:basedOn w:val="1"/>
    <w:next w:val="314"/>
    <w:qFormat/>
    <w:uiPriority w:val="0"/>
    <w:pPr>
      <w:ind w:firstLine="420"/>
    </w:pPr>
    <w:rPr>
      <w:rFonts w:hAnsi="Calibri"/>
      <w:kern w:val="0"/>
      <w:szCs w:val="20"/>
    </w:rPr>
  </w:style>
  <w:style w:type="paragraph" w:customStyle="1" w:styleId="314">
    <w:name w:val="toc 86"/>
    <w:next w:val="1"/>
    <w:qFormat/>
    <w:uiPriority w:val="0"/>
    <w:pPr>
      <w:wordWrap w:val="0"/>
      <w:ind w:left="2975"/>
      <w:jc w:val="both"/>
    </w:pPr>
    <w:rPr>
      <w:rFonts w:ascii="Calibri" w:hAnsi="Calibri" w:eastAsia="宋体" w:cs="Times New Roman"/>
      <w:sz w:val="21"/>
      <w:lang w:val="en-US" w:eastAsia="zh-CN" w:bidi="ar-SA"/>
    </w:rPr>
  </w:style>
  <w:style w:type="paragraph" w:customStyle="1" w:styleId="315">
    <w:name w:val="xl80"/>
    <w:basedOn w:val="1"/>
    <w:next w:val="316"/>
    <w:qFormat/>
    <w:uiPriority w:val="0"/>
    <w:pPr>
      <w:widowControl/>
      <w:shd w:val="clear" w:color="000000" w:fill="FFFFFF"/>
      <w:spacing w:before="280" w:after="280"/>
      <w:jc w:val="center"/>
    </w:pPr>
    <w:rPr>
      <w:rFonts w:ascii="宋体" w:hAnsi="Calibri"/>
      <w:b/>
      <w:kern w:val="0"/>
      <w:sz w:val="20"/>
      <w:szCs w:val="20"/>
    </w:rPr>
  </w:style>
  <w:style w:type="paragraph" w:customStyle="1" w:styleId="316">
    <w:name w:val="toc 49"/>
    <w:next w:val="1"/>
    <w:qFormat/>
    <w:uiPriority w:val="0"/>
    <w:pPr>
      <w:wordWrap w:val="0"/>
      <w:ind w:left="1275"/>
      <w:jc w:val="both"/>
    </w:pPr>
    <w:rPr>
      <w:rFonts w:ascii="Calibri" w:hAnsi="Calibri" w:eastAsia="宋体" w:cs="Times New Roman"/>
      <w:sz w:val="21"/>
      <w:lang w:val="en-US" w:eastAsia="zh-CN" w:bidi="ar-SA"/>
    </w:rPr>
  </w:style>
  <w:style w:type="paragraph" w:customStyle="1" w:styleId="317">
    <w:name w:val="Char Char Char Char1"/>
    <w:basedOn w:val="1"/>
    <w:next w:val="318"/>
    <w:qFormat/>
    <w:uiPriority w:val="0"/>
    <w:pPr>
      <w:widowControl/>
      <w:spacing w:after="160" w:line="240" w:lineRule="exact"/>
    </w:pPr>
    <w:rPr>
      <w:rFonts w:ascii="Verdana" w:hAnsi="Calibri" w:eastAsia="仿宋_GB2312"/>
      <w:kern w:val="0"/>
      <w:sz w:val="24"/>
      <w:szCs w:val="20"/>
    </w:rPr>
  </w:style>
  <w:style w:type="paragraph" w:customStyle="1" w:styleId="318">
    <w:name w:val="toc 713"/>
    <w:next w:val="1"/>
    <w:qFormat/>
    <w:uiPriority w:val="0"/>
    <w:pPr>
      <w:wordWrap w:val="0"/>
      <w:ind w:left="2550"/>
      <w:jc w:val="both"/>
    </w:pPr>
    <w:rPr>
      <w:rFonts w:ascii="Calibri" w:hAnsi="Calibri" w:eastAsia="宋体" w:cs="Times New Roman"/>
      <w:sz w:val="21"/>
      <w:lang w:val="en-US" w:eastAsia="zh-CN" w:bidi="ar-SA"/>
    </w:rPr>
  </w:style>
  <w:style w:type="paragraph" w:customStyle="1" w:styleId="319">
    <w:name w:val="xl102"/>
    <w:basedOn w:val="1"/>
    <w:next w:val="320"/>
    <w:qFormat/>
    <w:uiPriority w:val="0"/>
    <w:pPr>
      <w:widowControl/>
      <w:shd w:val="clear" w:color="000000" w:fill="FFFFFF"/>
      <w:spacing w:before="280" w:after="280"/>
      <w:jc w:val="right"/>
    </w:pPr>
    <w:rPr>
      <w:rFonts w:ascii="宋体" w:hAnsi="Calibri"/>
      <w:kern w:val="0"/>
      <w:sz w:val="20"/>
      <w:szCs w:val="20"/>
    </w:rPr>
  </w:style>
  <w:style w:type="paragraph" w:customStyle="1" w:styleId="320">
    <w:name w:val="toc 17"/>
    <w:next w:val="1"/>
    <w:qFormat/>
    <w:uiPriority w:val="0"/>
    <w:pPr>
      <w:wordWrap w:val="0"/>
      <w:jc w:val="both"/>
    </w:pPr>
    <w:rPr>
      <w:rFonts w:ascii="Calibri" w:hAnsi="Calibri" w:eastAsia="宋体" w:cs="Times New Roman"/>
      <w:sz w:val="21"/>
      <w:lang w:val="en-US" w:eastAsia="zh-CN" w:bidi="ar-SA"/>
    </w:rPr>
  </w:style>
  <w:style w:type="paragraph" w:customStyle="1" w:styleId="321">
    <w:name w:val="toc 46"/>
    <w:next w:val="1"/>
    <w:qFormat/>
    <w:uiPriority w:val="0"/>
    <w:pPr>
      <w:wordWrap w:val="0"/>
      <w:ind w:left="1275"/>
      <w:jc w:val="both"/>
    </w:pPr>
    <w:rPr>
      <w:rFonts w:ascii="Calibri" w:hAnsi="Calibri" w:eastAsia="宋体" w:cs="Times New Roman"/>
      <w:sz w:val="21"/>
      <w:lang w:val="en-US" w:eastAsia="zh-CN" w:bidi="ar-SA"/>
    </w:rPr>
  </w:style>
  <w:style w:type="paragraph" w:customStyle="1" w:styleId="322">
    <w:name w:val="toc 311"/>
    <w:next w:val="1"/>
    <w:qFormat/>
    <w:uiPriority w:val="0"/>
    <w:pPr>
      <w:wordWrap w:val="0"/>
      <w:ind w:left="850"/>
      <w:jc w:val="both"/>
    </w:pPr>
    <w:rPr>
      <w:rFonts w:ascii="Calibri" w:hAnsi="Calibri" w:eastAsia="宋体" w:cs="Times New Roman"/>
      <w:sz w:val="21"/>
      <w:lang w:val="en-US" w:eastAsia="zh-CN" w:bidi="ar-SA"/>
    </w:rPr>
  </w:style>
  <w:style w:type="paragraph" w:customStyle="1" w:styleId="323">
    <w:name w:val="xl65"/>
    <w:basedOn w:val="1"/>
    <w:next w:val="224"/>
    <w:qFormat/>
    <w:uiPriority w:val="0"/>
    <w:pPr>
      <w:widowControl/>
      <w:shd w:val="clear" w:color="000000" w:fill="FFFFFF"/>
      <w:spacing w:before="280" w:after="280"/>
      <w:jc w:val="center"/>
    </w:pPr>
    <w:rPr>
      <w:rFonts w:ascii="宋体" w:hAnsi="Calibri"/>
      <w:kern w:val="0"/>
      <w:sz w:val="20"/>
      <w:szCs w:val="20"/>
    </w:rPr>
  </w:style>
  <w:style w:type="paragraph" w:customStyle="1" w:styleId="324">
    <w:name w:val="toc 94"/>
    <w:next w:val="1"/>
    <w:qFormat/>
    <w:uiPriority w:val="0"/>
    <w:pPr>
      <w:wordWrap w:val="0"/>
      <w:ind w:left="3400"/>
      <w:jc w:val="both"/>
    </w:pPr>
    <w:rPr>
      <w:rFonts w:ascii="Calibri" w:hAnsi="Calibri" w:eastAsia="宋体" w:cs="Times New Roman"/>
      <w:sz w:val="21"/>
      <w:lang w:val="en-US" w:eastAsia="zh-CN" w:bidi="ar-SA"/>
    </w:rPr>
  </w:style>
  <w:style w:type="paragraph" w:customStyle="1" w:styleId="325">
    <w:name w:val="toc 55"/>
    <w:next w:val="1"/>
    <w:qFormat/>
    <w:uiPriority w:val="0"/>
    <w:pPr>
      <w:wordWrap w:val="0"/>
      <w:ind w:left="1700"/>
      <w:jc w:val="both"/>
    </w:pPr>
    <w:rPr>
      <w:rFonts w:ascii="Calibri" w:hAnsi="Calibri" w:eastAsia="宋体" w:cs="Times New Roman"/>
      <w:sz w:val="21"/>
      <w:lang w:val="en-US" w:eastAsia="zh-CN" w:bidi="ar-SA"/>
    </w:rPr>
  </w:style>
  <w:style w:type="paragraph" w:customStyle="1" w:styleId="326">
    <w:name w:val="toc 812"/>
    <w:next w:val="1"/>
    <w:qFormat/>
    <w:uiPriority w:val="0"/>
    <w:pPr>
      <w:wordWrap w:val="0"/>
      <w:ind w:left="2975"/>
      <w:jc w:val="both"/>
    </w:pPr>
    <w:rPr>
      <w:rFonts w:ascii="Calibri" w:hAnsi="Calibri" w:eastAsia="宋体" w:cs="Times New Roman"/>
      <w:sz w:val="21"/>
      <w:lang w:val="en-US" w:eastAsia="zh-CN" w:bidi="ar-SA"/>
    </w:rPr>
  </w:style>
  <w:style w:type="paragraph" w:customStyle="1" w:styleId="327">
    <w:name w:val="xl75"/>
    <w:basedOn w:val="1"/>
    <w:next w:val="328"/>
    <w:qFormat/>
    <w:uiPriority w:val="0"/>
    <w:pPr>
      <w:widowControl/>
      <w:shd w:val="clear" w:color="000000" w:fill="FFFFFF"/>
      <w:spacing w:before="280" w:after="280"/>
    </w:pPr>
    <w:rPr>
      <w:rFonts w:ascii="宋体" w:hAnsi="Calibri"/>
      <w:kern w:val="0"/>
      <w:sz w:val="20"/>
      <w:szCs w:val="20"/>
    </w:rPr>
  </w:style>
  <w:style w:type="paragraph" w:customStyle="1" w:styleId="328">
    <w:name w:val="toc 914"/>
    <w:next w:val="1"/>
    <w:qFormat/>
    <w:uiPriority w:val="0"/>
    <w:pPr>
      <w:wordWrap w:val="0"/>
      <w:ind w:left="3400"/>
      <w:jc w:val="both"/>
    </w:pPr>
    <w:rPr>
      <w:rFonts w:ascii="Calibri" w:hAnsi="Calibri" w:eastAsia="宋体" w:cs="Times New Roman"/>
      <w:sz w:val="21"/>
      <w:lang w:val="en-US" w:eastAsia="zh-CN" w:bidi="ar-SA"/>
    </w:rPr>
  </w:style>
  <w:style w:type="paragraph" w:customStyle="1" w:styleId="329">
    <w:name w:val="toc 19"/>
    <w:next w:val="1"/>
    <w:qFormat/>
    <w:uiPriority w:val="0"/>
    <w:pPr>
      <w:wordWrap w:val="0"/>
      <w:jc w:val="both"/>
    </w:pPr>
    <w:rPr>
      <w:rFonts w:ascii="Calibri" w:hAnsi="Calibri" w:eastAsia="宋体" w:cs="Times New Roman"/>
      <w:sz w:val="21"/>
      <w:lang w:val="en-US" w:eastAsia="zh-CN" w:bidi="ar-SA"/>
    </w:rPr>
  </w:style>
  <w:style w:type="paragraph" w:customStyle="1" w:styleId="330">
    <w:name w:val="TOC Heading6"/>
    <w:next w:val="1"/>
    <w:qFormat/>
    <w:uiPriority w:val="0"/>
    <w:pPr>
      <w:wordWrap w:val="0"/>
    </w:pPr>
    <w:rPr>
      <w:rFonts w:ascii="Calibri" w:hAnsi="Calibri" w:eastAsia="宋体" w:cs="Times New Roman"/>
      <w:sz w:val="32"/>
      <w:lang w:val="en-US" w:eastAsia="zh-CN" w:bidi="ar-SA"/>
    </w:rPr>
  </w:style>
  <w:style w:type="paragraph" w:customStyle="1" w:styleId="331">
    <w:name w:val="toc 52"/>
    <w:next w:val="1"/>
    <w:qFormat/>
    <w:uiPriority w:val="0"/>
    <w:pPr>
      <w:wordWrap w:val="0"/>
      <w:ind w:left="1700"/>
      <w:jc w:val="both"/>
    </w:pPr>
    <w:rPr>
      <w:rFonts w:ascii="Calibri" w:hAnsi="Calibri" w:eastAsia="宋体" w:cs="Times New Roman"/>
      <w:sz w:val="21"/>
      <w:lang w:val="en-US" w:eastAsia="zh-CN" w:bidi="ar-SA"/>
    </w:rPr>
  </w:style>
  <w:style w:type="paragraph" w:customStyle="1" w:styleId="332">
    <w:name w:val="toc 36"/>
    <w:next w:val="1"/>
    <w:qFormat/>
    <w:uiPriority w:val="0"/>
    <w:pPr>
      <w:wordWrap w:val="0"/>
      <w:ind w:left="850"/>
      <w:jc w:val="both"/>
    </w:pPr>
    <w:rPr>
      <w:rFonts w:ascii="Calibri" w:hAnsi="Calibri" w:eastAsia="宋体" w:cs="Times New Roman"/>
      <w:sz w:val="21"/>
      <w:lang w:val="en-US" w:eastAsia="zh-CN" w:bidi="ar-SA"/>
    </w:rPr>
  </w:style>
  <w:style w:type="paragraph" w:customStyle="1" w:styleId="333">
    <w:name w:val="toc 82"/>
    <w:next w:val="1"/>
    <w:qFormat/>
    <w:uiPriority w:val="0"/>
    <w:pPr>
      <w:wordWrap w:val="0"/>
      <w:ind w:left="2975"/>
      <w:jc w:val="both"/>
    </w:pPr>
    <w:rPr>
      <w:rFonts w:ascii="Calibri" w:hAnsi="Calibri" w:eastAsia="宋体" w:cs="Times New Roman"/>
      <w:sz w:val="21"/>
      <w:lang w:val="en-US" w:eastAsia="zh-CN" w:bidi="ar-SA"/>
    </w:rPr>
  </w:style>
  <w:style w:type="paragraph" w:customStyle="1" w:styleId="334">
    <w:name w:val="xl104"/>
    <w:basedOn w:val="1"/>
    <w:next w:val="335"/>
    <w:qFormat/>
    <w:uiPriority w:val="0"/>
    <w:pPr>
      <w:widowControl/>
      <w:shd w:val="clear" w:color="000000" w:fill="FFFFFF"/>
      <w:spacing w:before="280" w:after="280"/>
      <w:jc w:val="center"/>
    </w:pPr>
    <w:rPr>
      <w:rFonts w:ascii="宋体" w:hAnsi="Calibri"/>
      <w:kern w:val="0"/>
      <w:sz w:val="20"/>
      <w:szCs w:val="20"/>
    </w:rPr>
  </w:style>
  <w:style w:type="paragraph" w:customStyle="1" w:styleId="335">
    <w:name w:val="toc 210"/>
    <w:next w:val="1"/>
    <w:qFormat/>
    <w:uiPriority w:val="0"/>
    <w:pPr>
      <w:wordWrap w:val="0"/>
      <w:ind w:left="425"/>
      <w:jc w:val="both"/>
    </w:pPr>
    <w:rPr>
      <w:rFonts w:ascii="Calibri" w:hAnsi="Calibri" w:eastAsia="宋体" w:cs="Times New Roman"/>
      <w:sz w:val="21"/>
      <w:lang w:val="en-US" w:eastAsia="zh-CN" w:bidi="ar-SA"/>
    </w:rPr>
  </w:style>
  <w:style w:type="paragraph" w:customStyle="1" w:styleId="336">
    <w:name w:val="toc 110"/>
    <w:next w:val="1"/>
    <w:qFormat/>
    <w:uiPriority w:val="0"/>
    <w:pPr>
      <w:wordWrap w:val="0"/>
      <w:jc w:val="both"/>
    </w:pPr>
    <w:rPr>
      <w:rFonts w:ascii="Calibri" w:hAnsi="Calibri" w:eastAsia="宋体" w:cs="Times New Roman"/>
      <w:sz w:val="21"/>
      <w:lang w:val="en-US" w:eastAsia="zh-CN" w:bidi="ar-SA"/>
    </w:rPr>
  </w:style>
  <w:style w:type="paragraph" w:customStyle="1" w:styleId="337">
    <w:name w:val="toc 66"/>
    <w:next w:val="1"/>
    <w:qFormat/>
    <w:uiPriority w:val="0"/>
    <w:pPr>
      <w:wordWrap w:val="0"/>
      <w:ind w:left="2125"/>
      <w:jc w:val="both"/>
    </w:pPr>
    <w:rPr>
      <w:rFonts w:ascii="Calibri" w:hAnsi="Calibri" w:eastAsia="宋体" w:cs="Times New Roman"/>
      <w:sz w:val="21"/>
      <w:lang w:val="en-US" w:eastAsia="zh-CN" w:bidi="ar-SA"/>
    </w:rPr>
  </w:style>
  <w:style w:type="paragraph" w:customStyle="1" w:styleId="338">
    <w:name w:val="toc 31"/>
    <w:next w:val="1"/>
    <w:qFormat/>
    <w:uiPriority w:val="0"/>
    <w:pPr>
      <w:wordWrap w:val="0"/>
      <w:ind w:left="850"/>
      <w:jc w:val="both"/>
    </w:pPr>
    <w:rPr>
      <w:rFonts w:ascii="Calibri" w:hAnsi="Calibri" w:eastAsia="宋体" w:cs="Times New Roman"/>
      <w:sz w:val="21"/>
      <w:lang w:val="en-US" w:eastAsia="zh-CN" w:bidi="ar-SA"/>
    </w:rPr>
  </w:style>
  <w:style w:type="paragraph" w:customStyle="1" w:styleId="339">
    <w:name w:val="toc 93"/>
    <w:next w:val="1"/>
    <w:qFormat/>
    <w:uiPriority w:val="0"/>
    <w:pPr>
      <w:wordWrap w:val="0"/>
      <w:ind w:left="3400"/>
      <w:jc w:val="both"/>
    </w:pPr>
    <w:rPr>
      <w:rFonts w:ascii="Calibri" w:hAnsi="Calibri" w:eastAsia="宋体" w:cs="Times New Roman"/>
      <w:sz w:val="21"/>
      <w:lang w:val="en-US" w:eastAsia="zh-CN" w:bidi="ar-SA"/>
    </w:rPr>
  </w:style>
  <w:style w:type="paragraph" w:customStyle="1" w:styleId="340">
    <w:name w:val="toc 614"/>
    <w:next w:val="1"/>
    <w:qFormat/>
    <w:uiPriority w:val="0"/>
    <w:pPr>
      <w:wordWrap w:val="0"/>
      <w:ind w:left="2125"/>
      <w:jc w:val="both"/>
    </w:pPr>
    <w:rPr>
      <w:rFonts w:ascii="Calibri" w:hAnsi="Calibri" w:eastAsia="宋体" w:cs="Times New Roman"/>
      <w:sz w:val="21"/>
      <w:lang w:val="en-US" w:eastAsia="zh-CN" w:bidi="ar-SA"/>
    </w:rPr>
  </w:style>
  <w:style w:type="paragraph" w:customStyle="1" w:styleId="341">
    <w:name w:val="无间隔1"/>
    <w:next w:val="336"/>
    <w:qFormat/>
    <w:uiPriority w:val="0"/>
    <w:pPr>
      <w:widowControl w:val="0"/>
      <w:jc w:val="both"/>
    </w:pPr>
    <w:rPr>
      <w:rFonts w:ascii="Calibri" w:hAnsi="Calibri" w:eastAsia="宋体" w:cs="Times New Roman"/>
      <w:sz w:val="22"/>
      <w:lang w:val="en-US" w:eastAsia="zh-CN" w:bidi="ar-SA"/>
    </w:rPr>
  </w:style>
  <w:style w:type="paragraph" w:customStyle="1" w:styleId="342">
    <w:name w:val="目录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3">
    <w:name w:val="xl105"/>
    <w:basedOn w:val="1"/>
    <w:next w:val="344"/>
    <w:qFormat/>
    <w:uiPriority w:val="0"/>
    <w:pPr>
      <w:widowControl/>
      <w:shd w:val="clear" w:color="000000" w:fill="FFFFFF"/>
      <w:spacing w:before="280" w:after="280"/>
    </w:pPr>
    <w:rPr>
      <w:rFonts w:ascii="宋体" w:hAnsi="Calibri"/>
      <w:kern w:val="0"/>
      <w:sz w:val="18"/>
      <w:szCs w:val="20"/>
    </w:rPr>
  </w:style>
  <w:style w:type="paragraph" w:customStyle="1" w:styleId="344">
    <w:name w:val="toc 615"/>
    <w:next w:val="1"/>
    <w:qFormat/>
    <w:uiPriority w:val="0"/>
    <w:pPr>
      <w:wordWrap w:val="0"/>
      <w:ind w:left="2125"/>
      <w:jc w:val="both"/>
    </w:pPr>
    <w:rPr>
      <w:rFonts w:ascii="Calibri" w:hAnsi="Calibri" w:eastAsia="宋体" w:cs="Times New Roman"/>
      <w:sz w:val="21"/>
      <w:lang w:val="en-US" w:eastAsia="zh-CN" w:bidi="ar-SA"/>
    </w:rPr>
  </w:style>
  <w:style w:type="paragraph" w:customStyle="1" w:styleId="345">
    <w:name w:val="toc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6">
    <w:name w:val="toc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47">
    <w:name w:val="xl111"/>
    <w:basedOn w:val="1"/>
    <w:next w:val="348"/>
    <w:qFormat/>
    <w:uiPriority w:val="0"/>
    <w:pPr>
      <w:widowControl/>
      <w:shd w:val="clear" w:color="000000" w:fill="FFFFFF"/>
      <w:spacing w:before="280" w:after="280"/>
      <w:jc w:val="center"/>
    </w:pPr>
    <w:rPr>
      <w:rFonts w:ascii="宋体" w:hAnsi="Calibri"/>
      <w:b/>
      <w:kern w:val="0"/>
      <w:sz w:val="20"/>
      <w:szCs w:val="20"/>
    </w:rPr>
  </w:style>
  <w:style w:type="paragraph" w:customStyle="1" w:styleId="348">
    <w:name w:val="toc 88"/>
    <w:next w:val="1"/>
    <w:uiPriority w:val="0"/>
    <w:pPr>
      <w:wordWrap w:val="0"/>
      <w:ind w:left="2975"/>
      <w:jc w:val="both"/>
    </w:pPr>
    <w:rPr>
      <w:rFonts w:ascii="Calibri" w:hAnsi="Calibri" w:eastAsia="宋体" w:cs="Times New Roman"/>
      <w:sz w:val="21"/>
      <w:lang w:val="en-US" w:eastAsia="zh-CN" w:bidi="ar-SA"/>
    </w:rPr>
  </w:style>
  <w:style w:type="paragraph" w:customStyle="1" w:styleId="349">
    <w:name w:val="toc 84"/>
    <w:next w:val="1"/>
    <w:qFormat/>
    <w:uiPriority w:val="0"/>
    <w:pPr>
      <w:wordWrap w:val="0"/>
      <w:ind w:left="2975"/>
      <w:jc w:val="both"/>
    </w:pPr>
    <w:rPr>
      <w:rFonts w:ascii="Calibri" w:hAnsi="Calibri" w:eastAsia="宋体" w:cs="Times New Roman"/>
      <w:sz w:val="21"/>
      <w:lang w:val="en-US" w:eastAsia="zh-CN" w:bidi="ar-SA"/>
    </w:rPr>
  </w:style>
  <w:style w:type="paragraph" w:customStyle="1" w:styleId="350">
    <w:name w:val="p0"/>
    <w:basedOn w:val="1"/>
    <w:next w:val="351"/>
    <w:qFormat/>
    <w:uiPriority w:val="0"/>
    <w:pPr>
      <w:widowControl/>
      <w:spacing w:before="280" w:after="280"/>
    </w:pPr>
    <w:rPr>
      <w:rFonts w:ascii="宋体" w:hAnsi="Calibri"/>
      <w:kern w:val="0"/>
      <w:sz w:val="24"/>
      <w:szCs w:val="20"/>
    </w:rPr>
  </w:style>
  <w:style w:type="paragraph" w:customStyle="1" w:styleId="351">
    <w:name w:val="toc 69"/>
    <w:next w:val="1"/>
    <w:qFormat/>
    <w:uiPriority w:val="0"/>
    <w:pPr>
      <w:wordWrap w:val="0"/>
      <w:ind w:left="2125"/>
      <w:jc w:val="both"/>
    </w:pPr>
    <w:rPr>
      <w:rFonts w:ascii="Calibri" w:hAnsi="Calibri" w:eastAsia="宋体" w:cs="Times New Roman"/>
      <w:sz w:val="21"/>
      <w:lang w:val="en-US" w:eastAsia="zh-CN" w:bidi="ar-SA"/>
    </w:rPr>
  </w:style>
  <w:style w:type="paragraph" w:customStyle="1" w:styleId="352">
    <w:name w:val="列出段落11"/>
    <w:basedOn w:val="1"/>
    <w:next w:val="353"/>
    <w:qFormat/>
    <w:uiPriority w:val="0"/>
    <w:pPr>
      <w:widowControl/>
      <w:spacing w:line="360" w:lineRule="auto"/>
      <w:ind w:firstLine="420"/>
    </w:pPr>
    <w:rPr>
      <w:rFonts w:hAnsi="Calibri" w:eastAsia="微软雅黑"/>
      <w:kern w:val="0"/>
      <w:sz w:val="24"/>
      <w:szCs w:val="20"/>
    </w:rPr>
  </w:style>
  <w:style w:type="paragraph" w:customStyle="1" w:styleId="353">
    <w:name w:val="toc 214"/>
    <w:next w:val="1"/>
    <w:qFormat/>
    <w:uiPriority w:val="0"/>
    <w:pPr>
      <w:wordWrap w:val="0"/>
      <w:ind w:left="425"/>
      <w:jc w:val="both"/>
    </w:pPr>
    <w:rPr>
      <w:rFonts w:ascii="Calibri" w:hAnsi="Calibri" w:eastAsia="宋体" w:cs="Times New Roman"/>
      <w:sz w:val="21"/>
      <w:lang w:val="en-US" w:eastAsia="zh-CN" w:bidi="ar-SA"/>
    </w:rPr>
  </w:style>
  <w:style w:type="paragraph" w:customStyle="1" w:styleId="354">
    <w:name w:val="toc 63"/>
    <w:next w:val="1"/>
    <w:qFormat/>
    <w:uiPriority w:val="0"/>
    <w:pPr>
      <w:wordWrap w:val="0"/>
      <w:ind w:left="2125"/>
      <w:jc w:val="both"/>
    </w:pPr>
    <w:rPr>
      <w:rFonts w:ascii="Calibri" w:hAnsi="Calibri" w:eastAsia="宋体" w:cs="Times New Roman"/>
      <w:sz w:val="21"/>
      <w:lang w:val="en-US" w:eastAsia="zh-CN" w:bidi="ar-SA"/>
    </w:rPr>
  </w:style>
  <w:style w:type="paragraph" w:customStyle="1" w:styleId="355">
    <w:name w:val="xl91"/>
    <w:basedOn w:val="1"/>
    <w:next w:val="252"/>
    <w:qFormat/>
    <w:uiPriority w:val="0"/>
    <w:pPr>
      <w:widowControl/>
      <w:shd w:val="clear" w:color="000000" w:fill="FFFFFF"/>
      <w:spacing w:before="280" w:after="280"/>
    </w:pPr>
    <w:rPr>
      <w:rFonts w:ascii="宋体" w:hAnsi="Calibri"/>
      <w:kern w:val="0"/>
      <w:sz w:val="20"/>
      <w:szCs w:val="20"/>
    </w:rPr>
  </w:style>
  <w:style w:type="paragraph" w:customStyle="1" w:styleId="356">
    <w:name w:val="toc 316"/>
    <w:next w:val="1"/>
    <w:qFormat/>
    <w:uiPriority w:val="0"/>
    <w:pPr>
      <w:wordWrap w:val="0"/>
      <w:ind w:left="850"/>
      <w:jc w:val="both"/>
    </w:pPr>
    <w:rPr>
      <w:rFonts w:ascii="Calibri" w:hAnsi="Calibri" w:eastAsia="宋体" w:cs="Times New Roman"/>
      <w:sz w:val="21"/>
      <w:lang w:val="en-US" w:eastAsia="zh-CN" w:bidi="ar-SA"/>
    </w:rPr>
  </w:style>
  <w:style w:type="paragraph" w:customStyle="1" w:styleId="357">
    <w:name w:val="_Style 1"/>
    <w:basedOn w:val="1"/>
    <w:next w:val="358"/>
    <w:qFormat/>
    <w:uiPriority w:val="0"/>
    <w:pPr>
      <w:ind w:firstLine="420"/>
    </w:pPr>
    <w:rPr>
      <w:rFonts w:hAnsi="Calibri"/>
      <w:kern w:val="0"/>
      <w:szCs w:val="20"/>
    </w:rPr>
  </w:style>
  <w:style w:type="paragraph" w:customStyle="1" w:styleId="358">
    <w:name w:val="TOC Heading13"/>
    <w:next w:val="1"/>
    <w:qFormat/>
    <w:uiPriority w:val="0"/>
    <w:pPr>
      <w:wordWrap w:val="0"/>
    </w:pPr>
    <w:rPr>
      <w:rFonts w:ascii="Calibri" w:hAnsi="Calibri" w:eastAsia="宋体" w:cs="Times New Roman"/>
      <w:sz w:val="32"/>
      <w:lang w:val="en-US" w:eastAsia="zh-CN" w:bidi="ar-SA"/>
    </w:rPr>
  </w:style>
  <w:style w:type="paragraph" w:customStyle="1" w:styleId="359">
    <w:name w:val="toc 116"/>
    <w:next w:val="1"/>
    <w:qFormat/>
    <w:uiPriority w:val="0"/>
    <w:pPr>
      <w:wordWrap w:val="0"/>
      <w:jc w:val="both"/>
    </w:pPr>
    <w:rPr>
      <w:rFonts w:ascii="Calibri" w:hAnsi="Calibri" w:eastAsia="宋体" w:cs="Times New Roman"/>
      <w:sz w:val="21"/>
      <w:lang w:val="en-US" w:eastAsia="zh-CN" w:bidi="ar-SA"/>
    </w:rPr>
  </w:style>
  <w:style w:type="paragraph" w:customStyle="1" w:styleId="360">
    <w:name w:val="toc 72"/>
    <w:next w:val="1"/>
    <w:qFormat/>
    <w:uiPriority w:val="0"/>
    <w:pPr>
      <w:wordWrap w:val="0"/>
      <w:ind w:left="2550"/>
      <w:jc w:val="both"/>
    </w:pPr>
    <w:rPr>
      <w:rFonts w:ascii="Calibri" w:hAnsi="Calibri" w:eastAsia="宋体" w:cs="Times New Roman"/>
      <w:sz w:val="21"/>
      <w:lang w:val="en-US" w:eastAsia="zh-CN" w:bidi="ar-SA"/>
    </w:rPr>
  </w:style>
  <w:style w:type="paragraph" w:customStyle="1" w:styleId="361">
    <w:name w:val="x_msonormal"/>
    <w:basedOn w:val="1"/>
    <w:next w:val="311"/>
    <w:qFormat/>
    <w:uiPriority w:val="0"/>
    <w:pPr>
      <w:widowControl/>
      <w:spacing w:before="280" w:after="280"/>
    </w:pPr>
    <w:rPr>
      <w:rFonts w:ascii="PMingLiU" w:hAnsi="Calibri" w:eastAsia="PMingLiU"/>
      <w:kern w:val="0"/>
      <w:sz w:val="24"/>
      <w:szCs w:val="20"/>
    </w:rPr>
  </w:style>
  <w:style w:type="paragraph" w:customStyle="1" w:styleId="362">
    <w:name w:val="toc 310"/>
    <w:next w:val="1"/>
    <w:qFormat/>
    <w:uiPriority w:val="0"/>
    <w:pPr>
      <w:wordWrap w:val="0"/>
      <w:ind w:left="850"/>
      <w:jc w:val="both"/>
    </w:pPr>
    <w:rPr>
      <w:rFonts w:ascii="Calibri" w:hAnsi="Calibri" w:eastAsia="宋体" w:cs="Times New Roman"/>
      <w:sz w:val="21"/>
      <w:lang w:val="en-US" w:eastAsia="zh-CN" w:bidi="ar-SA"/>
    </w:rPr>
  </w:style>
  <w:style w:type="paragraph" w:customStyle="1" w:styleId="363">
    <w:name w:val="toc 83"/>
    <w:next w:val="1"/>
    <w:qFormat/>
    <w:uiPriority w:val="0"/>
    <w:pPr>
      <w:wordWrap w:val="0"/>
      <w:ind w:left="2975"/>
      <w:jc w:val="both"/>
    </w:pPr>
    <w:rPr>
      <w:rFonts w:ascii="Calibri" w:hAnsi="Calibri" w:eastAsia="宋体" w:cs="Times New Roman"/>
      <w:sz w:val="21"/>
      <w:lang w:val="en-US" w:eastAsia="zh-CN" w:bidi="ar-SA"/>
    </w:rPr>
  </w:style>
  <w:style w:type="paragraph" w:customStyle="1" w:styleId="364">
    <w:name w:val="TOC Heading17"/>
    <w:next w:val="1"/>
    <w:qFormat/>
    <w:uiPriority w:val="0"/>
    <w:pPr>
      <w:wordWrap w:val="0"/>
    </w:pPr>
    <w:rPr>
      <w:rFonts w:ascii="Calibri" w:hAnsi="Calibri" w:eastAsia="宋体" w:cs="Times New Roman"/>
      <w:sz w:val="32"/>
      <w:lang w:val="en-US" w:eastAsia="zh-CN" w:bidi="ar-SA"/>
    </w:rPr>
  </w:style>
  <w:style w:type="paragraph" w:customStyle="1" w:styleId="365">
    <w:name w:val="toc 911"/>
    <w:next w:val="1"/>
    <w:qFormat/>
    <w:uiPriority w:val="0"/>
    <w:pPr>
      <w:wordWrap w:val="0"/>
      <w:ind w:left="3400"/>
      <w:jc w:val="both"/>
    </w:pPr>
    <w:rPr>
      <w:rFonts w:ascii="Calibri" w:hAnsi="Calibri" w:eastAsia="宋体" w:cs="Times New Roman"/>
      <w:sz w:val="21"/>
      <w:lang w:val="en-US" w:eastAsia="zh-CN" w:bidi="ar-SA"/>
    </w:rPr>
  </w:style>
  <w:style w:type="paragraph" w:customStyle="1" w:styleId="366">
    <w:name w:val="toc 811"/>
    <w:next w:val="1"/>
    <w:qFormat/>
    <w:uiPriority w:val="0"/>
    <w:pPr>
      <w:wordWrap w:val="0"/>
      <w:ind w:left="2975"/>
      <w:jc w:val="both"/>
    </w:pPr>
    <w:rPr>
      <w:rFonts w:ascii="Calibri" w:hAnsi="Calibri" w:eastAsia="宋体" w:cs="Times New Roman"/>
      <w:sz w:val="21"/>
      <w:lang w:val="en-US" w:eastAsia="zh-CN" w:bidi="ar-SA"/>
    </w:rPr>
  </w:style>
  <w:style w:type="paragraph" w:customStyle="1" w:styleId="367">
    <w:name w:val="目录 31"/>
    <w:next w:val="1"/>
    <w:qFormat/>
    <w:uiPriority w:val="0"/>
    <w:pPr>
      <w:wordWrap w:val="0"/>
      <w:ind w:left="850"/>
      <w:jc w:val="both"/>
    </w:pPr>
    <w:rPr>
      <w:rFonts w:ascii="Calibri" w:hAnsi="Calibri" w:eastAsia="宋体" w:cs="Times New Roman"/>
      <w:sz w:val="21"/>
      <w:lang w:val="en-US" w:eastAsia="zh-CN" w:bidi="ar-SA"/>
    </w:rPr>
  </w:style>
  <w:style w:type="paragraph" w:customStyle="1" w:styleId="368">
    <w:name w:val="xl118"/>
    <w:basedOn w:val="1"/>
    <w:next w:val="242"/>
    <w:qFormat/>
    <w:uiPriority w:val="0"/>
    <w:pPr>
      <w:widowControl/>
      <w:shd w:val="clear" w:color="000000" w:fill="FFFFFF"/>
      <w:spacing w:before="280" w:after="280"/>
      <w:jc w:val="center"/>
    </w:pPr>
    <w:rPr>
      <w:rFonts w:ascii="宋体" w:hAnsi="Calibri"/>
      <w:b/>
      <w:kern w:val="0"/>
      <w:sz w:val="20"/>
      <w:szCs w:val="20"/>
    </w:rPr>
  </w:style>
  <w:style w:type="paragraph" w:customStyle="1" w:styleId="369">
    <w:name w:val="xl83"/>
    <w:basedOn w:val="1"/>
    <w:next w:val="297"/>
    <w:qFormat/>
    <w:uiPriority w:val="0"/>
    <w:pPr>
      <w:widowControl/>
      <w:shd w:val="clear" w:color="000000" w:fill="FFFFFF"/>
      <w:spacing w:before="280" w:after="280"/>
    </w:pPr>
    <w:rPr>
      <w:rFonts w:ascii="宋体" w:hAnsi="Calibri"/>
      <w:kern w:val="0"/>
      <w:sz w:val="20"/>
      <w:szCs w:val="20"/>
    </w:rPr>
  </w:style>
  <w:style w:type="paragraph" w:customStyle="1" w:styleId="370">
    <w:name w:val="xl103"/>
    <w:basedOn w:val="1"/>
    <w:next w:val="371"/>
    <w:qFormat/>
    <w:uiPriority w:val="0"/>
    <w:pPr>
      <w:widowControl/>
      <w:shd w:val="clear" w:color="000000" w:fill="FFFFFF"/>
      <w:spacing w:before="280" w:after="280"/>
    </w:pPr>
    <w:rPr>
      <w:rFonts w:ascii="宋体" w:hAnsi="Calibri"/>
      <w:kern w:val="0"/>
      <w:sz w:val="20"/>
      <w:szCs w:val="20"/>
    </w:rPr>
  </w:style>
  <w:style w:type="paragraph" w:customStyle="1" w:styleId="371">
    <w:name w:val="toc 111"/>
    <w:next w:val="1"/>
    <w:qFormat/>
    <w:uiPriority w:val="0"/>
    <w:pPr>
      <w:wordWrap w:val="0"/>
      <w:jc w:val="both"/>
    </w:pPr>
    <w:rPr>
      <w:rFonts w:ascii="Calibri" w:hAnsi="Calibri" w:eastAsia="宋体" w:cs="Times New Roman"/>
      <w:sz w:val="21"/>
      <w:lang w:val="en-US" w:eastAsia="zh-CN" w:bidi="ar-SA"/>
    </w:rPr>
  </w:style>
  <w:style w:type="paragraph" w:customStyle="1" w:styleId="372">
    <w:name w:val="xl68"/>
    <w:basedOn w:val="1"/>
    <w:next w:val="373"/>
    <w:qFormat/>
    <w:uiPriority w:val="0"/>
    <w:pPr>
      <w:widowControl/>
      <w:shd w:val="clear" w:color="000000" w:fill="FFFFFF"/>
      <w:spacing w:before="280" w:after="280"/>
    </w:pPr>
    <w:rPr>
      <w:rFonts w:ascii="宋体" w:hAnsi="Calibri"/>
      <w:b/>
      <w:kern w:val="0"/>
      <w:sz w:val="20"/>
      <w:szCs w:val="20"/>
    </w:rPr>
  </w:style>
  <w:style w:type="paragraph" w:customStyle="1" w:styleId="373">
    <w:name w:val="TOC Heading16"/>
    <w:next w:val="1"/>
    <w:qFormat/>
    <w:uiPriority w:val="0"/>
    <w:pPr>
      <w:wordWrap w:val="0"/>
    </w:pPr>
    <w:rPr>
      <w:rFonts w:ascii="Calibri" w:hAnsi="Calibri" w:eastAsia="宋体" w:cs="Times New Roman"/>
      <w:sz w:val="32"/>
      <w:lang w:val="en-US" w:eastAsia="zh-CN" w:bidi="ar-SA"/>
    </w:rPr>
  </w:style>
  <w:style w:type="paragraph" w:customStyle="1" w:styleId="374">
    <w:name w:val="toc 113"/>
    <w:next w:val="1"/>
    <w:qFormat/>
    <w:uiPriority w:val="0"/>
    <w:pPr>
      <w:wordWrap w:val="0"/>
      <w:jc w:val="both"/>
    </w:pPr>
    <w:rPr>
      <w:rFonts w:ascii="Calibri" w:hAnsi="Calibri" w:eastAsia="宋体" w:cs="Times New Roman"/>
      <w:sz w:val="21"/>
      <w:lang w:val="en-US" w:eastAsia="zh-CN" w:bidi="ar-SA"/>
    </w:rPr>
  </w:style>
  <w:style w:type="paragraph" w:customStyle="1" w:styleId="375">
    <w:name w:val="xl94"/>
    <w:basedOn w:val="1"/>
    <w:next w:val="266"/>
    <w:qFormat/>
    <w:uiPriority w:val="0"/>
    <w:pPr>
      <w:widowControl/>
      <w:shd w:val="clear" w:color="000000" w:fill="FFFFFF"/>
      <w:spacing w:before="280" w:after="280"/>
      <w:jc w:val="center"/>
    </w:pPr>
    <w:rPr>
      <w:rFonts w:ascii="宋体" w:hAnsi="Calibri"/>
      <w:kern w:val="0"/>
      <w:sz w:val="20"/>
      <w:szCs w:val="20"/>
    </w:rPr>
  </w:style>
  <w:style w:type="paragraph" w:customStyle="1" w:styleId="376">
    <w:name w:val="toc 53"/>
    <w:next w:val="1"/>
    <w:qFormat/>
    <w:uiPriority w:val="0"/>
    <w:pPr>
      <w:wordWrap w:val="0"/>
      <w:ind w:left="1700"/>
      <w:jc w:val="both"/>
    </w:pPr>
    <w:rPr>
      <w:rFonts w:ascii="Calibri" w:hAnsi="Calibri" w:eastAsia="宋体" w:cs="Times New Roman"/>
      <w:sz w:val="21"/>
      <w:lang w:val="en-US" w:eastAsia="zh-CN" w:bidi="ar-SA"/>
    </w:rPr>
  </w:style>
  <w:style w:type="paragraph" w:customStyle="1" w:styleId="377">
    <w:name w:val="xl92"/>
    <w:basedOn w:val="1"/>
    <w:next w:val="378"/>
    <w:qFormat/>
    <w:uiPriority w:val="0"/>
    <w:pPr>
      <w:widowControl/>
      <w:shd w:val="clear" w:color="000000" w:fill="FFFFFF"/>
      <w:spacing w:before="280" w:after="280"/>
    </w:pPr>
    <w:rPr>
      <w:rFonts w:ascii="宋体" w:hAnsi="Calibri"/>
      <w:kern w:val="0"/>
      <w:sz w:val="20"/>
      <w:szCs w:val="20"/>
    </w:rPr>
  </w:style>
  <w:style w:type="paragraph" w:customStyle="1" w:styleId="378">
    <w:name w:val="toc 913"/>
    <w:next w:val="1"/>
    <w:qFormat/>
    <w:uiPriority w:val="0"/>
    <w:pPr>
      <w:wordWrap w:val="0"/>
      <w:ind w:left="3400"/>
      <w:jc w:val="both"/>
    </w:pPr>
    <w:rPr>
      <w:rFonts w:ascii="Calibri" w:hAnsi="Calibri" w:eastAsia="宋体" w:cs="Times New Roman"/>
      <w:sz w:val="21"/>
      <w:lang w:val="en-US" w:eastAsia="zh-CN" w:bidi="ar-SA"/>
    </w:rPr>
  </w:style>
  <w:style w:type="paragraph" w:customStyle="1" w:styleId="379">
    <w:name w:val="toc 512"/>
    <w:next w:val="1"/>
    <w:qFormat/>
    <w:uiPriority w:val="0"/>
    <w:pPr>
      <w:wordWrap w:val="0"/>
      <w:ind w:left="1700"/>
      <w:jc w:val="both"/>
    </w:pPr>
    <w:rPr>
      <w:rFonts w:ascii="Calibri" w:hAnsi="Calibri" w:eastAsia="宋体" w:cs="Times New Roman"/>
      <w:sz w:val="21"/>
      <w:lang w:val="en-US" w:eastAsia="zh-CN" w:bidi="ar-SA"/>
    </w:rPr>
  </w:style>
  <w:style w:type="paragraph" w:customStyle="1" w:styleId="380">
    <w:name w:val="目录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81">
    <w:name w:val="正文表标题"/>
    <w:next w:val="1"/>
    <w:qFormat/>
    <w:uiPriority w:val="0"/>
    <w:pPr>
      <w:ind w:left="630"/>
      <w:jc w:val="center"/>
    </w:pPr>
    <w:rPr>
      <w:rFonts w:ascii="黑体" w:hAnsi="Calibri" w:eastAsia="黑体" w:cs="Times New Roman"/>
      <w:sz w:val="21"/>
      <w:lang w:val="en-US" w:eastAsia="zh-CN" w:bidi="ar-SA"/>
    </w:rPr>
  </w:style>
  <w:style w:type="paragraph" w:customStyle="1" w:styleId="382">
    <w:name w:val="toc 28"/>
    <w:next w:val="1"/>
    <w:qFormat/>
    <w:uiPriority w:val="0"/>
    <w:pPr>
      <w:wordWrap w:val="0"/>
      <w:ind w:left="425"/>
      <w:jc w:val="both"/>
    </w:pPr>
    <w:rPr>
      <w:rFonts w:ascii="Calibri" w:hAnsi="Calibri" w:eastAsia="宋体" w:cs="Times New Roman"/>
      <w:sz w:val="21"/>
      <w:lang w:val="en-US" w:eastAsia="zh-CN" w:bidi="ar-SA"/>
    </w:rPr>
  </w:style>
  <w:style w:type="paragraph" w:customStyle="1" w:styleId="383">
    <w:name w:val="toc 79"/>
    <w:next w:val="1"/>
    <w:qFormat/>
    <w:uiPriority w:val="0"/>
    <w:pPr>
      <w:wordWrap w:val="0"/>
      <w:ind w:left="2550"/>
      <w:jc w:val="both"/>
    </w:pPr>
    <w:rPr>
      <w:rFonts w:ascii="Calibri" w:hAnsi="Calibri" w:eastAsia="宋体" w:cs="Times New Roman"/>
      <w:sz w:val="21"/>
      <w:lang w:val="en-US" w:eastAsia="zh-CN" w:bidi="ar-SA"/>
    </w:rPr>
  </w:style>
  <w:style w:type="paragraph" w:customStyle="1" w:styleId="384">
    <w:name w:val="xl110"/>
    <w:basedOn w:val="1"/>
    <w:next w:val="340"/>
    <w:qFormat/>
    <w:uiPriority w:val="0"/>
    <w:pPr>
      <w:widowControl/>
      <w:shd w:val="clear" w:color="000000" w:fill="FFFFFF"/>
      <w:spacing w:before="280" w:after="280"/>
      <w:jc w:val="center"/>
    </w:pPr>
    <w:rPr>
      <w:rFonts w:ascii="宋体" w:hAnsi="Calibri"/>
      <w:kern w:val="0"/>
      <w:sz w:val="20"/>
      <w:szCs w:val="20"/>
    </w:rPr>
  </w:style>
  <w:style w:type="paragraph" w:customStyle="1" w:styleId="385">
    <w:name w:val="toc 511"/>
    <w:next w:val="1"/>
    <w:qFormat/>
    <w:uiPriority w:val="0"/>
    <w:pPr>
      <w:wordWrap w:val="0"/>
      <w:ind w:left="1700"/>
      <w:jc w:val="both"/>
    </w:pPr>
    <w:rPr>
      <w:rFonts w:ascii="Calibri" w:hAnsi="Calibri" w:eastAsia="宋体" w:cs="Times New Roman"/>
      <w:sz w:val="21"/>
      <w:lang w:val="en-US" w:eastAsia="zh-CN" w:bidi="ar-SA"/>
    </w:rPr>
  </w:style>
  <w:style w:type="paragraph" w:customStyle="1" w:styleId="386">
    <w:name w:val="toc 416"/>
    <w:next w:val="1"/>
    <w:qFormat/>
    <w:uiPriority w:val="0"/>
    <w:pPr>
      <w:wordWrap w:val="0"/>
      <w:ind w:left="1275"/>
      <w:jc w:val="both"/>
    </w:pPr>
    <w:rPr>
      <w:rFonts w:ascii="Calibri" w:hAnsi="Calibri" w:eastAsia="宋体" w:cs="Times New Roman"/>
      <w:sz w:val="21"/>
      <w:lang w:val="en-US" w:eastAsia="zh-CN" w:bidi="ar-SA"/>
    </w:rPr>
  </w:style>
  <w:style w:type="paragraph" w:customStyle="1" w:styleId="387">
    <w:name w:val="xl85"/>
    <w:basedOn w:val="1"/>
    <w:next w:val="388"/>
    <w:qFormat/>
    <w:uiPriority w:val="0"/>
    <w:pPr>
      <w:widowControl/>
      <w:shd w:val="clear" w:color="000000" w:fill="FFFFFF"/>
      <w:spacing w:before="280" w:after="280"/>
      <w:jc w:val="center"/>
    </w:pPr>
    <w:rPr>
      <w:rFonts w:ascii="宋体" w:hAnsi="Calibri"/>
      <w:kern w:val="0"/>
      <w:sz w:val="20"/>
      <w:szCs w:val="20"/>
    </w:rPr>
  </w:style>
  <w:style w:type="paragraph" w:customStyle="1" w:styleId="388">
    <w:name w:val="toc 76"/>
    <w:next w:val="1"/>
    <w:qFormat/>
    <w:uiPriority w:val="0"/>
    <w:pPr>
      <w:wordWrap w:val="0"/>
      <w:ind w:left="2550"/>
      <w:jc w:val="both"/>
    </w:pPr>
    <w:rPr>
      <w:rFonts w:ascii="Calibri" w:hAnsi="Calibri" w:eastAsia="宋体" w:cs="Times New Roman"/>
      <w:sz w:val="21"/>
      <w:lang w:val="en-US" w:eastAsia="zh-CN" w:bidi="ar-SA"/>
    </w:rPr>
  </w:style>
  <w:style w:type="paragraph" w:customStyle="1" w:styleId="389">
    <w:name w:val="toc 27"/>
    <w:next w:val="1"/>
    <w:qFormat/>
    <w:uiPriority w:val="0"/>
    <w:pPr>
      <w:wordWrap w:val="0"/>
      <w:ind w:left="425"/>
      <w:jc w:val="both"/>
    </w:pPr>
    <w:rPr>
      <w:rFonts w:ascii="Calibri" w:hAnsi="Calibri" w:eastAsia="宋体" w:cs="Times New Roman"/>
      <w:sz w:val="21"/>
      <w:lang w:val="en-US" w:eastAsia="zh-CN" w:bidi="ar-SA"/>
    </w:rPr>
  </w:style>
  <w:style w:type="paragraph" w:customStyle="1" w:styleId="390">
    <w:name w:val="toc 916"/>
    <w:next w:val="1"/>
    <w:qFormat/>
    <w:uiPriority w:val="0"/>
    <w:pPr>
      <w:wordWrap w:val="0"/>
      <w:ind w:left="3400"/>
      <w:jc w:val="both"/>
    </w:pPr>
    <w:rPr>
      <w:rFonts w:ascii="Calibri" w:hAnsi="Calibri" w:eastAsia="宋体" w:cs="Times New Roman"/>
      <w:sz w:val="21"/>
      <w:lang w:val="en-US" w:eastAsia="zh-CN" w:bidi="ar-SA"/>
    </w:rPr>
  </w:style>
  <w:style w:type="paragraph" w:customStyle="1" w:styleId="391">
    <w:name w:val="toc 77"/>
    <w:next w:val="1"/>
    <w:qFormat/>
    <w:uiPriority w:val="0"/>
    <w:pPr>
      <w:wordWrap w:val="0"/>
      <w:ind w:left="2550"/>
      <w:jc w:val="both"/>
    </w:pPr>
    <w:rPr>
      <w:rFonts w:ascii="Calibri" w:hAnsi="Calibri" w:eastAsia="宋体" w:cs="Times New Roman"/>
      <w:sz w:val="21"/>
      <w:lang w:val="en-US" w:eastAsia="zh-CN" w:bidi="ar-SA"/>
    </w:rPr>
  </w:style>
  <w:style w:type="paragraph" w:customStyle="1" w:styleId="392">
    <w:name w:val="toc 211"/>
    <w:next w:val="1"/>
    <w:qFormat/>
    <w:uiPriority w:val="0"/>
    <w:pPr>
      <w:wordWrap w:val="0"/>
      <w:ind w:left="425"/>
      <w:jc w:val="both"/>
    </w:pPr>
    <w:rPr>
      <w:rFonts w:ascii="Calibri" w:hAnsi="Calibri" w:eastAsia="宋体" w:cs="Times New Roman"/>
      <w:sz w:val="21"/>
      <w:lang w:val="en-US" w:eastAsia="zh-CN" w:bidi="ar-SA"/>
    </w:rPr>
  </w:style>
  <w:style w:type="paragraph" w:customStyle="1" w:styleId="393">
    <w:name w:val="toc 815"/>
    <w:next w:val="1"/>
    <w:qFormat/>
    <w:uiPriority w:val="0"/>
    <w:pPr>
      <w:wordWrap w:val="0"/>
      <w:ind w:left="2975"/>
      <w:jc w:val="both"/>
    </w:pPr>
    <w:rPr>
      <w:rFonts w:ascii="Calibri" w:hAnsi="Calibri" w:eastAsia="宋体" w:cs="Times New Roman"/>
      <w:sz w:val="21"/>
      <w:lang w:val="en-US" w:eastAsia="zh-CN" w:bidi="ar-SA"/>
    </w:rPr>
  </w:style>
  <w:style w:type="paragraph" w:customStyle="1" w:styleId="394">
    <w:name w:val="xl99"/>
    <w:basedOn w:val="1"/>
    <w:next w:val="379"/>
    <w:qFormat/>
    <w:uiPriority w:val="0"/>
    <w:pPr>
      <w:widowControl/>
      <w:shd w:val="clear" w:color="000000" w:fill="FFFFFF"/>
      <w:spacing w:before="280" w:after="280"/>
    </w:pPr>
    <w:rPr>
      <w:rFonts w:ascii="宋体" w:hAnsi="Calibri"/>
      <w:kern w:val="0"/>
      <w:sz w:val="18"/>
      <w:szCs w:val="20"/>
    </w:rPr>
  </w:style>
  <w:style w:type="paragraph" w:customStyle="1" w:styleId="395">
    <w:name w:val="xl97"/>
    <w:basedOn w:val="1"/>
    <w:next w:val="267"/>
    <w:qFormat/>
    <w:uiPriority w:val="0"/>
    <w:pPr>
      <w:widowControl/>
      <w:shd w:val="clear" w:color="000000" w:fill="FFFFFF"/>
      <w:spacing w:before="280" w:after="280"/>
      <w:jc w:val="center"/>
    </w:pPr>
    <w:rPr>
      <w:rFonts w:ascii="宋体" w:hAnsi="Calibri"/>
      <w:kern w:val="0"/>
      <w:sz w:val="20"/>
      <w:szCs w:val="20"/>
    </w:rPr>
  </w:style>
  <w:style w:type="paragraph" w:customStyle="1" w:styleId="396">
    <w:name w:val="toc 612"/>
    <w:next w:val="1"/>
    <w:qFormat/>
    <w:uiPriority w:val="0"/>
    <w:pPr>
      <w:wordWrap w:val="0"/>
      <w:ind w:left="2125"/>
      <w:jc w:val="both"/>
    </w:pPr>
    <w:rPr>
      <w:rFonts w:ascii="Calibri" w:hAnsi="Calibri" w:eastAsia="宋体" w:cs="Times New Roman"/>
      <w:sz w:val="21"/>
      <w:lang w:val="en-US" w:eastAsia="zh-CN" w:bidi="ar-SA"/>
    </w:rPr>
  </w:style>
  <w:style w:type="paragraph" w:customStyle="1" w:styleId="397">
    <w:name w:val="toc 315"/>
    <w:next w:val="1"/>
    <w:qFormat/>
    <w:uiPriority w:val="0"/>
    <w:pPr>
      <w:wordWrap w:val="0"/>
      <w:ind w:left="850"/>
      <w:jc w:val="both"/>
    </w:pPr>
    <w:rPr>
      <w:rFonts w:ascii="Calibri" w:hAnsi="Calibri" w:eastAsia="宋体" w:cs="Times New Roman"/>
      <w:sz w:val="21"/>
      <w:lang w:val="en-US" w:eastAsia="zh-CN" w:bidi="ar-SA"/>
    </w:rPr>
  </w:style>
  <w:style w:type="paragraph" w:customStyle="1" w:styleId="398">
    <w:name w:val="TOC Heading15"/>
    <w:next w:val="1"/>
    <w:qFormat/>
    <w:uiPriority w:val="0"/>
    <w:pPr>
      <w:wordWrap w:val="0"/>
    </w:pPr>
    <w:rPr>
      <w:rFonts w:ascii="Calibri" w:hAnsi="Calibri" w:eastAsia="宋体" w:cs="Times New Roman"/>
      <w:sz w:val="32"/>
      <w:lang w:val="en-US" w:eastAsia="zh-CN" w:bidi="ar-SA"/>
    </w:rPr>
  </w:style>
  <w:style w:type="paragraph" w:customStyle="1" w:styleId="399">
    <w:name w:val="toc 915"/>
    <w:next w:val="1"/>
    <w:qFormat/>
    <w:uiPriority w:val="0"/>
    <w:pPr>
      <w:wordWrap w:val="0"/>
      <w:ind w:left="3400"/>
      <w:jc w:val="both"/>
    </w:pPr>
    <w:rPr>
      <w:rFonts w:ascii="Calibri" w:hAnsi="Calibri" w:eastAsia="宋体" w:cs="Times New Roman"/>
      <w:sz w:val="21"/>
      <w:lang w:val="en-US" w:eastAsia="zh-CN" w:bidi="ar-SA"/>
    </w:rPr>
  </w:style>
  <w:style w:type="paragraph" w:customStyle="1" w:styleId="400">
    <w:name w:val="toc 39"/>
    <w:next w:val="1"/>
    <w:qFormat/>
    <w:uiPriority w:val="0"/>
    <w:pPr>
      <w:wordWrap w:val="0"/>
      <w:ind w:left="850"/>
      <w:jc w:val="both"/>
    </w:pPr>
    <w:rPr>
      <w:rFonts w:ascii="Calibri" w:hAnsi="Calibri" w:eastAsia="宋体" w:cs="Times New Roman"/>
      <w:sz w:val="21"/>
      <w:lang w:val="en-US" w:eastAsia="zh-CN" w:bidi="ar-SA"/>
    </w:rPr>
  </w:style>
  <w:style w:type="paragraph" w:customStyle="1" w:styleId="401">
    <w:name w:val="toc 710"/>
    <w:next w:val="1"/>
    <w:qFormat/>
    <w:uiPriority w:val="0"/>
    <w:pPr>
      <w:wordWrap w:val="0"/>
      <w:ind w:left="2550"/>
      <w:jc w:val="both"/>
    </w:pPr>
    <w:rPr>
      <w:rFonts w:ascii="Calibri" w:hAnsi="Calibri" w:eastAsia="宋体" w:cs="Times New Roman"/>
      <w:sz w:val="21"/>
      <w:lang w:val="en-US" w:eastAsia="zh-CN" w:bidi="ar-SA"/>
    </w:rPr>
  </w:style>
  <w:style w:type="paragraph" w:customStyle="1" w:styleId="402">
    <w:name w:val="toc 12"/>
    <w:next w:val="1"/>
    <w:qFormat/>
    <w:uiPriority w:val="0"/>
    <w:pPr>
      <w:wordWrap w:val="0"/>
      <w:jc w:val="both"/>
    </w:pPr>
    <w:rPr>
      <w:rFonts w:ascii="Calibri" w:hAnsi="Calibri" w:eastAsia="宋体" w:cs="Times New Roman"/>
      <w:sz w:val="21"/>
      <w:lang w:val="en-US" w:eastAsia="zh-CN" w:bidi="ar-SA"/>
    </w:rPr>
  </w:style>
  <w:style w:type="paragraph" w:customStyle="1" w:styleId="403">
    <w:name w:val="xl95"/>
    <w:basedOn w:val="1"/>
    <w:next w:val="404"/>
    <w:qFormat/>
    <w:uiPriority w:val="0"/>
    <w:pPr>
      <w:widowControl/>
      <w:shd w:val="clear" w:color="000000" w:fill="FFFFFF"/>
      <w:spacing w:before="280" w:after="280"/>
    </w:pPr>
    <w:rPr>
      <w:rFonts w:ascii="宋体" w:hAnsi="Calibri"/>
      <w:kern w:val="0"/>
      <w:sz w:val="20"/>
      <w:szCs w:val="20"/>
    </w:rPr>
  </w:style>
  <w:style w:type="paragraph" w:customStyle="1" w:styleId="404">
    <w:name w:val="toc 415"/>
    <w:next w:val="1"/>
    <w:qFormat/>
    <w:uiPriority w:val="0"/>
    <w:pPr>
      <w:wordWrap w:val="0"/>
      <w:ind w:left="1275"/>
      <w:jc w:val="both"/>
    </w:pPr>
    <w:rPr>
      <w:rFonts w:ascii="Calibri" w:hAnsi="Calibri" w:eastAsia="宋体" w:cs="Times New Roman"/>
      <w:sz w:val="21"/>
      <w:lang w:val="en-US" w:eastAsia="zh-CN" w:bidi="ar-SA"/>
    </w:rPr>
  </w:style>
  <w:style w:type="paragraph" w:customStyle="1" w:styleId="405">
    <w:name w:val="toc 29"/>
    <w:next w:val="1"/>
    <w:qFormat/>
    <w:uiPriority w:val="0"/>
    <w:pPr>
      <w:wordWrap w:val="0"/>
      <w:ind w:left="425"/>
      <w:jc w:val="both"/>
    </w:pPr>
    <w:rPr>
      <w:rFonts w:ascii="Calibri" w:hAnsi="Calibri" w:eastAsia="宋体" w:cs="Times New Roman"/>
      <w:sz w:val="21"/>
      <w:lang w:val="en-US" w:eastAsia="zh-CN" w:bidi="ar-SA"/>
    </w:rPr>
  </w:style>
  <w:style w:type="paragraph" w:customStyle="1" w:styleId="406">
    <w:name w:val="xl67"/>
    <w:basedOn w:val="1"/>
    <w:next w:val="407"/>
    <w:qFormat/>
    <w:uiPriority w:val="0"/>
    <w:pPr>
      <w:widowControl/>
      <w:shd w:val="clear" w:color="000000" w:fill="FFFFFF"/>
      <w:spacing w:before="280" w:after="280"/>
      <w:jc w:val="center"/>
    </w:pPr>
    <w:rPr>
      <w:rFonts w:ascii="宋体" w:hAnsi="Calibri"/>
      <w:b/>
      <w:kern w:val="0"/>
      <w:sz w:val="20"/>
      <w:szCs w:val="20"/>
    </w:rPr>
  </w:style>
  <w:style w:type="paragraph" w:customStyle="1" w:styleId="407">
    <w:name w:val="toc 714"/>
    <w:next w:val="1"/>
    <w:qFormat/>
    <w:uiPriority w:val="0"/>
    <w:pPr>
      <w:wordWrap w:val="0"/>
      <w:ind w:left="2550"/>
      <w:jc w:val="both"/>
    </w:pPr>
    <w:rPr>
      <w:rFonts w:ascii="Calibri" w:hAnsi="Calibri" w:eastAsia="宋体" w:cs="Times New Roman"/>
      <w:sz w:val="21"/>
      <w:lang w:val="en-US" w:eastAsia="zh-CN" w:bidi="ar-SA"/>
    </w:rPr>
  </w:style>
  <w:style w:type="paragraph" w:customStyle="1" w:styleId="408">
    <w:name w:val="toc 21"/>
    <w:next w:val="1"/>
    <w:qFormat/>
    <w:uiPriority w:val="0"/>
    <w:pPr>
      <w:wordWrap w:val="0"/>
      <w:ind w:left="425"/>
      <w:jc w:val="both"/>
    </w:pPr>
    <w:rPr>
      <w:rFonts w:ascii="Calibri" w:hAnsi="Calibri" w:eastAsia="宋体" w:cs="Times New Roman"/>
      <w:sz w:val="21"/>
      <w:lang w:val="en-US" w:eastAsia="zh-CN" w:bidi="ar-SA"/>
    </w:rPr>
  </w:style>
  <w:style w:type="paragraph" w:customStyle="1" w:styleId="409">
    <w:name w:val="正文 A"/>
    <w:next w:val="326"/>
    <w:qFormat/>
    <w:uiPriority w:val="0"/>
    <w:rPr>
      <w:rFonts w:ascii="Arial" w:hAnsi="Calibri" w:eastAsia="Arial Unicode MS" w:cs="Times New Roman"/>
      <w:color w:val="000000"/>
      <w:sz w:val="21"/>
      <w:lang w:val="en-US" w:eastAsia="zh-CN" w:bidi="ar-SA"/>
    </w:rPr>
  </w:style>
  <w:style w:type="paragraph" w:customStyle="1" w:styleId="410">
    <w:name w:val="toc 68"/>
    <w:next w:val="1"/>
    <w:qFormat/>
    <w:uiPriority w:val="0"/>
    <w:pPr>
      <w:wordWrap w:val="0"/>
      <w:ind w:left="2125"/>
      <w:jc w:val="both"/>
    </w:pPr>
    <w:rPr>
      <w:rFonts w:ascii="Calibri" w:hAnsi="Calibri" w:eastAsia="宋体" w:cs="Times New Roman"/>
      <w:sz w:val="21"/>
      <w:lang w:val="en-US" w:eastAsia="zh-CN" w:bidi="ar-SA"/>
    </w:rPr>
  </w:style>
  <w:style w:type="paragraph" w:customStyle="1" w:styleId="411">
    <w:name w:val="toc 58"/>
    <w:next w:val="1"/>
    <w:qFormat/>
    <w:uiPriority w:val="0"/>
    <w:pPr>
      <w:wordWrap w:val="0"/>
      <w:ind w:left="1700"/>
      <w:jc w:val="both"/>
    </w:pPr>
    <w:rPr>
      <w:rFonts w:ascii="Calibri" w:hAnsi="Calibri" w:eastAsia="宋体" w:cs="Times New Roman"/>
      <w:sz w:val="21"/>
      <w:lang w:val="en-US" w:eastAsia="zh-CN" w:bidi="ar-SA"/>
    </w:rPr>
  </w:style>
  <w:style w:type="paragraph" w:customStyle="1" w:styleId="412">
    <w:name w:val="xl88"/>
    <w:basedOn w:val="1"/>
    <w:next w:val="398"/>
    <w:qFormat/>
    <w:uiPriority w:val="0"/>
    <w:pPr>
      <w:widowControl/>
      <w:shd w:val="clear" w:color="000000" w:fill="FFFFFF"/>
      <w:spacing w:before="280" w:after="280"/>
      <w:jc w:val="center"/>
    </w:pPr>
    <w:rPr>
      <w:rFonts w:ascii="宋体" w:hAnsi="Calibri"/>
      <w:kern w:val="0"/>
      <w:sz w:val="20"/>
      <w:szCs w:val="20"/>
    </w:rPr>
  </w:style>
  <w:style w:type="paragraph" w:customStyle="1" w:styleId="413">
    <w:name w:val="toc 71"/>
    <w:next w:val="1"/>
    <w:qFormat/>
    <w:uiPriority w:val="0"/>
    <w:pPr>
      <w:wordWrap w:val="0"/>
      <w:ind w:left="2550"/>
      <w:jc w:val="both"/>
    </w:pPr>
    <w:rPr>
      <w:rFonts w:ascii="Calibri" w:hAnsi="Calibri" w:eastAsia="宋体" w:cs="Times New Roman"/>
      <w:sz w:val="21"/>
      <w:lang w:val="en-US" w:eastAsia="zh-CN" w:bidi="ar-SA"/>
    </w:rPr>
  </w:style>
  <w:style w:type="paragraph" w:customStyle="1" w:styleId="414">
    <w:name w:val="xl100"/>
    <w:basedOn w:val="1"/>
    <w:next w:val="415"/>
    <w:qFormat/>
    <w:uiPriority w:val="0"/>
    <w:pPr>
      <w:widowControl/>
      <w:shd w:val="clear" w:color="000000" w:fill="FFFFFF"/>
      <w:spacing w:before="280" w:after="280"/>
    </w:pPr>
    <w:rPr>
      <w:rFonts w:ascii="宋体" w:hAnsi="Calibri"/>
      <w:kern w:val="0"/>
      <w:sz w:val="20"/>
      <w:szCs w:val="20"/>
    </w:rPr>
  </w:style>
  <w:style w:type="paragraph" w:customStyle="1" w:styleId="415">
    <w:name w:val="toc 510"/>
    <w:next w:val="1"/>
    <w:qFormat/>
    <w:uiPriority w:val="0"/>
    <w:pPr>
      <w:wordWrap w:val="0"/>
      <w:ind w:left="1700"/>
      <w:jc w:val="both"/>
    </w:pPr>
    <w:rPr>
      <w:rFonts w:ascii="Calibri" w:hAnsi="Calibri" w:eastAsia="宋体" w:cs="Times New Roman"/>
      <w:sz w:val="21"/>
      <w:lang w:val="en-US" w:eastAsia="zh-CN" w:bidi="ar-SA"/>
    </w:rPr>
  </w:style>
  <w:style w:type="paragraph" w:customStyle="1" w:styleId="416">
    <w:name w:val="toc 314"/>
    <w:next w:val="1"/>
    <w:qFormat/>
    <w:uiPriority w:val="0"/>
    <w:pPr>
      <w:wordWrap w:val="0"/>
      <w:ind w:left="850"/>
      <w:jc w:val="both"/>
    </w:pPr>
    <w:rPr>
      <w:rFonts w:ascii="Calibri" w:hAnsi="Calibri" w:eastAsia="宋体" w:cs="Times New Roman"/>
      <w:sz w:val="21"/>
      <w:lang w:val="en-US" w:eastAsia="zh-CN" w:bidi="ar-SA"/>
    </w:rPr>
  </w:style>
  <w:style w:type="paragraph" w:customStyle="1" w:styleId="417">
    <w:name w:val="xl114"/>
    <w:basedOn w:val="1"/>
    <w:next w:val="269"/>
    <w:qFormat/>
    <w:uiPriority w:val="0"/>
    <w:pPr>
      <w:widowControl/>
      <w:shd w:val="clear" w:color="000000" w:fill="FFFFFF"/>
      <w:spacing w:before="280" w:after="280"/>
      <w:jc w:val="center"/>
    </w:pPr>
    <w:rPr>
      <w:rFonts w:ascii="宋体" w:hAnsi="Calibri"/>
      <w:b/>
      <w:kern w:val="0"/>
      <w:sz w:val="20"/>
      <w:szCs w:val="20"/>
    </w:rPr>
  </w:style>
  <w:style w:type="paragraph" w:customStyle="1" w:styleId="418">
    <w:name w:val="xl107"/>
    <w:basedOn w:val="1"/>
    <w:next w:val="419"/>
    <w:qFormat/>
    <w:uiPriority w:val="0"/>
    <w:pPr>
      <w:widowControl/>
      <w:shd w:val="clear" w:color="000000" w:fill="FFFFFF"/>
      <w:spacing w:before="280" w:after="280"/>
    </w:pPr>
    <w:rPr>
      <w:rFonts w:ascii="宋体" w:hAnsi="Calibri"/>
      <w:kern w:val="0"/>
      <w:sz w:val="20"/>
      <w:szCs w:val="20"/>
    </w:rPr>
  </w:style>
  <w:style w:type="paragraph" w:customStyle="1" w:styleId="419">
    <w:name w:val="toc 610"/>
    <w:next w:val="1"/>
    <w:qFormat/>
    <w:uiPriority w:val="0"/>
    <w:pPr>
      <w:wordWrap w:val="0"/>
      <w:ind w:left="2125"/>
      <w:jc w:val="both"/>
    </w:pPr>
    <w:rPr>
      <w:rFonts w:ascii="Calibri" w:hAnsi="Calibri" w:eastAsia="宋体" w:cs="Times New Roman"/>
      <w:sz w:val="21"/>
      <w:lang w:val="en-US" w:eastAsia="zh-CN" w:bidi="ar-SA"/>
    </w:rPr>
  </w:style>
  <w:style w:type="paragraph" w:customStyle="1" w:styleId="420">
    <w:name w:val="toc 22"/>
    <w:next w:val="1"/>
    <w:qFormat/>
    <w:uiPriority w:val="0"/>
    <w:pPr>
      <w:wordWrap w:val="0"/>
      <w:ind w:left="425"/>
      <w:jc w:val="both"/>
    </w:pPr>
    <w:rPr>
      <w:rFonts w:ascii="Calibri" w:hAnsi="Calibri" w:eastAsia="宋体" w:cs="Times New Roman"/>
      <w:sz w:val="21"/>
      <w:lang w:val="en-US" w:eastAsia="zh-CN" w:bidi="ar-SA"/>
    </w:rPr>
  </w:style>
  <w:style w:type="paragraph" w:customStyle="1" w:styleId="421">
    <w:name w:val="xl90"/>
    <w:basedOn w:val="1"/>
    <w:next w:val="223"/>
    <w:qFormat/>
    <w:uiPriority w:val="0"/>
    <w:pPr>
      <w:widowControl/>
      <w:shd w:val="clear" w:color="000000" w:fill="FFFFFF"/>
      <w:spacing w:before="280" w:after="280"/>
    </w:pPr>
    <w:rPr>
      <w:rFonts w:ascii="宋体" w:hAnsi="Calibri"/>
      <w:kern w:val="0"/>
      <w:sz w:val="18"/>
      <w:szCs w:val="20"/>
    </w:rPr>
  </w:style>
  <w:style w:type="paragraph" w:customStyle="1" w:styleId="422">
    <w:name w:val="toc 616"/>
    <w:next w:val="1"/>
    <w:qFormat/>
    <w:uiPriority w:val="0"/>
    <w:pPr>
      <w:wordWrap w:val="0"/>
      <w:ind w:left="2125"/>
      <w:jc w:val="both"/>
    </w:pPr>
    <w:rPr>
      <w:rFonts w:ascii="Calibri" w:hAnsi="Calibri" w:eastAsia="宋体" w:cs="Times New Roman"/>
      <w:sz w:val="21"/>
      <w:lang w:val="en-US" w:eastAsia="zh-CN" w:bidi="ar-SA"/>
    </w:rPr>
  </w:style>
  <w:style w:type="paragraph" w:customStyle="1" w:styleId="423">
    <w:name w:val="toc 96"/>
    <w:next w:val="1"/>
    <w:qFormat/>
    <w:uiPriority w:val="0"/>
    <w:pPr>
      <w:wordWrap w:val="0"/>
      <w:ind w:left="3400"/>
      <w:jc w:val="both"/>
    </w:pPr>
    <w:rPr>
      <w:rFonts w:ascii="Calibri" w:hAnsi="Calibri" w:eastAsia="宋体" w:cs="Times New Roman"/>
      <w:sz w:val="21"/>
      <w:lang w:val="en-US" w:eastAsia="zh-CN" w:bidi="ar-SA"/>
    </w:rPr>
  </w:style>
  <w:style w:type="paragraph" w:customStyle="1" w:styleId="424">
    <w:name w:val="toc 42"/>
    <w:next w:val="1"/>
    <w:qFormat/>
    <w:uiPriority w:val="0"/>
    <w:pPr>
      <w:wordWrap w:val="0"/>
      <w:ind w:left="1275"/>
      <w:jc w:val="both"/>
    </w:pPr>
    <w:rPr>
      <w:rFonts w:ascii="Calibri" w:hAnsi="Calibri" w:eastAsia="宋体" w:cs="Times New Roman"/>
      <w:sz w:val="21"/>
      <w:lang w:val="en-US" w:eastAsia="zh-CN" w:bidi="ar-SA"/>
    </w:rPr>
  </w:style>
  <w:style w:type="paragraph" w:customStyle="1" w:styleId="425">
    <w:name w:val="xl117"/>
    <w:basedOn w:val="1"/>
    <w:next w:val="322"/>
    <w:qFormat/>
    <w:uiPriority w:val="0"/>
    <w:pPr>
      <w:widowControl/>
      <w:shd w:val="clear" w:color="000000" w:fill="FFFFFF"/>
      <w:spacing w:before="280" w:after="280"/>
      <w:jc w:val="center"/>
    </w:pPr>
    <w:rPr>
      <w:rFonts w:ascii="Arial Narrow" w:hAnsi="Calibri"/>
      <w:kern w:val="0"/>
      <w:sz w:val="24"/>
      <w:szCs w:val="20"/>
    </w:rPr>
  </w:style>
  <w:style w:type="paragraph" w:customStyle="1" w:styleId="426">
    <w:name w:val="p15"/>
    <w:basedOn w:val="1"/>
    <w:next w:val="247"/>
    <w:qFormat/>
    <w:uiPriority w:val="0"/>
    <w:pPr>
      <w:widowControl/>
      <w:ind w:firstLine="420"/>
    </w:pPr>
    <w:rPr>
      <w:rFonts w:hAnsi="Calibri"/>
      <w:kern w:val="0"/>
      <w:szCs w:val="20"/>
    </w:rPr>
  </w:style>
  <w:style w:type="paragraph" w:customStyle="1" w:styleId="427">
    <w:name w:val="xl87"/>
    <w:basedOn w:val="1"/>
    <w:next w:val="428"/>
    <w:qFormat/>
    <w:uiPriority w:val="0"/>
    <w:pPr>
      <w:widowControl/>
      <w:shd w:val="clear" w:color="000000" w:fill="FFFFFF"/>
      <w:spacing w:before="280" w:after="280"/>
    </w:pPr>
    <w:rPr>
      <w:rFonts w:ascii="Arial" w:hAnsi="Calibri"/>
      <w:kern w:val="0"/>
      <w:sz w:val="18"/>
      <w:szCs w:val="20"/>
    </w:rPr>
  </w:style>
  <w:style w:type="paragraph" w:customStyle="1" w:styleId="428">
    <w:name w:val="toc 98"/>
    <w:next w:val="1"/>
    <w:qFormat/>
    <w:uiPriority w:val="0"/>
    <w:pPr>
      <w:wordWrap w:val="0"/>
      <w:ind w:left="3400"/>
      <w:jc w:val="both"/>
    </w:pPr>
    <w:rPr>
      <w:rFonts w:ascii="Calibri" w:hAnsi="Calibri" w:eastAsia="宋体" w:cs="Times New Roman"/>
      <w:sz w:val="21"/>
      <w:lang w:val="en-US" w:eastAsia="zh-CN" w:bidi="ar-SA"/>
    </w:rPr>
  </w:style>
  <w:style w:type="paragraph" w:customStyle="1" w:styleId="429">
    <w:name w:val="列出段落7"/>
    <w:basedOn w:val="1"/>
    <w:next w:val="411"/>
    <w:qFormat/>
    <w:uiPriority w:val="0"/>
    <w:pPr>
      <w:ind w:firstLine="420"/>
    </w:pPr>
    <w:rPr>
      <w:rFonts w:hAnsi="Calibri"/>
      <w:kern w:val="0"/>
      <w:szCs w:val="20"/>
    </w:rPr>
  </w:style>
  <w:style w:type="paragraph" w:customStyle="1" w:styleId="430">
    <w:name w:val="xl78"/>
    <w:basedOn w:val="1"/>
    <w:next w:val="401"/>
    <w:qFormat/>
    <w:uiPriority w:val="0"/>
    <w:pPr>
      <w:widowControl/>
      <w:shd w:val="clear" w:color="000000" w:fill="FFFFFF"/>
      <w:spacing w:before="280" w:after="280"/>
    </w:pPr>
    <w:rPr>
      <w:rFonts w:ascii="宋体" w:hAnsi="Calibri"/>
      <w:b/>
      <w:kern w:val="0"/>
      <w:sz w:val="20"/>
      <w:szCs w:val="20"/>
    </w:rPr>
  </w:style>
  <w:style w:type="paragraph" w:customStyle="1" w:styleId="431">
    <w:name w:val="toc 516"/>
    <w:next w:val="1"/>
    <w:qFormat/>
    <w:uiPriority w:val="0"/>
    <w:pPr>
      <w:wordWrap w:val="0"/>
      <w:ind w:left="1700"/>
      <w:jc w:val="both"/>
    </w:pPr>
    <w:rPr>
      <w:rFonts w:ascii="Calibri" w:hAnsi="Calibri" w:eastAsia="宋体" w:cs="Times New Roman"/>
      <w:sz w:val="21"/>
      <w:lang w:val="en-US" w:eastAsia="zh-CN" w:bidi="ar-SA"/>
    </w:rPr>
  </w:style>
  <w:style w:type="paragraph" w:customStyle="1" w:styleId="432">
    <w:name w:val="xl89"/>
    <w:basedOn w:val="1"/>
    <w:next w:val="366"/>
    <w:qFormat/>
    <w:uiPriority w:val="0"/>
    <w:pPr>
      <w:widowControl/>
      <w:shd w:val="clear" w:color="000000" w:fill="FFFFFF"/>
      <w:spacing w:before="280" w:after="280"/>
    </w:pPr>
    <w:rPr>
      <w:rFonts w:ascii="宋体" w:hAnsi="Calibri"/>
      <w:kern w:val="0"/>
      <w:sz w:val="20"/>
      <w:szCs w:val="20"/>
    </w:rPr>
  </w:style>
  <w:style w:type="paragraph" w:customStyle="1" w:styleId="433">
    <w:name w:val="toc 910"/>
    <w:next w:val="1"/>
    <w:qFormat/>
    <w:uiPriority w:val="0"/>
    <w:pPr>
      <w:wordWrap w:val="0"/>
      <w:ind w:left="3400"/>
      <w:jc w:val="both"/>
    </w:pPr>
    <w:rPr>
      <w:rFonts w:ascii="Calibri" w:hAnsi="Calibri" w:eastAsia="宋体" w:cs="Times New Roman"/>
      <w:sz w:val="21"/>
      <w:lang w:val="en-US" w:eastAsia="zh-CN" w:bidi="ar-SA"/>
    </w:rPr>
  </w:style>
  <w:style w:type="paragraph" w:customStyle="1" w:styleId="434">
    <w:name w:val="toc 34"/>
    <w:next w:val="1"/>
    <w:qFormat/>
    <w:uiPriority w:val="0"/>
    <w:pPr>
      <w:wordWrap w:val="0"/>
      <w:ind w:left="850"/>
      <w:jc w:val="both"/>
    </w:pPr>
    <w:rPr>
      <w:rFonts w:ascii="Calibri" w:hAnsi="Calibri" w:eastAsia="宋体" w:cs="Times New Roman"/>
      <w:sz w:val="21"/>
      <w:lang w:val="en-US" w:eastAsia="zh-CN" w:bidi="ar-SA"/>
    </w:rPr>
  </w:style>
  <w:style w:type="paragraph" w:customStyle="1" w:styleId="435">
    <w:name w:val="toc 816"/>
    <w:next w:val="1"/>
    <w:qFormat/>
    <w:uiPriority w:val="0"/>
    <w:pPr>
      <w:wordWrap w:val="0"/>
      <w:ind w:left="2975"/>
      <w:jc w:val="both"/>
    </w:pPr>
    <w:rPr>
      <w:rFonts w:ascii="Calibri" w:hAnsi="Calibri" w:eastAsia="宋体" w:cs="Times New Roman"/>
      <w:sz w:val="21"/>
      <w:lang w:val="en-US" w:eastAsia="zh-CN" w:bidi="ar-SA"/>
    </w:rPr>
  </w:style>
  <w:style w:type="paragraph" w:customStyle="1" w:styleId="436">
    <w:name w:val="toc 43"/>
    <w:next w:val="1"/>
    <w:qFormat/>
    <w:uiPriority w:val="0"/>
    <w:pPr>
      <w:wordWrap w:val="0"/>
      <w:ind w:left="1275"/>
      <w:jc w:val="both"/>
    </w:pPr>
    <w:rPr>
      <w:rFonts w:ascii="Calibri" w:hAnsi="Calibri" w:eastAsia="宋体" w:cs="Times New Roman"/>
      <w:sz w:val="21"/>
      <w:lang w:val="en-US" w:eastAsia="zh-CN" w:bidi="ar-SA"/>
    </w:rPr>
  </w:style>
  <w:style w:type="paragraph" w:customStyle="1" w:styleId="437">
    <w:name w:val="toc 16"/>
    <w:next w:val="1"/>
    <w:qFormat/>
    <w:uiPriority w:val="0"/>
    <w:pPr>
      <w:wordWrap w:val="0"/>
      <w:jc w:val="both"/>
    </w:pPr>
    <w:rPr>
      <w:rFonts w:ascii="Calibri" w:hAnsi="Calibri" w:eastAsia="宋体" w:cs="Times New Roman"/>
      <w:sz w:val="21"/>
      <w:lang w:val="en-US" w:eastAsia="zh-CN" w:bidi="ar-SA"/>
    </w:rPr>
  </w:style>
  <w:style w:type="paragraph" w:styleId="438">
    <w:name w:val="Quote"/>
    <w:next w:val="1"/>
    <w:link w:val="439"/>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439">
    <w:name w:val="引用 Char"/>
    <w:basedOn w:val="46"/>
    <w:link w:val="438"/>
    <w:qFormat/>
    <w:uiPriority w:val="0"/>
    <w:rPr>
      <w:rFonts w:ascii="Calibri" w:hAnsi="Calibri"/>
      <w:i/>
      <w:sz w:val="21"/>
    </w:rPr>
  </w:style>
  <w:style w:type="paragraph" w:customStyle="1" w:styleId="440">
    <w:name w:val="toc 114"/>
    <w:next w:val="1"/>
    <w:qFormat/>
    <w:uiPriority w:val="0"/>
    <w:pPr>
      <w:wordWrap w:val="0"/>
      <w:jc w:val="both"/>
    </w:pPr>
    <w:rPr>
      <w:rFonts w:ascii="Calibri" w:hAnsi="Calibri" w:eastAsia="宋体" w:cs="Times New Roman"/>
      <w:sz w:val="21"/>
      <w:lang w:val="en-US" w:eastAsia="zh-CN" w:bidi="ar-SA"/>
    </w:rPr>
  </w:style>
  <w:style w:type="paragraph" w:customStyle="1" w:styleId="441">
    <w:name w:val="xl119"/>
    <w:basedOn w:val="1"/>
    <w:next w:val="416"/>
    <w:qFormat/>
    <w:uiPriority w:val="0"/>
    <w:pPr>
      <w:widowControl/>
      <w:shd w:val="clear" w:color="000000" w:fill="FFFFFF"/>
      <w:spacing w:before="280" w:after="280"/>
      <w:jc w:val="center"/>
    </w:pPr>
    <w:rPr>
      <w:rFonts w:ascii="宋体" w:hAnsi="Calibri"/>
      <w:b/>
      <w:kern w:val="0"/>
      <w:sz w:val="20"/>
      <w:szCs w:val="20"/>
    </w:rPr>
  </w:style>
  <w:style w:type="paragraph" w:customStyle="1" w:styleId="442">
    <w:name w:val="toc 37"/>
    <w:next w:val="1"/>
    <w:qFormat/>
    <w:uiPriority w:val="0"/>
    <w:pPr>
      <w:wordWrap w:val="0"/>
      <w:ind w:left="850"/>
      <w:jc w:val="both"/>
    </w:pPr>
    <w:rPr>
      <w:rFonts w:ascii="Calibri" w:hAnsi="Calibri" w:eastAsia="宋体" w:cs="Times New Roman"/>
      <w:sz w:val="21"/>
      <w:lang w:val="en-US" w:eastAsia="zh-CN" w:bidi="ar-SA"/>
    </w:rPr>
  </w:style>
  <w:style w:type="paragraph" w:customStyle="1" w:styleId="443">
    <w:name w:val="xl109"/>
    <w:basedOn w:val="1"/>
    <w:next w:val="389"/>
    <w:qFormat/>
    <w:uiPriority w:val="0"/>
    <w:pPr>
      <w:widowControl/>
      <w:shd w:val="clear" w:color="000000" w:fill="FFFFFF"/>
      <w:spacing w:before="280" w:after="280"/>
    </w:pPr>
    <w:rPr>
      <w:rFonts w:ascii="宋体" w:hAnsi="Calibri"/>
      <w:kern w:val="0"/>
      <w:sz w:val="20"/>
      <w:szCs w:val="20"/>
    </w:rPr>
  </w:style>
  <w:style w:type="paragraph" w:customStyle="1" w:styleId="444">
    <w:name w:val="toc 215"/>
    <w:next w:val="1"/>
    <w:qFormat/>
    <w:uiPriority w:val="0"/>
    <w:pPr>
      <w:wordWrap w:val="0"/>
      <w:ind w:left="425"/>
      <w:jc w:val="both"/>
    </w:pPr>
    <w:rPr>
      <w:rFonts w:ascii="Calibri" w:hAnsi="Calibri" w:eastAsia="宋体" w:cs="Times New Roman"/>
      <w:sz w:val="21"/>
      <w:lang w:val="en-US" w:eastAsia="zh-CN" w:bidi="ar-SA"/>
    </w:rPr>
  </w:style>
  <w:style w:type="paragraph" w:customStyle="1" w:styleId="445">
    <w:name w:val="xl76"/>
    <w:basedOn w:val="1"/>
    <w:next w:val="397"/>
    <w:qFormat/>
    <w:uiPriority w:val="0"/>
    <w:pPr>
      <w:widowControl/>
      <w:shd w:val="clear" w:color="000000" w:fill="FFFFFF"/>
      <w:spacing w:before="280" w:after="280"/>
      <w:jc w:val="center"/>
    </w:pPr>
    <w:rPr>
      <w:rFonts w:ascii="宋体" w:hAnsi="Calibri"/>
      <w:b/>
      <w:kern w:val="0"/>
      <w:sz w:val="20"/>
      <w:szCs w:val="20"/>
    </w:rPr>
  </w:style>
  <w:style w:type="paragraph" w:customStyle="1" w:styleId="446">
    <w:name w:val="toc 92"/>
    <w:next w:val="1"/>
    <w:qFormat/>
    <w:uiPriority w:val="0"/>
    <w:pPr>
      <w:wordWrap w:val="0"/>
      <w:ind w:left="3400"/>
      <w:jc w:val="both"/>
    </w:pPr>
    <w:rPr>
      <w:rFonts w:ascii="Calibri" w:hAnsi="Calibri" w:eastAsia="宋体" w:cs="Times New Roman"/>
      <w:sz w:val="21"/>
      <w:lang w:val="en-US" w:eastAsia="zh-CN" w:bidi="ar-SA"/>
    </w:rPr>
  </w:style>
  <w:style w:type="paragraph" w:customStyle="1" w:styleId="447">
    <w:name w:val="toc 216"/>
    <w:next w:val="1"/>
    <w:qFormat/>
    <w:uiPriority w:val="0"/>
    <w:pPr>
      <w:wordWrap w:val="0"/>
      <w:ind w:left="425"/>
      <w:jc w:val="both"/>
    </w:pPr>
    <w:rPr>
      <w:rFonts w:ascii="Calibri" w:hAnsi="Calibri" w:eastAsia="宋体" w:cs="Times New Roman"/>
      <w:sz w:val="21"/>
      <w:lang w:val="en-US" w:eastAsia="zh-CN" w:bidi="ar-SA"/>
    </w:rPr>
  </w:style>
  <w:style w:type="paragraph" w:customStyle="1" w:styleId="448">
    <w:name w:val="xl70"/>
    <w:basedOn w:val="1"/>
    <w:next w:val="374"/>
    <w:qFormat/>
    <w:uiPriority w:val="0"/>
    <w:pPr>
      <w:widowControl/>
      <w:shd w:val="clear" w:color="000000" w:fill="FFFFFF"/>
      <w:spacing w:before="280" w:after="280"/>
    </w:pPr>
    <w:rPr>
      <w:rFonts w:ascii="宋体" w:hAnsi="Calibri"/>
      <w:kern w:val="0"/>
      <w:sz w:val="20"/>
      <w:szCs w:val="20"/>
    </w:rPr>
  </w:style>
  <w:style w:type="paragraph" w:customStyle="1" w:styleId="449">
    <w:name w:val="toc 33"/>
    <w:next w:val="1"/>
    <w:qFormat/>
    <w:uiPriority w:val="0"/>
    <w:pPr>
      <w:wordWrap w:val="0"/>
      <w:ind w:left="850"/>
      <w:jc w:val="both"/>
    </w:pPr>
    <w:rPr>
      <w:rFonts w:ascii="Calibri" w:hAnsi="Calibri" w:eastAsia="宋体" w:cs="Times New Roman"/>
      <w:sz w:val="21"/>
      <w:lang w:val="en-US" w:eastAsia="zh-CN" w:bidi="ar-SA"/>
    </w:rPr>
  </w:style>
  <w:style w:type="paragraph" w:customStyle="1" w:styleId="450">
    <w:name w:val="toc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51">
    <w:name w:val="xl98"/>
    <w:basedOn w:val="1"/>
    <w:next w:val="392"/>
    <w:qFormat/>
    <w:uiPriority w:val="0"/>
    <w:pPr>
      <w:widowControl/>
      <w:shd w:val="clear" w:color="000000" w:fill="FFFFFF"/>
      <w:spacing w:before="280" w:after="280"/>
      <w:jc w:val="center"/>
    </w:pPr>
    <w:rPr>
      <w:rFonts w:ascii="宋体" w:hAnsi="Calibri"/>
      <w:kern w:val="0"/>
      <w:sz w:val="20"/>
      <w:szCs w:val="20"/>
    </w:rPr>
  </w:style>
  <w:style w:type="paragraph" w:customStyle="1" w:styleId="452">
    <w:name w:val="toc 26"/>
    <w:next w:val="1"/>
    <w:qFormat/>
    <w:uiPriority w:val="0"/>
    <w:pPr>
      <w:wordWrap w:val="0"/>
      <w:ind w:left="425"/>
      <w:jc w:val="both"/>
    </w:pPr>
    <w:rPr>
      <w:rFonts w:ascii="Calibri" w:hAnsi="Calibri" w:eastAsia="宋体" w:cs="Times New Roman"/>
      <w:sz w:val="21"/>
      <w:lang w:val="en-US" w:eastAsia="zh-CN" w:bidi="ar-SA"/>
    </w:rPr>
  </w:style>
  <w:style w:type="paragraph" w:customStyle="1" w:styleId="453">
    <w:name w:val="toc 13"/>
    <w:next w:val="1"/>
    <w:qFormat/>
    <w:uiPriority w:val="0"/>
    <w:pPr>
      <w:wordWrap w:val="0"/>
      <w:jc w:val="both"/>
    </w:pPr>
    <w:rPr>
      <w:rFonts w:ascii="Calibri" w:hAnsi="Calibri" w:eastAsia="宋体" w:cs="Times New Roman"/>
      <w:sz w:val="21"/>
      <w:lang w:val="en-US" w:eastAsia="zh-CN" w:bidi="ar-SA"/>
    </w:rPr>
  </w:style>
  <w:style w:type="paragraph" w:customStyle="1" w:styleId="454">
    <w:name w:val="目录 51"/>
    <w:next w:val="1"/>
    <w:qFormat/>
    <w:uiPriority w:val="0"/>
    <w:pPr>
      <w:wordWrap w:val="0"/>
      <w:ind w:left="1700"/>
      <w:jc w:val="both"/>
    </w:pPr>
    <w:rPr>
      <w:rFonts w:ascii="Calibri" w:hAnsi="Calibri" w:eastAsia="宋体" w:cs="Times New Roman"/>
      <w:sz w:val="21"/>
      <w:lang w:val="en-US" w:eastAsia="zh-CN" w:bidi="ar-SA"/>
    </w:rPr>
  </w:style>
  <w:style w:type="paragraph" w:customStyle="1" w:styleId="455">
    <w:name w:val="xl101"/>
    <w:basedOn w:val="1"/>
    <w:next w:val="423"/>
    <w:qFormat/>
    <w:uiPriority w:val="0"/>
    <w:pPr>
      <w:widowControl/>
      <w:spacing w:before="280" w:after="280"/>
    </w:pPr>
    <w:rPr>
      <w:rFonts w:ascii="宋体" w:hAnsi="Calibri"/>
      <w:kern w:val="0"/>
      <w:sz w:val="20"/>
      <w:szCs w:val="20"/>
    </w:rPr>
  </w:style>
  <w:style w:type="paragraph" w:customStyle="1" w:styleId="456">
    <w:name w:val="toc 75"/>
    <w:next w:val="1"/>
    <w:qFormat/>
    <w:uiPriority w:val="0"/>
    <w:pPr>
      <w:wordWrap w:val="0"/>
      <w:ind w:left="2550"/>
      <w:jc w:val="both"/>
    </w:pPr>
    <w:rPr>
      <w:rFonts w:ascii="Calibri" w:hAnsi="Calibri" w:eastAsia="宋体" w:cs="Times New Roman"/>
      <w:sz w:val="21"/>
      <w:lang w:val="en-US" w:eastAsia="zh-CN" w:bidi="ar-SA"/>
    </w:rPr>
  </w:style>
  <w:style w:type="paragraph" w:customStyle="1" w:styleId="457">
    <w:name w:val="toc 715"/>
    <w:next w:val="1"/>
    <w:qFormat/>
    <w:uiPriority w:val="0"/>
    <w:pPr>
      <w:wordWrap w:val="0"/>
      <w:ind w:left="2550"/>
      <w:jc w:val="both"/>
    </w:pPr>
    <w:rPr>
      <w:rFonts w:ascii="Calibri" w:hAnsi="Calibri" w:eastAsia="宋体" w:cs="Times New Roman"/>
      <w:sz w:val="21"/>
      <w:lang w:val="en-US" w:eastAsia="zh-CN" w:bidi="ar-SA"/>
    </w:rPr>
  </w:style>
  <w:style w:type="paragraph" w:styleId="458">
    <w:name w:val="Intense Quote"/>
    <w:next w:val="1"/>
    <w:link w:val="459"/>
    <w:qFormat/>
    <w:uiPriority w:val="0"/>
    <w:pPr>
      <w:wordWrap w:val="0"/>
      <w:spacing w:before="360" w:after="360"/>
      <w:ind w:left="950" w:right="950"/>
      <w:jc w:val="center"/>
    </w:pPr>
    <w:rPr>
      <w:rFonts w:ascii="Calibri" w:hAnsi="Calibri" w:eastAsia="宋体" w:cs="Times New Roman"/>
      <w:i/>
      <w:sz w:val="21"/>
      <w:lang w:val="en-US" w:eastAsia="zh-CN" w:bidi="ar-SA"/>
    </w:rPr>
  </w:style>
  <w:style w:type="character" w:customStyle="1" w:styleId="459">
    <w:name w:val="明显引用 Char"/>
    <w:basedOn w:val="46"/>
    <w:link w:val="458"/>
    <w:qFormat/>
    <w:uiPriority w:val="0"/>
    <w:rPr>
      <w:rFonts w:ascii="Calibri" w:hAnsi="Calibri"/>
      <w:i/>
      <w:sz w:val="21"/>
    </w:rPr>
  </w:style>
  <w:style w:type="paragraph" w:customStyle="1" w:styleId="460">
    <w:name w:val="Char Char Char Char Char Char Char"/>
    <w:basedOn w:val="1"/>
    <w:next w:val="444"/>
    <w:qFormat/>
    <w:uiPriority w:val="0"/>
    <w:pPr>
      <w:widowControl/>
      <w:spacing w:after="160" w:line="240" w:lineRule="exact"/>
    </w:pPr>
    <w:rPr>
      <w:rFonts w:hAnsi="Calibri"/>
      <w:kern w:val="0"/>
      <w:szCs w:val="20"/>
    </w:rPr>
  </w:style>
  <w:style w:type="paragraph" w:customStyle="1" w:styleId="461">
    <w:name w:val="toc 23"/>
    <w:next w:val="1"/>
    <w:qFormat/>
    <w:uiPriority w:val="0"/>
    <w:pPr>
      <w:wordWrap w:val="0"/>
      <w:ind w:left="425"/>
      <w:jc w:val="both"/>
    </w:pPr>
    <w:rPr>
      <w:rFonts w:ascii="Calibri" w:hAnsi="Calibri" w:eastAsia="宋体" w:cs="Times New Roman"/>
      <w:sz w:val="21"/>
      <w:lang w:val="en-US" w:eastAsia="zh-CN" w:bidi="ar-SA"/>
    </w:rPr>
  </w:style>
  <w:style w:type="paragraph" w:customStyle="1" w:styleId="462">
    <w:name w:val="目录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63">
    <w:name w:val="toc 97"/>
    <w:next w:val="1"/>
    <w:qFormat/>
    <w:uiPriority w:val="0"/>
    <w:pPr>
      <w:wordWrap w:val="0"/>
      <w:ind w:left="3400"/>
      <w:jc w:val="both"/>
    </w:pPr>
    <w:rPr>
      <w:rFonts w:ascii="Calibri" w:hAnsi="Calibri" w:eastAsia="宋体" w:cs="Times New Roman"/>
      <w:sz w:val="21"/>
      <w:lang w:val="en-US" w:eastAsia="zh-CN" w:bidi="ar-SA"/>
    </w:rPr>
  </w:style>
  <w:style w:type="paragraph" w:customStyle="1" w:styleId="464">
    <w:name w:val="toc 74"/>
    <w:next w:val="1"/>
    <w:qFormat/>
    <w:uiPriority w:val="0"/>
    <w:pPr>
      <w:wordWrap w:val="0"/>
      <w:ind w:left="2550"/>
      <w:jc w:val="both"/>
    </w:pPr>
    <w:rPr>
      <w:rFonts w:ascii="Calibri" w:hAnsi="Calibri" w:eastAsia="宋体" w:cs="Times New Roman"/>
      <w:sz w:val="21"/>
      <w:lang w:val="en-US" w:eastAsia="zh-CN" w:bidi="ar-SA"/>
    </w:rPr>
  </w:style>
  <w:style w:type="paragraph" w:customStyle="1" w:styleId="465">
    <w:name w:val="xl64"/>
    <w:basedOn w:val="1"/>
    <w:next w:val="440"/>
    <w:qFormat/>
    <w:uiPriority w:val="0"/>
    <w:pPr>
      <w:widowControl/>
      <w:shd w:val="clear" w:color="000000" w:fill="FFFFFF"/>
      <w:spacing w:before="280" w:after="280"/>
    </w:pPr>
    <w:rPr>
      <w:rFonts w:ascii="宋体" w:hAnsi="Calibri"/>
      <w:kern w:val="0"/>
      <w:sz w:val="20"/>
      <w:szCs w:val="20"/>
    </w:rPr>
  </w:style>
  <w:style w:type="paragraph" w:customStyle="1" w:styleId="466">
    <w:name w:val="xl82"/>
    <w:basedOn w:val="1"/>
    <w:next w:val="285"/>
    <w:qFormat/>
    <w:uiPriority w:val="0"/>
    <w:pPr>
      <w:widowControl/>
      <w:shd w:val="clear" w:color="000000" w:fill="FFFFFF"/>
      <w:spacing w:before="280" w:after="280"/>
    </w:pPr>
    <w:rPr>
      <w:rFonts w:ascii="宋体" w:hAnsi="Calibri"/>
      <w:kern w:val="0"/>
      <w:sz w:val="20"/>
      <w:szCs w:val="20"/>
    </w:rPr>
  </w:style>
  <w:style w:type="paragraph" w:customStyle="1" w:styleId="467">
    <w:name w:val="toc 32"/>
    <w:next w:val="1"/>
    <w:qFormat/>
    <w:uiPriority w:val="0"/>
    <w:pPr>
      <w:wordWrap w:val="0"/>
      <w:ind w:left="850"/>
      <w:jc w:val="both"/>
    </w:pPr>
    <w:rPr>
      <w:rFonts w:ascii="Calibri" w:hAnsi="Calibri" w:eastAsia="宋体" w:cs="Times New Roman"/>
      <w:sz w:val="21"/>
      <w:lang w:val="en-US" w:eastAsia="zh-CN" w:bidi="ar-SA"/>
    </w:rPr>
  </w:style>
  <w:style w:type="paragraph" w:customStyle="1" w:styleId="468">
    <w:name w:val="xl77"/>
    <w:basedOn w:val="1"/>
    <w:next w:val="433"/>
    <w:qFormat/>
    <w:uiPriority w:val="0"/>
    <w:pPr>
      <w:widowControl/>
      <w:shd w:val="clear" w:color="000000" w:fill="FFFFFF"/>
      <w:spacing w:before="280" w:after="280"/>
      <w:jc w:val="center"/>
    </w:pPr>
    <w:rPr>
      <w:rFonts w:ascii="宋体" w:hAnsi="Calibri"/>
      <w:kern w:val="0"/>
      <w:sz w:val="20"/>
      <w:szCs w:val="20"/>
    </w:rPr>
  </w:style>
  <w:style w:type="character" w:customStyle="1" w:styleId="469">
    <w:name w:val="正文缩进 Char1"/>
    <w:qFormat/>
    <w:uiPriority w:val="0"/>
    <w:rPr>
      <w:rFonts w:eastAsia="宋体"/>
      <w:kern w:val="2"/>
      <w:sz w:val="21"/>
      <w:lang w:val="en-US" w:eastAsia="zh-CN" w:bidi="ar-SA"/>
    </w:rPr>
  </w:style>
  <w:style w:type="character" w:customStyle="1" w:styleId="470">
    <w:name w:val="普通(网站) Char"/>
    <w:link w:val="38"/>
    <w:qFormat/>
    <w:uiPriority w:val="99"/>
    <w:rPr>
      <w:kern w:val="2"/>
      <w:sz w:val="24"/>
      <w:szCs w:val="24"/>
    </w:rPr>
  </w:style>
  <w:style w:type="character" w:customStyle="1" w:styleId="471">
    <w:name w:val="fielderror"/>
    <w:basedOn w:val="46"/>
    <w:uiPriority w:val="0"/>
    <w:rPr>
      <w:color w:val="800000"/>
    </w:rPr>
  </w:style>
  <w:style w:type="character" w:customStyle="1" w:styleId="472">
    <w:name w:val="hilite6"/>
    <w:basedOn w:val="46"/>
    <w:qFormat/>
    <w:uiPriority w:val="0"/>
    <w:rPr>
      <w:color w:val="000000"/>
    </w:rPr>
  </w:style>
  <w:style w:type="character" w:customStyle="1" w:styleId="473">
    <w:name w:val="inline-help"/>
    <w:basedOn w:val="46"/>
    <w:qFormat/>
    <w:uiPriority w:val="0"/>
  </w:style>
  <w:style w:type="character" w:customStyle="1" w:styleId="474">
    <w:name w:val="active6"/>
    <w:basedOn w:val="46"/>
    <w:qFormat/>
    <w:uiPriority w:val="0"/>
    <w:rPr>
      <w:color w:val="FFFFFF"/>
    </w:rPr>
  </w:style>
  <w:style w:type="character" w:customStyle="1" w:styleId="475">
    <w:name w:val="hilite"/>
    <w:basedOn w:val="46"/>
    <w:qFormat/>
    <w:uiPriority w:val="0"/>
    <w:rPr>
      <w:color w:val="000000"/>
    </w:rPr>
  </w:style>
  <w:style w:type="character" w:customStyle="1" w:styleId="476">
    <w:name w:val="hilite4"/>
    <w:basedOn w:val="46"/>
    <w:qFormat/>
    <w:uiPriority w:val="0"/>
    <w:rPr>
      <w:color w:val="000000"/>
    </w:rPr>
  </w:style>
  <w:style w:type="character" w:customStyle="1" w:styleId="477">
    <w:name w:val="active"/>
    <w:basedOn w:val="46"/>
    <w:qFormat/>
    <w:uiPriority w:val="0"/>
    <w:rPr>
      <w:color w:val="FFFFFF"/>
    </w:rPr>
  </w:style>
  <w:style w:type="character" w:customStyle="1" w:styleId="478">
    <w:name w:val="hilite5"/>
    <w:basedOn w:val="46"/>
    <w:qFormat/>
    <w:uiPriority w:val="0"/>
    <w:rPr>
      <w:color w:val="000000"/>
    </w:rPr>
  </w:style>
  <w:style w:type="character" w:customStyle="1" w:styleId="479">
    <w:name w:val="active5"/>
    <w:basedOn w:val="46"/>
    <w:qFormat/>
    <w:uiPriority w:val="0"/>
    <w:rPr>
      <w:color w:val="FFFFFF"/>
    </w:rPr>
  </w:style>
  <w:style w:type="character" w:customStyle="1" w:styleId="480">
    <w:name w:val="active4"/>
    <w:basedOn w:val="46"/>
    <w:qFormat/>
    <w:uiPriority w:val="0"/>
    <w:rPr>
      <w:color w:val="FFFFFF"/>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BE75F5-CA3D-4225-AEC7-DE5738EC6B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23522</Words>
  <Characters>4075</Characters>
  <Lines>33</Lines>
  <Paragraphs>55</Paragraphs>
  <TotalTime>5</TotalTime>
  <ScaleCrop>false</ScaleCrop>
  <LinksUpToDate>false</LinksUpToDate>
  <CharactersWithSpaces>27542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2019-12-17T03:44:00Z</dcterms:created>
  <dc:creator>thsware</dc:creator>
  <cp:lastModifiedBy>WF</cp:lastModifiedBy>
  <cp:lastPrinted>2018-11-06T09:21:00Z</cp:lastPrinted>
  <dcterms:modified xsi:type="dcterms:W3CDTF">2021-08-03T06:53:54Z</dcterms:modified>
  <dc:title>招  标　文　件</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8E1BD5ACDF0E4B60BDF95EDE8E45EF53</vt:lpwstr>
  </property>
</Properties>
</file>