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政府招标文件</w:t>
      </w:r>
    </w:p>
    <w:p>
      <w:pPr>
        <w:jc w:val="center"/>
        <w:rPr>
          <w:b/>
          <w:sz w:val="52"/>
          <w:szCs w:val="52"/>
        </w:rPr>
      </w:pPr>
      <w:r>
        <w:rPr>
          <w:rFonts w:hint="eastAsia"/>
          <w:b/>
          <w:sz w:val="52"/>
          <w:szCs w:val="52"/>
        </w:rPr>
        <w:t>（通用货物类）</w:t>
      </w:r>
    </w:p>
    <w:p/>
    <w:p/>
    <w:p/>
    <w:p/>
    <w:p/>
    <w:p/>
    <w:p/>
    <w:p/>
    <w:p/>
    <w:p/>
    <w:p/>
    <w:p/>
    <w:p/>
    <w:p>
      <w:pPr>
        <w:jc w:val="center"/>
        <w:rPr>
          <w:b/>
          <w:sz w:val="44"/>
          <w:szCs w:val="44"/>
        </w:rPr>
      </w:pPr>
      <w:r>
        <w:rPr>
          <w:rFonts w:hint="eastAsia"/>
          <w:b/>
          <w:sz w:val="44"/>
          <w:szCs w:val="44"/>
        </w:rPr>
        <w:t>中</w:t>
      </w:r>
      <w:r>
        <w:rPr>
          <w:rFonts w:hint="eastAsia" w:ascii="宋体" w:hAnsi="宋体"/>
          <w:b/>
          <w:sz w:val="44"/>
          <w:szCs w:val="44"/>
        </w:rPr>
        <w:t>国·</w:t>
      </w:r>
      <w:r>
        <w:rPr>
          <w:rFonts w:hint="eastAsia"/>
          <w:b/>
          <w:sz w:val="44"/>
          <w:szCs w:val="44"/>
        </w:rPr>
        <w:t>深圳</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28"/>
          <w:szCs w:val="28"/>
        </w:rPr>
      </w:pPr>
      <w:r>
        <w:rPr>
          <w:rFonts w:hint="eastAsia"/>
          <w:sz w:val="28"/>
          <w:szCs w:val="28"/>
        </w:rPr>
        <w:t>（</w:t>
      </w:r>
      <w:r>
        <w:rPr>
          <w:sz w:val="28"/>
          <w:szCs w:val="28"/>
        </w:rPr>
        <w:t>20</w:t>
      </w:r>
      <w:r>
        <w:rPr>
          <w:rFonts w:hint="eastAsia"/>
          <w:sz w:val="28"/>
          <w:szCs w:val="28"/>
        </w:rPr>
        <w:t>21）</w:t>
      </w:r>
    </w:p>
    <w:p>
      <w:pPr>
        <w:jc w:val="center"/>
      </w:pPr>
    </w:p>
    <w:p>
      <w:pPr>
        <w:rPr>
          <w:rFonts w:ascii="宋体" w:hAnsi="宋体" w:eastAsia="黑体"/>
          <w:b/>
          <w:bCs/>
          <w:kern w:val="44"/>
          <w:sz w:val="28"/>
          <w:szCs w:val="44"/>
        </w:rPr>
      </w:pPr>
    </w:p>
    <w:p>
      <w:pPr>
        <w:pStyle w:val="2"/>
        <w:rPr>
          <w:rFonts w:ascii="新宋体" w:hAnsi="新宋体" w:eastAsia="新宋体"/>
          <w:sz w:val="30"/>
          <w:szCs w:val="30"/>
        </w:rPr>
      </w:pPr>
      <w:r>
        <w:rPr>
          <w:rFonts w:hint="eastAsia" w:ascii="新宋体" w:hAnsi="新宋体" w:eastAsia="新宋体"/>
          <w:sz w:val="30"/>
          <w:szCs w:val="30"/>
        </w:rPr>
        <w:t>警示条款</w:t>
      </w:r>
    </w:p>
    <w:p>
      <w:pPr>
        <w:spacing w:line="360" w:lineRule="auto"/>
        <w:ind w:firstLine="480"/>
        <w:rPr>
          <w:rFonts w:ascii="黑体" w:hAnsi="黑体" w:eastAsia="黑体"/>
          <w:sz w:val="24"/>
        </w:rPr>
      </w:pPr>
      <w:r>
        <w:rPr>
          <w:rFonts w:hint="eastAsia" w:ascii="黑体" w:hAnsi="黑体" w:eastAsia="黑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80"/>
        <w:rPr>
          <w:rFonts w:ascii="黑体" w:hAnsi="黑体" w:eastAsia="黑体"/>
          <w:sz w:val="24"/>
        </w:rPr>
      </w:pPr>
      <w:r>
        <w:rPr>
          <w:rFonts w:hint="eastAsia" w:ascii="黑体" w:hAnsi="黑体" w:eastAsia="黑体"/>
          <w:sz w:val="24"/>
        </w:rPr>
        <w:t xml:space="preserve">  （一）在采购活动中应当回避而未回避的；</w:t>
      </w:r>
    </w:p>
    <w:p>
      <w:pPr>
        <w:spacing w:line="360" w:lineRule="auto"/>
        <w:ind w:firstLine="480"/>
        <w:rPr>
          <w:rFonts w:ascii="黑体" w:hAnsi="黑体" w:eastAsia="黑体"/>
          <w:sz w:val="24"/>
        </w:rPr>
      </w:pPr>
      <w:r>
        <w:rPr>
          <w:rFonts w:hint="eastAsia" w:ascii="黑体" w:hAnsi="黑体" w:eastAsia="黑体"/>
          <w:sz w:val="24"/>
        </w:rPr>
        <w:t xml:space="preserve">  （二）未按本条例规定签订、履行采购合同，造成严重后果的；</w:t>
      </w:r>
    </w:p>
    <w:p>
      <w:pPr>
        <w:spacing w:line="360" w:lineRule="auto"/>
        <w:ind w:firstLine="480"/>
        <w:rPr>
          <w:rFonts w:ascii="黑体" w:hAnsi="黑体" w:eastAsia="黑体"/>
          <w:sz w:val="24"/>
        </w:rPr>
      </w:pPr>
      <w:r>
        <w:rPr>
          <w:rFonts w:hint="eastAsia" w:ascii="黑体" w:hAnsi="黑体" w:eastAsia="黑体"/>
          <w:sz w:val="24"/>
        </w:rPr>
        <w:t xml:space="preserve">  （三）隐瞒真实情况，提供虚假资料的；</w:t>
      </w:r>
    </w:p>
    <w:p>
      <w:pPr>
        <w:spacing w:line="360" w:lineRule="auto"/>
        <w:ind w:firstLine="480"/>
        <w:rPr>
          <w:rFonts w:ascii="黑体" w:hAnsi="黑体" w:eastAsia="黑体"/>
          <w:sz w:val="24"/>
        </w:rPr>
      </w:pPr>
      <w:r>
        <w:rPr>
          <w:rFonts w:hint="eastAsia" w:ascii="黑体" w:hAnsi="黑体" w:eastAsia="黑体"/>
          <w:sz w:val="24"/>
        </w:rPr>
        <w:t xml:space="preserve">  （四）以非法手段排斥其他供应商参与竞争的；</w:t>
      </w:r>
    </w:p>
    <w:p>
      <w:pPr>
        <w:spacing w:line="360" w:lineRule="auto"/>
        <w:ind w:firstLine="480"/>
        <w:rPr>
          <w:rFonts w:ascii="黑体" w:hAnsi="黑体" w:eastAsia="黑体"/>
          <w:sz w:val="24"/>
        </w:rPr>
      </w:pPr>
      <w:r>
        <w:rPr>
          <w:rFonts w:hint="eastAsia" w:ascii="黑体" w:hAnsi="黑体" w:eastAsia="黑体"/>
          <w:sz w:val="24"/>
        </w:rPr>
        <w:t xml:space="preserve">  （五）与其他采购参加人串通投标的；</w:t>
      </w:r>
    </w:p>
    <w:p>
      <w:pPr>
        <w:spacing w:line="360" w:lineRule="auto"/>
        <w:ind w:firstLine="480"/>
        <w:rPr>
          <w:rFonts w:ascii="黑体" w:hAnsi="黑体" w:eastAsia="黑体"/>
          <w:sz w:val="24"/>
        </w:rPr>
      </w:pPr>
      <w:r>
        <w:rPr>
          <w:rFonts w:hint="eastAsia" w:ascii="黑体" w:hAnsi="黑体" w:eastAsia="黑体"/>
          <w:sz w:val="24"/>
        </w:rPr>
        <w:t xml:space="preserve">  （六）恶意投诉的；</w:t>
      </w:r>
    </w:p>
    <w:p>
      <w:pPr>
        <w:spacing w:line="360" w:lineRule="auto"/>
        <w:ind w:firstLine="480"/>
        <w:rPr>
          <w:rFonts w:ascii="黑体" w:hAnsi="黑体" w:eastAsia="黑体"/>
          <w:sz w:val="24"/>
        </w:rPr>
      </w:pPr>
      <w:r>
        <w:rPr>
          <w:rFonts w:hint="eastAsia" w:ascii="黑体" w:hAnsi="黑体" w:eastAsia="黑体"/>
          <w:sz w:val="24"/>
        </w:rPr>
        <w:t xml:space="preserve">  （七）向采购项目相关人行贿或者提供其他不当利益的；</w:t>
      </w:r>
    </w:p>
    <w:p>
      <w:pPr>
        <w:spacing w:line="360" w:lineRule="auto"/>
        <w:ind w:firstLine="480"/>
        <w:rPr>
          <w:rFonts w:ascii="黑体" w:hAnsi="黑体" w:eastAsia="黑体"/>
          <w:sz w:val="24"/>
        </w:rPr>
      </w:pPr>
      <w:r>
        <w:rPr>
          <w:rFonts w:hint="eastAsia" w:ascii="黑体" w:hAnsi="黑体" w:eastAsia="黑体"/>
          <w:sz w:val="24"/>
        </w:rPr>
        <w:t xml:space="preserve">  （八）阻碍、抗拒主管部门监督检查的；</w:t>
      </w:r>
    </w:p>
    <w:p>
      <w:pPr>
        <w:spacing w:line="360" w:lineRule="auto"/>
        <w:ind w:firstLine="480"/>
        <w:rPr>
          <w:rFonts w:ascii="黑体" w:hAnsi="黑体" w:eastAsia="黑体"/>
          <w:sz w:val="24"/>
        </w:rPr>
      </w:pPr>
      <w:r>
        <w:rPr>
          <w:rFonts w:hint="eastAsia" w:ascii="黑体" w:hAnsi="黑体" w:eastAsia="黑体"/>
          <w:sz w:val="24"/>
        </w:rPr>
        <w:t xml:space="preserve">  （九）其他违反本条例规定的行为。</w:t>
      </w:r>
    </w:p>
    <w:p>
      <w:pPr>
        <w:spacing w:line="360" w:lineRule="auto"/>
        <w:ind w:firstLine="480"/>
        <w:rPr>
          <w:rFonts w:ascii="黑体" w:hAnsi="黑体" w:eastAsia="黑体"/>
          <w:sz w:val="24"/>
        </w:rPr>
      </w:pPr>
      <w:r>
        <w:rPr>
          <w:rFonts w:hint="eastAsia" w:ascii="黑体" w:hAnsi="黑体" w:eastAsia="黑体"/>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spacing w:line="360" w:lineRule="auto"/>
        <w:ind w:firstLine="480"/>
        <w:rPr>
          <w:rFonts w:ascii="黑体" w:hAnsi="黑体" w:eastAsia="黑体"/>
          <w:sz w:val="24"/>
        </w:rPr>
      </w:pPr>
      <w:r>
        <w:rPr>
          <w:rFonts w:hint="eastAsia" w:ascii="黑体" w:hAnsi="黑体" w:eastAsia="黑体"/>
          <w:sz w:val="24"/>
        </w:rPr>
        <w:t>（一）投标截止后，撤销投标的；</w:t>
      </w:r>
    </w:p>
    <w:p>
      <w:pPr>
        <w:spacing w:line="360" w:lineRule="auto"/>
        <w:ind w:firstLine="480"/>
        <w:rPr>
          <w:rFonts w:ascii="黑体" w:hAnsi="黑体" w:eastAsia="黑体"/>
          <w:sz w:val="24"/>
        </w:rPr>
      </w:pPr>
      <w:r>
        <w:rPr>
          <w:rFonts w:hint="eastAsia" w:ascii="黑体" w:hAnsi="黑体" w:eastAsia="黑体"/>
          <w:sz w:val="24"/>
        </w:rPr>
        <w:t>　　（二）中标后无正当理由未在规定期限内签订合同的；</w:t>
      </w:r>
    </w:p>
    <w:p>
      <w:pPr>
        <w:spacing w:line="360" w:lineRule="auto"/>
        <w:ind w:firstLine="480"/>
        <w:rPr>
          <w:rFonts w:ascii="黑体" w:hAnsi="黑体" w:eastAsia="黑体"/>
          <w:sz w:val="24"/>
        </w:rPr>
      </w:pPr>
      <w:r>
        <w:rPr>
          <w:rFonts w:hint="eastAsia" w:ascii="黑体" w:hAnsi="黑体" w:eastAsia="黑体"/>
          <w:sz w:val="24"/>
        </w:rPr>
        <w:t>　　（三）将中标项目转让给他人、或者在投标文件中未说明且未经采购人、采购招标机构同意，将中标项目分包给他人的；</w:t>
      </w:r>
    </w:p>
    <w:p>
      <w:pPr>
        <w:spacing w:line="360" w:lineRule="auto"/>
        <w:ind w:firstLine="480"/>
        <w:rPr>
          <w:rFonts w:ascii="黑体" w:hAnsi="黑体" w:eastAsia="黑体"/>
          <w:sz w:val="24"/>
        </w:rPr>
      </w:pPr>
      <w:r>
        <w:rPr>
          <w:rFonts w:hint="eastAsia" w:ascii="黑体" w:hAnsi="黑体" w:eastAsia="黑体"/>
          <w:sz w:val="24"/>
        </w:rPr>
        <w:t>（四）拒绝履行合同义务的。</w:t>
      </w:r>
    </w:p>
    <w:p>
      <w:pPr>
        <w:spacing w:line="360" w:lineRule="auto"/>
        <w:ind w:firstLine="480"/>
        <w:rPr>
          <w:rFonts w:ascii="黑体" w:hAnsi="黑体" w:eastAsia="黑体"/>
          <w:sz w:val="24"/>
        </w:rPr>
      </w:pPr>
    </w:p>
    <w:p>
      <w:pPr>
        <w:spacing w:line="360" w:lineRule="auto"/>
        <w:ind w:firstLine="480"/>
        <w:rPr>
          <w:rFonts w:ascii="黑体" w:hAnsi="黑体" w:eastAsia="黑体"/>
          <w:sz w:val="24"/>
        </w:rPr>
      </w:pPr>
      <w:r>
        <w:rPr>
          <w:rFonts w:hint="eastAsia" w:ascii="黑体" w:hAnsi="黑体" w:eastAsia="黑体"/>
          <w:sz w:val="24"/>
        </w:rPr>
        <w:t>三、《深圳经济特区政府采购条例实施细则》第七十六条 供应商有下列行为之一的，由主管部门记入供应商诚信档案并作出以下处罚：</w:t>
      </w:r>
    </w:p>
    <w:p>
      <w:pPr>
        <w:spacing w:line="360" w:lineRule="auto"/>
        <w:ind w:firstLine="480"/>
        <w:rPr>
          <w:rFonts w:ascii="黑体" w:hAnsi="黑体" w:eastAsia="黑体"/>
          <w:sz w:val="24"/>
        </w:rPr>
      </w:pPr>
      <w:r>
        <w:rPr>
          <w:rFonts w:hint="eastAsia" w:ascii="黑体" w:hAnsi="黑体" w:eastAsia="黑体"/>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360" w:lineRule="auto"/>
        <w:ind w:firstLine="480"/>
        <w:rPr>
          <w:rFonts w:ascii="黑体" w:hAnsi="黑体" w:eastAsia="黑体"/>
          <w:sz w:val="24"/>
        </w:rPr>
      </w:pPr>
      <w:r>
        <w:rPr>
          <w:rFonts w:hint="eastAsia" w:ascii="黑体" w:hAnsi="黑体" w:eastAsia="黑体"/>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360" w:lineRule="auto"/>
        <w:ind w:firstLine="480"/>
        <w:rPr>
          <w:rFonts w:ascii="黑体" w:hAnsi="黑体" w:eastAsia="黑体"/>
          <w:sz w:val="24"/>
        </w:rPr>
      </w:pPr>
    </w:p>
    <w:p>
      <w:pPr>
        <w:spacing w:line="360" w:lineRule="auto"/>
        <w:ind w:firstLine="480"/>
        <w:rPr>
          <w:rFonts w:ascii="黑体" w:hAnsi="黑体" w:eastAsia="黑体"/>
          <w:sz w:val="24"/>
        </w:rPr>
      </w:pPr>
      <w:r>
        <w:rPr>
          <w:rFonts w:hint="eastAsia" w:ascii="黑体" w:hAnsi="黑体" w:eastAsia="黑体"/>
          <w:sz w:val="24"/>
        </w:rPr>
        <w:t>四、《深圳经济特区政府采购条例实施细则》第七十七条 供应商有下列行为之一的，属于情节严重，由市场监管部门依法吊销其营业执照，主管部门取消其参与本市政府采购的资格，并作出以下处罚：</w:t>
      </w:r>
    </w:p>
    <w:p>
      <w:pPr>
        <w:spacing w:line="360" w:lineRule="auto"/>
        <w:ind w:firstLine="480"/>
        <w:rPr>
          <w:rFonts w:ascii="黑体" w:hAnsi="黑体" w:eastAsia="黑体"/>
          <w:sz w:val="24"/>
        </w:rPr>
      </w:pPr>
      <w:r>
        <w:rPr>
          <w:rFonts w:hint="eastAsia" w:ascii="黑体" w:hAnsi="黑体" w:eastAsia="黑体"/>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360" w:lineRule="auto"/>
        <w:ind w:firstLine="480"/>
        <w:rPr>
          <w:rFonts w:ascii="黑体" w:hAnsi="黑体" w:eastAsia="黑体"/>
          <w:sz w:val="24"/>
        </w:rPr>
      </w:pPr>
      <w:r>
        <w:rPr>
          <w:rFonts w:hint="eastAsia" w:ascii="黑体" w:hAnsi="黑体" w:eastAsia="黑体"/>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360" w:lineRule="auto"/>
        <w:ind w:firstLine="480"/>
        <w:rPr>
          <w:rFonts w:ascii="黑体" w:hAnsi="黑体" w:eastAsia="黑体"/>
          <w:sz w:val="24"/>
        </w:rPr>
      </w:pPr>
    </w:p>
    <w:p>
      <w:pPr>
        <w:spacing w:line="360" w:lineRule="auto"/>
        <w:ind w:firstLine="480"/>
        <w:rPr>
          <w:rFonts w:ascii="黑体" w:hAnsi="黑体" w:eastAsia="黑体"/>
          <w:sz w:val="24"/>
        </w:rPr>
      </w:pPr>
      <w:r>
        <w:rPr>
          <w:rFonts w:hint="eastAsia" w:ascii="黑体" w:hAnsi="黑体" w:eastAsia="黑体"/>
          <w:sz w:val="24"/>
        </w:rPr>
        <w:t>五、《深圳经济特区政府采购条例实施细则》第七十九条 供应商有下列情形的，属于采购条例所称的串通投标行为，按照采购条例第五十七条有关规定处理：</w:t>
      </w:r>
    </w:p>
    <w:p>
      <w:pPr>
        <w:spacing w:line="360" w:lineRule="auto"/>
        <w:ind w:firstLine="480"/>
        <w:rPr>
          <w:rFonts w:ascii="黑体" w:hAnsi="黑体" w:eastAsia="黑体"/>
          <w:sz w:val="24"/>
        </w:rPr>
      </w:pPr>
      <w:r>
        <w:rPr>
          <w:rFonts w:hint="eastAsia" w:ascii="黑体" w:hAnsi="黑体" w:eastAsia="黑体"/>
          <w:sz w:val="24"/>
        </w:rPr>
        <w:t>（一）投标供应商之间相互约定给予未中标的供应商利益补偿；</w:t>
      </w:r>
    </w:p>
    <w:p>
      <w:pPr>
        <w:spacing w:line="360" w:lineRule="auto"/>
        <w:ind w:firstLine="480"/>
        <w:rPr>
          <w:rFonts w:ascii="黑体" w:hAnsi="黑体" w:eastAsia="黑体"/>
          <w:sz w:val="24"/>
        </w:rPr>
      </w:pPr>
      <w:r>
        <w:rPr>
          <w:rFonts w:hint="eastAsia" w:ascii="黑体" w:hAnsi="黑体" w:eastAsia="黑体"/>
          <w:sz w:val="24"/>
        </w:rPr>
        <w:t xml:space="preserve">（二）不同投标供应商的法定代表人、主要经营负责人、项目投标授权代表人、项目负责人、主要技术人员为同一人、属同一单位或者在同一单位缴纳社会保险；　　　　 </w:t>
      </w:r>
    </w:p>
    <w:p>
      <w:pPr>
        <w:spacing w:line="360" w:lineRule="auto"/>
        <w:ind w:firstLine="480"/>
        <w:rPr>
          <w:rFonts w:ascii="黑体" w:hAnsi="黑体" w:eastAsia="黑体"/>
          <w:sz w:val="24"/>
        </w:rPr>
      </w:pPr>
      <w:r>
        <w:rPr>
          <w:rFonts w:hint="eastAsia" w:ascii="黑体" w:hAnsi="黑体" w:eastAsia="黑体"/>
          <w:sz w:val="24"/>
        </w:rPr>
        <w:t>（三）不同投标供应商的投标文件由同一单位或者同一人编制，或者由同一人分阶段参与编制的；</w:t>
      </w:r>
    </w:p>
    <w:p>
      <w:pPr>
        <w:spacing w:line="360" w:lineRule="auto"/>
        <w:ind w:firstLine="480"/>
        <w:rPr>
          <w:rFonts w:ascii="黑体" w:hAnsi="黑体" w:eastAsia="黑体"/>
          <w:sz w:val="24"/>
        </w:rPr>
      </w:pPr>
      <w:r>
        <w:rPr>
          <w:rFonts w:hint="eastAsia" w:ascii="黑体" w:hAnsi="黑体" w:eastAsia="黑体"/>
          <w:sz w:val="24"/>
        </w:rPr>
        <w:t>（四）不同投标供应商的投标文件或部分投标文件相互混装；</w:t>
      </w:r>
    </w:p>
    <w:p>
      <w:pPr>
        <w:spacing w:line="360" w:lineRule="auto"/>
        <w:ind w:firstLine="480"/>
        <w:rPr>
          <w:rFonts w:ascii="黑体" w:hAnsi="黑体" w:eastAsia="黑体"/>
          <w:sz w:val="24"/>
        </w:rPr>
      </w:pPr>
      <w:r>
        <w:rPr>
          <w:rFonts w:hint="eastAsia" w:ascii="黑体" w:hAnsi="黑体" w:eastAsia="黑体"/>
          <w:sz w:val="24"/>
        </w:rPr>
        <w:t>（五）不同投标供应商的投标文件内容存在非正常一致；</w:t>
      </w:r>
    </w:p>
    <w:p>
      <w:pPr>
        <w:spacing w:line="360" w:lineRule="auto"/>
        <w:ind w:firstLine="480"/>
        <w:rPr>
          <w:rFonts w:ascii="黑体" w:hAnsi="黑体" w:eastAsia="黑体"/>
          <w:sz w:val="24"/>
        </w:rPr>
      </w:pPr>
      <w:r>
        <w:rPr>
          <w:rFonts w:hint="eastAsia" w:ascii="黑体" w:hAnsi="黑体" w:eastAsia="黑体"/>
          <w:sz w:val="24"/>
        </w:rPr>
        <w:t>（六）由同一单位工作人员为两家以上（含两家）供应商进行同一项投标活动的；</w:t>
      </w:r>
    </w:p>
    <w:p>
      <w:pPr>
        <w:spacing w:line="360" w:lineRule="auto"/>
        <w:ind w:firstLine="480"/>
        <w:rPr>
          <w:rFonts w:ascii="黑体" w:hAnsi="黑体" w:eastAsia="黑体"/>
          <w:sz w:val="24"/>
        </w:rPr>
      </w:pPr>
      <w:r>
        <w:rPr>
          <w:rFonts w:hint="eastAsia" w:ascii="黑体" w:hAnsi="黑体" w:eastAsia="黑体"/>
          <w:sz w:val="24"/>
        </w:rPr>
        <w:t>（七）主管部门依照法律、法规认定的其他情形。</w:t>
      </w:r>
    </w:p>
    <w:p>
      <w:pPr>
        <w:spacing w:line="360" w:lineRule="auto"/>
        <w:ind w:firstLine="480"/>
        <w:rPr>
          <w:rFonts w:ascii="黑体" w:hAnsi="黑体" w:eastAsia="黑体"/>
          <w:sz w:val="24"/>
        </w:rPr>
      </w:pPr>
    </w:p>
    <w:p>
      <w:pPr>
        <w:spacing w:line="360" w:lineRule="auto"/>
        <w:ind w:firstLine="480"/>
        <w:rPr>
          <w:rFonts w:ascii="黑体" w:hAnsi="黑体" w:eastAsia="黑体"/>
          <w:sz w:val="24"/>
        </w:rPr>
      </w:pPr>
      <w:r>
        <w:rPr>
          <w:rFonts w:hint="eastAsia" w:ascii="黑体" w:hAnsi="黑体" w:eastAsia="黑体"/>
          <w:sz w:val="24"/>
        </w:rPr>
        <w:t>六、《深圳经济特区政府采购条例实施细则》第八十一条 供应商有下列情形之一的，属于隐瞒真实情况，提供虚假资料，按照采购条例第五十七的有关规定处理：</w:t>
      </w:r>
    </w:p>
    <w:p>
      <w:pPr>
        <w:spacing w:line="360" w:lineRule="auto"/>
        <w:ind w:firstLine="480"/>
        <w:rPr>
          <w:rFonts w:ascii="黑体" w:hAnsi="黑体" w:eastAsia="黑体"/>
          <w:sz w:val="24"/>
        </w:rPr>
      </w:pPr>
      <w:r>
        <w:rPr>
          <w:rFonts w:hint="eastAsia" w:ascii="黑体" w:hAnsi="黑体" w:eastAsia="黑体"/>
          <w:sz w:val="24"/>
        </w:rPr>
        <w:t>（一）通过转让或者租借等方式从其他单位获取资格或者资质证书投标的；</w:t>
      </w:r>
    </w:p>
    <w:p>
      <w:pPr>
        <w:spacing w:line="360" w:lineRule="auto"/>
        <w:ind w:firstLine="480"/>
        <w:rPr>
          <w:rFonts w:ascii="黑体" w:hAnsi="黑体" w:eastAsia="黑体"/>
          <w:sz w:val="24"/>
        </w:rPr>
      </w:pPr>
      <w:r>
        <w:rPr>
          <w:rFonts w:hint="eastAsia" w:ascii="黑体" w:hAnsi="黑体" w:eastAsia="黑体"/>
          <w:sz w:val="24"/>
        </w:rPr>
        <w:t>（二）由其他单位或者其他单位负责人在投标供应商编制的投标文件上加盖印章或者签字的；</w:t>
      </w:r>
    </w:p>
    <w:p>
      <w:pPr>
        <w:spacing w:line="360" w:lineRule="auto"/>
        <w:ind w:firstLine="480"/>
        <w:rPr>
          <w:rFonts w:ascii="黑体" w:hAnsi="黑体" w:eastAsia="黑体"/>
          <w:sz w:val="24"/>
        </w:rPr>
      </w:pPr>
      <w:r>
        <w:rPr>
          <w:rFonts w:hint="eastAsia" w:ascii="黑体" w:hAnsi="黑体" w:eastAsia="黑体"/>
          <w:sz w:val="24"/>
        </w:rPr>
        <w:t>（三）项目负责人或者主要技术人员不是本单位人员的；</w:t>
      </w:r>
    </w:p>
    <w:p>
      <w:pPr>
        <w:spacing w:line="360" w:lineRule="auto"/>
        <w:ind w:firstLine="480"/>
        <w:rPr>
          <w:rFonts w:ascii="黑体" w:hAnsi="黑体" w:eastAsia="黑体"/>
          <w:sz w:val="24"/>
        </w:rPr>
      </w:pPr>
      <w:r>
        <w:rPr>
          <w:rFonts w:hint="eastAsia" w:ascii="黑体" w:hAnsi="黑体" w:eastAsia="黑体"/>
          <w:sz w:val="24"/>
        </w:rPr>
        <w:t>（四）投标保证金不是从投标供应商基本账户转出的；</w:t>
      </w:r>
    </w:p>
    <w:p>
      <w:pPr>
        <w:spacing w:line="360" w:lineRule="auto"/>
        <w:ind w:firstLine="480"/>
        <w:rPr>
          <w:rFonts w:ascii="黑体" w:hAnsi="黑体" w:eastAsia="黑体"/>
          <w:sz w:val="24"/>
        </w:rPr>
      </w:pPr>
      <w:r>
        <w:rPr>
          <w:rFonts w:hint="eastAsia" w:ascii="黑体" w:hAnsi="黑体" w:eastAsia="黑体"/>
          <w:sz w:val="24"/>
        </w:rPr>
        <w:t>（五）其他隐瞒真实情况、提供虚假资料的行为。</w:t>
      </w:r>
    </w:p>
    <w:p>
      <w:pPr>
        <w:spacing w:line="360" w:lineRule="auto"/>
        <w:ind w:firstLine="480"/>
        <w:rPr>
          <w:rFonts w:ascii="黑体" w:hAnsi="黑体" w:eastAsia="黑体"/>
          <w:sz w:val="24"/>
        </w:rPr>
      </w:pPr>
      <w:r>
        <w:rPr>
          <w:rFonts w:hint="eastAsia" w:ascii="黑体" w:hAnsi="黑体" w:eastAsia="黑体"/>
          <w:sz w:val="24"/>
        </w:rPr>
        <w:t>投标供应商不能提供项目负责人或者主要技术人员的劳动合同、社会保险等劳动关系证明材料的，视为存在前款第（三）项规定的情形。</w:t>
      </w:r>
      <w:r>
        <w:rPr>
          <w:rFonts w:hint="eastAsia" w:ascii="黑体" w:hAnsi="黑体" w:eastAsia="黑体"/>
          <w:sz w:val="24"/>
        </w:rPr>
        <w:br w:type="textWrapping"/>
      </w:r>
      <w:r>
        <w:rPr>
          <w:rFonts w:hint="eastAsia" w:ascii="黑体" w:hAnsi="黑体" w:eastAsia="黑体"/>
          <w:sz w:val="24"/>
        </w:rPr>
        <w:br w:type="textWrapping"/>
      </w:r>
      <w:r>
        <w:rPr>
          <w:rFonts w:hint="eastAsia" w:ascii="黑体" w:hAnsi="黑体" w:eastAsia="黑体"/>
          <w:sz w:val="24"/>
        </w:rPr>
        <w:br w:type="textWrapping"/>
      </w:r>
      <w:r>
        <w:rPr>
          <w:rFonts w:hint="eastAsia" w:ascii="黑体" w:hAnsi="黑体" w:eastAsia="黑体"/>
          <w:sz w:val="24"/>
        </w:rPr>
        <w:br w:type="textWrapping"/>
      </w:r>
      <w:r>
        <w:rPr>
          <w:rFonts w:hint="eastAsia" w:ascii="黑体" w:hAnsi="黑体" w:eastAsia="黑体"/>
          <w:sz w:val="24"/>
        </w:rPr>
        <w:br w:type="textWrapping"/>
      </w:r>
      <w:r>
        <w:rPr>
          <w:rFonts w:hint="eastAsia" w:ascii="黑体" w:hAnsi="黑体" w:eastAsia="黑体"/>
          <w:sz w:val="24"/>
        </w:rPr>
        <w:br w:type="textWrapping"/>
      </w:r>
      <w:r>
        <w:rPr>
          <w:rFonts w:hint="eastAsia" w:ascii="黑体" w:hAnsi="黑体" w:eastAsia="黑体"/>
          <w:sz w:val="24"/>
        </w:rPr>
        <w:br w:type="textWrapping"/>
      </w:r>
      <w:r>
        <w:rPr>
          <w:rFonts w:hint="eastAsia" w:ascii="黑体" w:hAnsi="黑体" w:eastAsia="黑体"/>
          <w:sz w:val="24"/>
        </w:rPr>
        <w:br w:type="textWrapping"/>
      </w:r>
      <w:r>
        <w:rPr>
          <w:rFonts w:hint="eastAsia" w:ascii="黑体" w:hAnsi="黑体" w:eastAsia="黑体"/>
          <w:sz w:val="24"/>
        </w:rPr>
        <w:br w:type="textWrapping"/>
      </w:r>
      <w:r>
        <w:rPr>
          <w:rFonts w:hint="eastAsia" w:ascii="黑体" w:hAnsi="黑体" w:eastAsia="黑体"/>
          <w:sz w:val="24"/>
        </w:rPr>
        <w:br w:type="textWrapping"/>
      </w:r>
      <w:r>
        <w:rPr>
          <w:rFonts w:hint="eastAsia" w:ascii="黑体" w:hAnsi="黑体" w:eastAsia="黑体"/>
          <w:sz w:val="24"/>
        </w:rPr>
        <w:br w:type="textWrapping"/>
      </w:r>
    </w:p>
    <w:p>
      <w:pPr>
        <w:pStyle w:val="2"/>
        <w:rPr>
          <w:b/>
          <w:bCs/>
          <w:sz w:val="28"/>
          <w:szCs w:val="28"/>
        </w:rPr>
      </w:pPr>
      <w:r>
        <w:rPr>
          <w:rFonts w:hint="eastAsia"/>
          <w:b/>
          <w:bCs/>
          <w:sz w:val="28"/>
          <w:szCs w:val="28"/>
        </w:rPr>
        <w:t>关键信息</w:t>
      </w:r>
    </w:p>
    <w:p>
      <w:pPr>
        <w:pStyle w:val="3"/>
      </w:pPr>
      <w:r>
        <w:rPr>
          <w:rFonts w:hint="eastAsia"/>
        </w:rPr>
        <w:t>项目信息</w:t>
      </w:r>
    </w:p>
    <w:p>
      <w:pPr>
        <w:spacing w:line="360" w:lineRule="auto"/>
        <w:rPr>
          <w:rFonts w:ascii="新宋体" w:hAnsi="新宋体" w:eastAsia="新宋体"/>
          <w:szCs w:val="21"/>
        </w:rPr>
      </w:pPr>
      <w:r>
        <w:rPr>
          <w:rFonts w:ascii="宋体" w:hAnsi="宋体"/>
          <w:sz w:val="32"/>
        </w:rPr>
        <w:t xml:space="preserve">    </w:t>
      </w:r>
      <w:r>
        <w:rPr>
          <w:rFonts w:ascii="新宋体" w:hAnsi="新宋体" w:eastAsia="新宋体"/>
          <w:szCs w:val="21"/>
        </w:rPr>
        <w:t>项目编号：</w:t>
      </w:r>
      <w:r>
        <w:rPr>
          <w:rFonts w:hint="eastAsia" w:ascii="新宋体" w:hAnsi="新宋体" w:eastAsia="新宋体"/>
          <w:szCs w:val="21"/>
        </w:rPr>
        <w:t>NSDL2021197512</w:t>
      </w:r>
      <w:r>
        <w:rPr>
          <w:rFonts w:ascii="新宋体" w:hAnsi="新宋体" w:eastAsia="新宋体"/>
          <w:szCs w:val="21"/>
        </w:rPr>
        <w:t xml:space="preserve">  </w:t>
      </w:r>
    </w:p>
    <w:p>
      <w:pPr>
        <w:spacing w:line="360" w:lineRule="auto"/>
        <w:rPr>
          <w:rFonts w:ascii="新宋体" w:hAnsi="新宋体" w:eastAsia="新宋体"/>
          <w:szCs w:val="21"/>
        </w:rPr>
      </w:pPr>
      <w:r>
        <w:rPr>
          <w:rFonts w:ascii="新宋体" w:hAnsi="新宋体" w:eastAsia="新宋体"/>
          <w:szCs w:val="21"/>
        </w:rPr>
        <w:t xml:space="preserve">      项目名称：</w:t>
      </w:r>
      <w:r>
        <w:rPr>
          <w:rFonts w:hint="eastAsia" w:ascii="新宋体" w:hAnsi="新宋体" w:eastAsia="新宋体"/>
          <w:szCs w:val="21"/>
        </w:rPr>
        <w:t>学生课桌椅采购</w:t>
      </w:r>
      <w:r>
        <w:rPr>
          <w:rFonts w:ascii="新宋体" w:hAnsi="新宋体" w:eastAsia="新宋体"/>
          <w:szCs w:val="21"/>
        </w:rPr>
        <w:t xml:space="preserve">  </w:t>
      </w:r>
    </w:p>
    <w:p>
      <w:pPr>
        <w:spacing w:line="360" w:lineRule="auto"/>
        <w:rPr>
          <w:rFonts w:ascii="新宋体" w:hAnsi="新宋体" w:eastAsia="新宋体"/>
          <w:szCs w:val="21"/>
        </w:rPr>
      </w:pPr>
      <w:r>
        <w:rPr>
          <w:rFonts w:ascii="新宋体" w:hAnsi="新宋体" w:eastAsia="新宋体"/>
          <w:szCs w:val="21"/>
        </w:rPr>
        <w:t xml:space="preserve">      包   号：   </w:t>
      </w:r>
      <w:r>
        <w:rPr>
          <w:rFonts w:hint="eastAsia" w:ascii="新宋体" w:hAnsi="新宋体" w:eastAsia="新宋体"/>
          <w:szCs w:val="21"/>
        </w:rPr>
        <w:t>A</w:t>
      </w:r>
    </w:p>
    <w:p>
      <w:pPr>
        <w:spacing w:line="360" w:lineRule="auto"/>
        <w:rPr>
          <w:rFonts w:ascii="新宋体" w:hAnsi="新宋体" w:eastAsia="新宋体"/>
          <w:szCs w:val="21"/>
        </w:rPr>
      </w:pPr>
      <w:r>
        <w:rPr>
          <w:rFonts w:ascii="新宋体" w:hAnsi="新宋体" w:eastAsia="新宋体"/>
          <w:szCs w:val="21"/>
        </w:rPr>
        <w:t xml:space="preserve">      项目类型：  </w:t>
      </w:r>
      <w:r>
        <w:rPr>
          <w:rFonts w:hint="eastAsia" w:ascii="新宋体" w:hAnsi="新宋体" w:eastAsia="新宋体"/>
          <w:szCs w:val="21"/>
        </w:rPr>
        <w:t>货物</w:t>
      </w:r>
      <w:r>
        <w:rPr>
          <w:rFonts w:ascii="新宋体" w:hAnsi="新宋体" w:eastAsia="新宋体"/>
          <w:szCs w:val="21"/>
        </w:rPr>
        <w:t>类</w:t>
      </w:r>
    </w:p>
    <w:p>
      <w:pPr>
        <w:spacing w:line="360" w:lineRule="auto"/>
        <w:rPr>
          <w:rFonts w:ascii="新宋体" w:hAnsi="新宋体" w:eastAsia="新宋体"/>
          <w:szCs w:val="21"/>
        </w:rPr>
      </w:pPr>
      <w:r>
        <w:rPr>
          <w:rFonts w:ascii="新宋体" w:hAnsi="新宋体" w:eastAsia="新宋体"/>
          <w:szCs w:val="21"/>
        </w:rPr>
        <w:t xml:space="preserve">      采购方式：  公开招标</w:t>
      </w:r>
    </w:p>
    <w:p>
      <w:pPr>
        <w:spacing w:line="360" w:lineRule="auto"/>
        <w:rPr>
          <w:rFonts w:ascii="新宋体" w:hAnsi="新宋体" w:eastAsia="新宋体"/>
          <w:szCs w:val="21"/>
        </w:rPr>
      </w:pPr>
      <w:r>
        <w:rPr>
          <w:rFonts w:ascii="新宋体" w:hAnsi="新宋体" w:eastAsia="新宋体"/>
          <w:szCs w:val="21"/>
        </w:rPr>
        <w:t xml:space="preserve">      货币类型：  人民币</w:t>
      </w:r>
    </w:p>
    <w:p>
      <w:pPr>
        <w:rPr>
          <w:rFonts w:ascii="宋体" w:hAnsi="宋体"/>
          <w:sz w:val="32"/>
        </w:rPr>
      </w:pPr>
    </w:p>
    <w:p>
      <w:pPr>
        <w:pStyle w:val="3"/>
        <w:rPr>
          <w:sz w:val="36"/>
        </w:rPr>
      </w:pPr>
      <w:r>
        <w:rPr>
          <w:rFonts w:hint="eastAsia"/>
          <w:sz w:val="36"/>
        </w:rPr>
        <w:t>投标文件初审表</w:t>
      </w:r>
    </w:p>
    <w:p>
      <w:pPr>
        <w:jc w:val="center"/>
        <w:rPr>
          <w:b/>
        </w:rPr>
      </w:pPr>
      <w:r>
        <w:rPr>
          <w:rFonts w:hint="eastAsia"/>
          <w:b/>
        </w:rPr>
        <w:t>（凡有下列情形之一的，</w:t>
      </w:r>
      <w:r>
        <w:rPr>
          <w:rFonts w:hint="eastAsia"/>
          <w:b/>
          <w:color w:val="FF0000"/>
        </w:rPr>
        <w:t>初审不通过，投标无效</w:t>
      </w:r>
      <w:r>
        <w:rPr>
          <w:rFonts w:hint="eastAsia"/>
          <w:b/>
        </w:rPr>
        <w:t>）</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tcPr>
          <w:p>
            <w:pPr>
              <w:jc w:val="center"/>
              <w:rPr>
                <w:rFonts w:ascii="新宋体" w:hAnsi="新宋体" w:eastAsia="新宋体"/>
              </w:rPr>
            </w:pPr>
            <w:r>
              <w:rPr>
                <w:rFonts w:hint="eastAsia" w:ascii="新宋体" w:hAnsi="新宋体" w:eastAsia="新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rPr>
            </w:pPr>
            <w:r>
              <w:rPr>
                <w:rFonts w:ascii="新宋体" w:hAnsi="新宋体" w:eastAsia="新宋体"/>
              </w:rPr>
              <w:t>1</w:t>
            </w:r>
          </w:p>
        </w:tc>
        <w:tc>
          <w:tcPr>
            <w:tcW w:w="7854" w:type="dxa"/>
          </w:tcPr>
          <w:p>
            <w:pPr>
              <w:rPr>
                <w:rFonts w:ascii="新宋体" w:hAnsi="新宋体" w:eastAsia="新宋体"/>
              </w:rPr>
            </w:pPr>
            <w:r>
              <w:rPr>
                <w:rFonts w:hint="eastAsia" w:ascii="新宋体" w:hAnsi="新宋体" w:eastAsia="新宋体"/>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jc w:val="center"/>
              <w:rPr>
                <w:rFonts w:ascii="新宋体" w:hAnsi="新宋体" w:eastAsia="新宋体"/>
              </w:rPr>
            </w:pPr>
            <w:r>
              <w:rPr>
                <w:rFonts w:hint="eastAsia" w:ascii="新宋体" w:hAnsi="新宋体" w:eastAsia="新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rPr>
            </w:pPr>
            <w:r>
              <w:rPr>
                <w:rFonts w:hint="eastAsia" w:ascii="新宋体" w:hAnsi="新宋体" w:eastAsia="新宋体"/>
              </w:rPr>
              <w:t>1</w:t>
            </w:r>
          </w:p>
        </w:tc>
        <w:tc>
          <w:tcPr>
            <w:tcW w:w="7854" w:type="dxa"/>
          </w:tcPr>
          <w:p>
            <w:pPr>
              <w:rPr>
                <w:rFonts w:ascii="新宋体" w:hAnsi="新宋体" w:eastAsia="新宋体"/>
              </w:rPr>
            </w:pPr>
            <w:r>
              <w:rPr>
                <w:rFonts w:hint="eastAsia" w:ascii="新宋体" w:hAnsi="新宋体" w:eastAsia="新宋体"/>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rPr>
            </w:pPr>
            <w:r>
              <w:rPr>
                <w:rFonts w:hint="eastAsia" w:ascii="新宋体" w:hAnsi="新宋体" w:eastAsia="新宋体"/>
              </w:rPr>
              <w:t>2</w:t>
            </w:r>
          </w:p>
        </w:tc>
        <w:tc>
          <w:tcPr>
            <w:tcW w:w="7854" w:type="dxa"/>
          </w:tcPr>
          <w:p>
            <w:pPr>
              <w:rPr>
                <w:rFonts w:ascii="新宋体" w:hAnsi="新宋体" w:eastAsia="新宋体"/>
              </w:rPr>
            </w:pPr>
            <w:r>
              <w:rPr>
                <w:rFonts w:hint="eastAsia" w:ascii="新宋体" w:hAnsi="新宋体" w:eastAsia="新宋体"/>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rPr>
            </w:pPr>
            <w:r>
              <w:rPr>
                <w:rFonts w:hint="eastAsia" w:ascii="新宋体" w:hAnsi="新宋体" w:eastAsia="新宋体"/>
              </w:rPr>
              <w:t>3</w:t>
            </w:r>
          </w:p>
        </w:tc>
        <w:tc>
          <w:tcPr>
            <w:tcW w:w="7854" w:type="dxa"/>
          </w:tcPr>
          <w:p>
            <w:pPr>
              <w:rPr>
                <w:rFonts w:ascii="新宋体" w:hAnsi="新宋体" w:eastAsia="新宋体"/>
              </w:rPr>
            </w:pPr>
            <w:r>
              <w:rPr>
                <w:rFonts w:hint="eastAsia" w:ascii="新宋体" w:hAnsi="新宋体" w:eastAsia="新宋体"/>
              </w:rPr>
              <w:t>投标报价高于财政预算限额（最高投标限价）的；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rPr>
            </w:pPr>
            <w:r>
              <w:rPr>
                <w:rFonts w:hint="eastAsia" w:ascii="新宋体" w:hAnsi="新宋体" w:eastAsia="新宋体"/>
              </w:rPr>
              <w:t>4</w:t>
            </w:r>
          </w:p>
        </w:tc>
        <w:tc>
          <w:tcPr>
            <w:tcW w:w="7854" w:type="dxa"/>
          </w:tcPr>
          <w:p>
            <w:pPr>
              <w:rPr>
                <w:rFonts w:ascii="新宋体" w:hAnsi="新宋体" w:eastAsia="新宋体"/>
              </w:rPr>
            </w:pPr>
            <w:r>
              <w:rPr>
                <w:rFonts w:hint="eastAsia" w:ascii="新宋体" w:hAnsi="新宋体" w:eastAsia="新宋体"/>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rPr>
            </w:pPr>
            <w:r>
              <w:rPr>
                <w:rFonts w:hint="eastAsia" w:ascii="新宋体" w:hAnsi="新宋体" w:eastAsia="新宋体"/>
              </w:rPr>
              <w:t>5</w:t>
            </w:r>
          </w:p>
        </w:tc>
        <w:tc>
          <w:tcPr>
            <w:tcW w:w="7854" w:type="dxa"/>
          </w:tcPr>
          <w:p>
            <w:pPr>
              <w:rPr>
                <w:rFonts w:ascii="新宋体" w:hAnsi="新宋体" w:eastAsia="新宋体"/>
              </w:rPr>
            </w:pPr>
            <w:r>
              <w:rPr>
                <w:rFonts w:hint="eastAsia" w:ascii="新宋体" w:hAnsi="新宋体" w:eastAsia="新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rPr>
            </w:pPr>
            <w:r>
              <w:rPr>
                <w:rFonts w:hint="eastAsia" w:ascii="新宋体" w:hAnsi="新宋体" w:eastAsia="新宋体"/>
              </w:rPr>
              <w:t>6</w:t>
            </w:r>
          </w:p>
        </w:tc>
        <w:tc>
          <w:tcPr>
            <w:tcW w:w="7854" w:type="dxa"/>
          </w:tcPr>
          <w:p>
            <w:pPr>
              <w:rPr>
                <w:rFonts w:ascii="新宋体" w:hAnsi="新宋体" w:eastAsia="新宋体"/>
                <w:color w:val="FF0000"/>
              </w:rPr>
            </w:pPr>
            <w:r>
              <w:rPr>
                <w:rFonts w:hint="eastAsia" w:ascii="新宋体" w:hAnsi="新宋体" w:eastAsia="新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rPr>
            </w:pPr>
            <w:r>
              <w:rPr>
                <w:rFonts w:hint="eastAsia" w:ascii="新宋体" w:hAnsi="新宋体" w:eastAsia="新宋体"/>
              </w:rPr>
              <w:t>7</w:t>
            </w:r>
          </w:p>
        </w:tc>
        <w:tc>
          <w:tcPr>
            <w:tcW w:w="7854" w:type="dxa"/>
          </w:tcPr>
          <w:p>
            <w:pPr>
              <w:rPr>
                <w:rFonts w:ascii="新宋体" w:hAnsi="新宋体" w:eastAsia="新宋体"/>
                <w:color w:val="FF0000"/>
              </w:rPr>
            </w:pPr>
            <w:r>
              <w:rPr>
                <w:rFonts w:hint="eastAsia" w:ascii="新宋体" w:hAnsi="新宋体" w:eastAsia="新宋体"/>
              </w:rPr>
              <w:t>所投产品、工程、服务在商务、技术等方面没有实质性满足招标文件要求的（是否实质性满足招标文件要求，由评标委员会根据《实质性条款响应情况表》做出评判）；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rPr>
            </w:pPr>
            <w:r>
              <w:rPr>
                <w:rFonts w:hint="eastAsia" w:ascii="新宋体" w:hAnsi="新宋体" w:eastAsia="新宋体"/>
              </w:rPr>
              <w:t>8</w:t>
            </w:r>
          </w:p>
        </w:tc>
        <w:tc>
          <w:tcPr>
            <w:tcW w:w="7854" w:type="dxa"/>
          </w:tcPr>
          <w:p>
            <w:pPr>
              <w:rPr>
                <w:rFonts w:ascii="新宋体" w:hAnsi="新宋体" w:eastAsia="新宋体"/>
              </w:rPr>
            </w:pPr>
            <w:r>
              <w:rPr>
                <w:rFonts w:hint="eastAsia" w:ascii="新宋体" w:hAnsi="新宋体" w:eastAsia="新宋体"/>
              </w:rPr>
              <w:t>未按招标文件所提供的样式填写</w:t>
            </w:r>
            <w:r>
              <w:rPr>
                <w:rFonts w:ascii="新宋体" w:hAnsi="新宋体" w:eastAsia="新宋体"/>
              </w:rPr>
              <w:t>《</w:t>
            </w:r>
            <w:r>
              <w:rPr>
                <w:rFonts w:hint="eastAsia" w:ascii="新宋体" w:hAnsi="新宋体" w:eastAsia="新宋体"/>
              </w:rPr>
              <w:t>投标函》；未按招标文件所提供的</w:t>
            </w:r>
            <w:r>
              <w:rPr>
                <w:rFonts w:hint="eastAsia" w:ascii="新宋体" w:hAnsi="新宋体" w:eastAsia="新宋体"/>
                <w:szCs w:val="21"/>
              </w:rPr>
              <w:t>《政府采购投标及履约承诺函</w:t>
            </w:r>
            <w:r>
              <w:rPr>
                <w:rFonts w:hint="eastAsia" w:ascii="新宋体" w:hAnsi="新宋体" w:eastAsia="新宋体"/>
              </w:rPr>
              <w:t>》进行承诺；未按招标文件对投标文件组成的要求提供投标文件的（投标文件组成不完整）；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rPr>
            </w:pPr>
            <w:r>
              <w:rPr>
                <w:rFonts w:hint="eastAsia" w:ascii="新宋体" w:hAnsi="新宋体" w:eastAsia="新宋体"/>
              </w:rPr>
              <w:t>9</w:t>
            </w:r>
          </w:p>
        </w:tc>
        <w:tc>
          <w:tcPr>
            <w:tcW w:w="7854" w:type="dxa"/>
          </w:tcPr>
          <w:p>
            <w:pPr>
              <w:rPr>
                <w:rFonts w:ascii="新宋体" w:hAnsi="新宋体" w:eastAsia="新宋体"/>
              </w:rPr>
            </w:pPr>
            <w:r>
              <w:rPr>
                <w:rFonts w:hint="eastAsia" w:ascii="新宋体" w:hAnsi="新宋体" w:eastAsia="新宋体"/>
              </w:rPr>
              <w:t>投标文件存在规避信息公开情形的；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rPr>
            </w:pPr>
            <w:r>
              <w:rPr>
                <w:rFonts w:hint="eastAsia" w:ascii="新宋体" w:hAnsi="新宋体" w:eastAsia="新宋体"/>
              </w:rPr>
              <w:t>10</w:t>
            </w:r>
          </w:p>
        </w:tc>
        <w:tc>
          <w:tcPr>
            <w:tcW w:w="7854" w:type="dxa"/>
          </w:tcPr>
          <w:p>
            <w:pPr>
              <w:rPr>
                <w:rFonts w:ascii="新宋体" w:hAnsi="新宋体" w:eastAsia="新宋体"/>
              </w:rPr>
            </w:pPr>
            <w:r>
              <w:rPr>
                <w:rFonts w:hint="eastAsia" w:ascii="新宋体" w:hAnsi="新宋体" w:eastAsia="新宋体"/>
              </w:rPr>
              <w:t>投标文件电子文档带病毒；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rPr>
            </w:pPr>
            <w:r>
              <w:rPr>
                <w:rFonts w:hint="eastAsia" w:ascii="新宋体" w:hAnsi="新宋体" w:eastAsia="新宋体"/>
              </w:rPr>
              <w:t>11</w:t>
            </w:r>
          </w:p>
        </w:tc>
        <w:tc>
          <w:tcPr>
            <w:tcW w:w="7854" w:type="dxa"/>
          </w:tcPr>
          <w:p>
            <w:pPr>
              <w:rPr>
                <w:rFonts w:ascii="新宋体" w:hAnsi="新宋体" w:eastAsia="新宋体"/>
              </w:rPr>
            </w:pPr>
            <w:r>
              <w:rPr>
                <w:rFonts w:hint="eastAsia" w:ascii="新宋体" w:hAnsi="新宋体" w:eastAsia="新宋体"/>
              </w:rPr>
              <w:t>投标文件用不属于本公司的电子密钥进行加密的；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rPr>
            </w:pPr>
            <w:r>
              <w:rPr>
                <w:rFonts w:hint="eastAsia" w:ascii="新宋体" w:hAnsi="新宋体" w:eastAsia="新宋体"/>
              </w:rPr>
              <w:t>12</w:t>
            </w:r>
          </w:p>
        </w:tc>
        <w:tc>
          <w:tcPr>
            <w:tcW w:w="7854" w:type="dxa"/>
          </w:tcPr>
          <w:p>
            <w:pPr>
              <w:rPr>
                <w:rFonts w:ascii="新宋体" w:hAnsi="新宋体" w:eastAsia="新宋体"/>
              </w:rPr>
            </w:pPr>
            <w:r>
              <w:rPr>
                <w:rFonts w:hint="eastAsia" w:ascii="新宋体" w:hAnsi="新宋体" w:eastAsia="新宋体"/>
              </w:rPr>
              <w:t>误选了非本项目的最新加密规则文件，导致投标文件不能在开标时解密；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rPr>
            </w:pPr>
            <w:r>
              <w:rPr>
                <w:rFonts w:hint="eastAsia" w:ascii="新宋体" w:hAnsi="新宋体" w:eastAsia="新宋体"/>
              </w:rPr>
              <w:t>13</w:t>
            </w:r>
          </w:p>
        </w:tc>
        <w:tc>
          <w:tcPr>
            <w:tcW w:w="7854" w:type="dxa"/>
          </w:tcPr>
          <w:p>
            <w:pPr>
              <w:rPr>
                <w:rFonts w:ascii="新宋体" w:hAnsi="新宋体" w:eastAsia="新宋体"/>
              </w:rPr>
            </w:pPr>
            <w:r>
              <w:rPr>
                <w:rFonts w:hint="eastAsia" w:ascii="新宋体" w:hAnsi="新宋体" w:eastAsia="新宋体"/>
              </w:rPr>
              <w:t>法律、法规规定的其他情形。</w:t>
            </w:r>
          </w:p>
        </w:tc>
      </w:tr>
    </w:tbl>
    <w:p>
      <w:r>
        <w:rPr>
          <w:rFonts w:hint="eastAsia"/>
        </w:rPr>
        <w:br w:type="textWrapping"/>
      </w:r>
      <w:r>
        <w:rPr>
          <w:rFonts w:hint="eastAsia"/>
        </w:rPr>
        <w:br w:type="textWrapping"/>
      </w:r>
    </w:p>
    <w:p>
      <w:r>
        <w:rPr>
          <w:rFonts w:hint="eastAsia"/>
        </w:rPr>
        <w:br w:type="textWrapping"/>
      </w:r>
      <w:r>
        <w:rPr>
          <w:rFonts w:hint="eastAsia"/>
        </w:rPr>
        <w:br w:type="textWrapping"/>
      </w:r>
    </w:p>
    <w:p>
      <w:pPr>
        <w:pStyle w:val="4"/>
        <w:jc w:val="center"/>
      </w:pPr>
      <w:r>
        <w:rPr>
          <w:rFonts w:hint="eastAsia"/>
        </w:rPr>
        <w:t>综合评分法</w:t>
      </w:r>
      <w:r>
        <w:t>评标信息</w:t>
      </w:r>
    </w:p>
    <w:p>
      <w:pPr>
        <w:rPr>
          <w:b/>
          <w:bCs/>
        </w:rPr>
      </w:pPr>
    </w:p>
    <w:tbl>
      <w:tblPr>
        <w:tblStyle w:val="43"/>
        <w:tblW w:w="9281" w:type="dxa"/>
        <w:jc w:val="center"/>
        <w:tblCellSpacing w:w="0" w:type="dxa"/>
        <w:tblLayout w:type="autofit"/>
        <w:tblCellMar>
          <w:top w:w="45" w:type="dxa"/>
          <w:left w:w="45" w:type="dxa"/>
          <w:bottom w:w="45" w:type="dxa"/>
          <w:right w:w="45" w:type="dxa"/>
        </w:tblCellMar>
      </w:tblPr>
      <w:tblGrid>
        <w:gridCol w:w="9281"/>
      </w:tblGrid>
      <w:tr>
        <w:trPr>
          <w:tblCellSpacing w:w="0" w:type="dxa"/>
          <w:jc w:val="center"/>
        </w:trPr>
        <w:tc>
          <w:tcPr>
            <w:tcW w:w="0" w:type="auto"/>
            <w:tcBorders>
              <w:top w:val="nil"/>
              <w:left w:val="nil"/>
              <w:bottom w:val="nil"/>
              <w:right w:val="nil"/>
            </w:tcBorders>
            <w:vAlign w:val="center"/>
          </w:tcPr>
          <w:p>
            <w:pPr>
              <w:rPr>
                <w:rFonts w:ascii="新宋体" w:hAnsi="新宋体" w:eastAsia="新宋体"/>
                <w:b/>
                <w:bCs/>
              </w:rPr>
            </w:pPr>
            <w:r>
              <w:rPr>
                <w:rFonts w:hint="eastAsia" w:ascii="新宋体" w:hAnsi="新宋体" w:eastAsia="新宋体"/>
                <w:b/>
                <w:bCs/>
              </w:rPr>
              <w:t xml:space="preserve">    </w:t>
            </w:r>
          </w:p>
          <w:p>
            <w:pPr>
              <w:ind w:firstLine="422" w:firstLineChars="200"/>
              <w:rPr>
                <w:rFonts w:ascii="新宋体" w:hAnsi="新宋体" w:eastAsia="新宋体"/>
                <w:b/>
                <w:bCs/>
              </w:rPr>
            </w:pPr>
            <w:r>
              <w:rPr>
                <w:rFonts w:hint="eastAsia" w:ascii="新宋体" w:hAnsi="新宋体" w:eastAsia="新宋体"/>
                <w:b/>
                <w:bCs/>
              </w:rPr>
              <w:t>一、</w:t>
            </w:r>
            <w:r>
              <w:rPr>
                <w:rFonts w:ascii="新宋体" w:hAnsi="新宋体" w:eastAsia="新宋体"/>
                <w:b/>
                <w:bCs/>
              </w:rPr>
              <w:t>评标方法：综合评分法（新价格分算法）</w:t>
            </w:r>
          </w:p>
        </w:tc>
      </w:tr>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ind w:firstLine="411" w:firstLineChars="196"/>
              <w:rPr>
                <w:rFonts w:ascii="新宋体" w:hAnsi="新宋体" w:eastAsia="新宋体"/>
              </w:rPr>
            </w:pPr>
            <w:r>
              <w:rPr>
                <w:rFonts w:hint="eastAsia" w:ascii="新宋体" w:hAnsi="新宋体" w:eastAsia="新宋体"/>
              </w:rPr>
              <w:t xml:space="preserve">   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r>
              <w:rPr>
                <w:rFonts w:ascii="新宋体" w:hAnsi="新宋体" w:eastAsia="新宋体"/>
              </w:rPr>
              <w:t xml:space="preserve"> </w:t>
            </w:r>
          </w:p>
          <w:p>
            <w:pPr>
              <w:rPr>
                <w:rFonts w:ascii="新宋体" w:hAnsi="新宋体" w:eastAsia="新宋体"/>
              </w:rPr>
            </w:pPr>
            <w:r>
              <w:rPr>
                <w:rFonts w:hint="eastAsia" w:ascii="新宋体" w:hAnsi="新宋体" w:eastAsia="新宋体"/>
              </w:rPr>
              <w:t xml:space="preserve">    </w:t>
            </w:r>
            <w:r>
              <w:rPr>
                <w:rFonts w:ascii="新宋体" w:hAnsi="新宋体" w:eastAsia="新宋体"/>
              </w:rPr>
              <w:t>价格分计算方法：</w:t>
            </w:r>
          </w:p>
          <w:p>
            <w:pPr>
              <w:rPr>
                <w:rFonts w:ascii="新宋体" w:hAnsi="新宋体" w:eastAsia="新宋体"/>
              </w:rPr>
            </w:pPr>
            <w:r>
              <w:rPr>
                <w:rFonts w:hint="eastAsia" w:ascii="新宋体" w:hAnsi="新宋体" w:eastAsia="新宋体"/>
              </w:rPr>
              <w:t xml:space="preserve">    </w:t>
            </w:r>
            <w:r>
              <w:rPr>
                <w:rFonts w:ascii="新宋体" w:hAnsi="新宋体" w:eastAsia="新宋体"/>
              </w:rPr>
              <w:t xml:space="preserve">采用低价优先法计算，即满足招标文件要求且投标价格最低的投标报价为评标基准价，其价格分为满分。其他投标人的价格分统一按照下列公式计算： </w:t>
            </w:r>
            <w:r>
              <w:rPr>
                <w:rFonts w:ascii="新宋体" w:hAnsi="新宋体" w:eastAsia="新宋体"/>
              </w:rPr>
              <w:br w:type="textWrapping"/>
            </w:r>
            <w:r>
              <w:rPr>
                <w:rFonts w:hint="eastAsia" w:ascii="新宋体" w:hAnsi="新宋体" w:eastAsia="新宋体"/>
              </w:rPr>
              <w:t xml:space="preserve">    </w:t>
            </w:r>
            <w:r>
              <w:rPr>
                <w:rFonts w:ascii="新宋体" w:hAnsi="新宋体" w:eastAsia="新宋体"/>
              </w:rPr>
              <w:t xml:space="preserve">投标报价得分=(评标基准价／投标报价)×100 </w:t>
            </w:r>
            <w:r>
              <w:rPr>
                <w:rFonts w:ascii="新宋体" w:hAnsi="新宋体" w:eastAsia="新宋体"/>
              </w:rPr>
              <w:br w:type="textWrapping"/>
            </w:r>
            <w:r>
              <w:rPr>
                <w:rFonts w:hint="eastAsia" w:ascii="新宋体" w:hAnsi="新宋体" w:eastAsia="新宋体"/>
              </w:rPr>
              <w:t xml:space="preserve">    </w:t>
            </w:r>
            <w:r>
              <w:rPr>
                <w:rFonts w:ascii="新宋体" w:hAnsi="新宋体" w:eastAsia="新宋体"/>
              </w:rPr>
              <w:t xml:space="preserve">评标总得分＝F1×A1＋F2×A2＋……＋Fn×An </w:t>
            </w:r>
            <w:r>
              <w:rPr>
                <w:rFonts w:ascii="新宋体" w:hAnsi="新宋体" w:eastAsia="新宋体"/>
              </w:rPr>
              <w:br w:type="textWrapping"/>
            </w:r>
            <w:r>
              <w:rPr>
                <w:rFonts w:hint="eastAsia" w:ascii="新宋体" w:hAnsi="新宋体" w:eastAsia="新宋体"/>
              </w:rPr>
              <w:t xml:space="preserve">    </w:t>
            </w:r>
            <w:r>
              <w:rPr>
                <w:rFonts w:ascii="新宋体" w:hAnsi="新宋体" w:eastAsia="新宋体"/>
              </w:rPr>
              <w:t xml:space="preserve">F1、F2……Fn分别为各项评审因素的得分； </w:t>
            </w:r>
            <w:r>
              <w:rPr>
                <w:rFonts w:ascii="新宋体" w:hAnsi="新宋体" w:eastAsia="新宋体"/>
              </w:rPr>
              <w:br w:type="textWrapping"/>
            </w:r>
            <w:r>
              <w:rPr>
                <w:rFonts w:hint="eastAsia" w:ascii="新宋体" w:hAnsi="新宋体" w:eastAsia="新宋体"/>
              </w:rPr>
              <w:t xml:space="preserve">    </w:t>
            </w:r>
            <w:r>
              <w:rPr>
                <w:rFonts w:ascii="新宋体" w:hAnsi="新宋体" w:eastAsia="新宋体"/>
              </w:rPr>
              <w:t xml:space="preserve">A1、A2、……An 分别为各项评审因素所占的权重(A1＋A2＋……＋An＝1)。 </w:t>
            </w:r>
            <w:r>
              <w:rPr>
                <w:rFonts w:ascii="新宋体" w:hAnsi="新宋体" w:eastAsia="新宋体"/>
              </w:rPr>
              <w:br w:type="textWrapping"/>
            </w:r>
            <w:r>
              <w:rPr>
                <w:rFonts w:hint="eastAsia" w:ascii="新宋体" w:hAnsi="新宋体" w:eastAsia="新宋体"/>
              </w:rPr>
              <w:t xml:space="preserve">    </w:t>
            </w:r>
            <w:r>
              <w:rPr>
                <w:rFonts w:ascii="新宋体" w:hAnsi="新宋体" w:eastAsia="新宋体"/>
              </w:rPr>
              <w:t xml:space="preserve">评标过程中，不得去掉报价中的最高报价和最低报价。 </w:t>
            </w:r>
            <w:r>
              <w:rPr>
                <w:rFonts w:ascii="新宋体" w:hAnsi="新宋体" w:eastAsia="新宋体"/>
              </w:rPr>
              <w:br w:type="textWrapping"/>
            </w:r>
            <w:r>
              <w:rPr>
                <w:rFonts w:hint="eastAsia" w:ascii="新宋体" w:hAnsi="新宋体" w:eastAsia="新宋体"/>
              </w:rPr>
              <w:t xml:space="preserve">    </w:t>
            </w:r>
            <w:r>
              <w:rPr>
                <w:rFonts w:ascii="新宋体" w:hAnsi="新宋体" w:eastAsia="新宋体"/>
              </w:rPr>
              <w:t xml:space="preserve">此方法适用于货物类、服务类、工程类项目。 </w:t>
            </w:r>
          </w:p>
          <w:p>
            <w:pPr>
              <w:rPr>
                <w:rFonts w:ascii="新宋体" w:hAnsi="新宋体" w:eastAsia="新宋体"/>
                <w:b/>
                <w:bCs/>
              </w:rPr>
            </w:pPr>
            <w:r>
              <w:rPr>
                <w:rFonts w:hint="eastAsia" w:ascii="新宋体" w:hAnsi="新宋体" w:eastAsia="新宋体"/>
                <w:b/>
                <w:bCs/>
              </w:rPr>
              <w:t xml:space="preserve">   </w:t>
            </w:r>
          </w:p>
        </w:tc>
      </w:tr>
    </w:tbl>
    <w:p>
      <w:pPr>
        <w:rPr>
          <w:b/>
          <w:bCs/>
        </w:rPr>
      </w:pPr>
      <w:r>
        <w:rPr>
          <w:rFonts w:hint="eastAsia"/>
          <w:b/>
          <w:bCs/>
        </w:rPr>
        <w:t>二、评标信息</w:t>
      </w:r>
    </w:p>
    <w:p>
      <w:pPr>
        <w:rPr>
          <w:color w:val="FF0000"/>
        </w:rPr>
      </w:pPr>
    </w:p>
    <w:p>
      <w:pPr>
        <w:rPr>
          <w:rFonts w:ascii="宋体" w:hAnsi="宋体"/>
          <w:b/>
        </w:rPr>
      </w:pPr>
    </w:p>
    <w:tbl>
      <w:tblPr>
        <w:tblStyle w:val="43"/>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69"/>
        <w:gridCol w:w="467"/>
        <w:gridCol w:w="1664"/>
        <w:gridCol w:w="719"/>
        <w:gridCol w:w="5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469" w:type="dxa"/>
            <w:shd w:val="clear" w:color="auto" w:fill="E6EFFA"/>
            <w:vAlign w:val="center"/>
          </w:tcPr>
          <w:p>
            <w:pPr>
              <w:adjustRightInd w:val="0"/>
              <w:snapToGrid w:val="0"/>
              <w:spacing w:line="240" w:lineRule="atLeast"/>
              <w:rPr>
                <w:rFonts w:ascii="宋体" w:hAnsi="宋体" w:cs="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序号</w:t>
            </w:r>
          </w:p>
        </w:tc>
        <w:tc>
          <w:tcPr>
            <w:tcW w:w="2850" w:type="dxa"/>
            <w:gridSpan w:val="3"/>
            <w:shd w:val="clear" w:color="auto" w:fill="E6EFFA"/>
            <w:vAlign w:val="center"/>
          </w:tcPr>
          <w:p>
            <w:pPr>
              <w:adjustRightInd w:val="0"/>
              <w:snapToGrid w:val="0"/>
              <w:spacing w:line="240" w:lineRule="atLeast"/>
              <w:jc w:val="center"/>
              <w:rPr>
                <w:rFonts w:ascii="宋体" w:hAnsi="宋体" w:cs="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评分项</w:t>
            </w:r>
          </w:p>
        </w:tc>
        <w:tc>
          <w:tcPr>
            <w:tcW w:w="5028" w:type="dxa"/>
            <w:shd w:val="clear" w:color="auto" w:fill="E6EFFA"/>
            <w:vAlign w:val="center"/>
          </w:tcPr>
          <w:p>
            <w:pPr>
              <w:adjustRightInd w:val="0"/>
              <w:snapToGrid w:val="0"/>
              <w:spacing w:line="240" w:lineRule="atLeast"/>
              <w:ind w:firstLine="422"/>
              <w:jc w:val="center"/>
              <w:rPr>
                <w:rFonts w:ascii="宋体" w:hAnsi="宋体" w:cs="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469" w:type="dxa"/>
          </w:tcPr>
          <w:p>
            <w:pPr>
              <w:adjustRightInd w:val="0"/>
              <w:snapToGrid w:val="0"/>
              <w:spacing w:line="240" w:lineRule="atLeast"/>
              <w:jc w:val="center"/>
              <w:rPr>
                <w:rFonts w:ascii="宋体" w:hAnsi="宋体" w:cs="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1</w:t>
            </w:r>
          </w:p>
        </w:tc>
        <w:tc>
          <w:tcPr>
            <w:tcW w:w="2850" w:type="dxa"/>
            <w:gridSpan w:val="3"/>
          </w:tcPr>
          <w:p>
            <w:pPr>
              <w:adjustRightInd w:val="0"/>
              <w:snapToGrid w:val="0"/>
              <w:spacing w:line="24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价格</w:t>
            </w:r>
          </w:p>
        </w:tc>
        <w:tc>
          <w:tcPr>
            <w:tcW w:w="5028" w:type="dxa"/>
          </w:tcPr>
          <w:p>
            <w:pPr>
              <w:adjustRightInd w:val="0"/>
              <w:snapToGrid w:val="0"/>
              <w:spacing w:line="240" w:lineRule="atLeast"/>
              <w:ind w:firstLine="482"/>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469" w:type="dxa"/>
            <w:vMerge w:val="restart"/>
          </w:tcPr>
          <w:p>
            <w:pPr>
              <w:adjustRightInd w:val="0"/>
              <w:snapToGrid w:val="0"/>
              <w:spacing w:line="240" w:lineRule="atLeast"/>
              <w:jc w:val="center"/>
              <w:rPr>
                <w:rFonts w:ascii="宋体" w:hAnsi="宋体" w:cs="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2</w:t>
            </w:r>
          </w:p>
        </w:tc>
        <w:tc>
          <w:tcPr>
            <w:tcW w:w="2850" w:type="dxa"/>
            <w:gridSpan w:val="3"/>
          </w:tcPr>
          <w:p>
            <w:pPr>
              <w:adjustRightInd w:val="0"/>
              <w:snapToGrid w:val="0"/>
              <w:spacing w:line="240" w:lineRule="atLeast"/>
              <w:ind w:firstLine="63"/>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技术部分</w:t>
            </w:r>
          </w:p>
        </w:tc>
        <w:tc>
          <w:tcPr>
            <w:tcW w:w="5028" w:type="dxa"/>
          </w:tcPr>
          <w:p>
            <w:pPr>
              <w:adjustRightInd w:val="0"/>
              <w:snapToGrid w:val="0"/>
              <w:spacing w:line="240" w:lineRule="atLeast"/>
              <w:ind w:firstLine="482"/>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469" w:type="dxa"/>
            <w:vMerge w:val="continue"/>
            <w:shd w:val="clear" w:color="auto" w:fill="E6EFFA"/>
            <w:vAlign w:val="center"/>
          </w:tcPr>
          <w:p>
            <w:pPr>
              <w:adjustRightInd w:val="0"/>
              <w:snapToGrid w:val="0"/>
              <w:spacing w:line="240" w:lineRule="atLeast"/>
              <w:ind w:firstLine="482"/>
              <w:rPr>
                <w:rFonts w:ascii="宋体" w:hAnsi="宋体" w:cs="宋体"/>
                <w:b/>
                <w:bCs/>
                <w:color w:val="000000" w:themeColor="text1"/>
                <w:szCs w:val="21"/>
                <w14:textFill>
                  <w14:solidFill>
                    <w14:schemeClr w14:val="tx1"/>
                  </w14:solidFill>
                </w14:textFill>
              </w:rPr>
            </w:pPr>
          </w:p>
        </w:tc>
        <w:tc>
          <w:tcPr>
            <w:tcW w:w="467" w:type="dxa"/>
            <w:shd w:val="clear" w:color="auto" w:fill="E6EFFA"/>
            <w:vAlign w:val="center"/>
          </w:tcPr>
          <w:p>
            <w:pPr>
              <w:adjustRightInd w:val="0"/>
              <w:snapToGrid w:val="0"/>
              <w:spacing w:line="240" w:lineRule="atLeast"/>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序号</w:t>
            </w:r>
          </w:p>
        </w:tc>
        <w:tc>
          <w:tcPr>
            <w:tcW w:w="1664" w:type="dxa"/>
            <w:shd w:val="clear" w:color="auto" w:fill="E6EFFA"/>
            <w:vAlign w:val="center"/>
          </w:tcPr>
          <w:p>
            <w:pPr>
              <w:adjustRightInd w:val="0"/>
              <w:snapToGrid w:val="0"/>
              <w:spacing w:line="240" w:lineRule="atLeast"/>
              <w:ind w:firstLine="420"/>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评分因素</w:t>
            </w:r>
          </w:p>
        </w:tc>
        <w:tc>
          <w:tcPr>
            <w:tcW w:w="719" w:type="dxa"/>
            <w:shd w:val="clear" w:color="auto" w:fill="E6EFFA"/>
            <w:vAlign w:val="center"/>
          </w:tcPr>
          <w:p>
            <w:pPr>
              <w:adjustRightInd w:val="0"/>
              <w:snapToGrid w:val="0"/>
              <w:spacing w:line="240" w:lineRule="atLeast"/>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权重</w:t>
            </w:r>
          </w:p>
        </w:tc>
        <w:tc>
          <w:tcPr>
            <w:tcW w:w="5028" w:type="dxa"/>
            <w:shd w:val="clear" w:color="auto" w:fill="E6EFFA"/>
            <w:vAlign w:val="center"/>
          </w:tcPr>
          <w:p>
            <w:pPr>
              <w:adjustRightInd w:val="0"/>
              <w:snapToGrid w:val="0"/>
              <w:spacing w:line="240" w:lineRule="atLeast"/>
              <w:ind w:firstLine="420"/>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850" w:hRule="atLeast"/>
          <w:jc w:val="center"/>
        </w:trPr>
        <w:tc>
          <w:tcPr>
            <w:tcW w:w="469" w:type="dxa"/>
            <w:vMerge w:val="continue"/>
            <w:vAlign w:val="center"/>
          </w:tcPr>
          <w:p>
            <w:pPr>
              <w:adjustRightInd w:val="0"/>
              <w:snapToGrid w:val="0"/>
              <w:spacing w:line="240" w:lineRule="atLeast"/>
              <w:ind w:firstLine="482"/>
              <w:rPr>
                <w:rFonts w:ascii="宋体" w:hAnsi="宋体" w:cs="宋体"/>
                <w:b/>
                <w:bCs/>
                <w:color w:val="000000" w:themeColor="text1"/>
                <w:szCs w:val="21"/>
                <w14:textFill>
                  <w14:solidFill>
                    <w14:schemeClr w14:val="tx1"/>
                  </w14:solidFill>
                </w14:textFill>
              </w:rPr>
            </w:pPr>
          </w:p>
        </w:tc>
        <w:tc>
          <w:tcPr>
            <w:tcW w:w="46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66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w:t>
            </w:r>
          </w:p>
        </w:tc>
        <w:tc>
          <w:tcPr>
            <w:tcW w:w="71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5028" w:type="dxa"/>
            <w:vAlign w:val="center"/>
          </w:tcPr>
          <w:p>
            <w:pPr>
              <w:spacing w:line="276" w:lineRule="auto"/>
              <w:rPr>
                <w:rFonts w:ascii="新宋体" w:hAnsi="新宋体" w:eastAsia="新宋体"/>
                <w:b/>
                <w:color w:val="000000" w:themeColor="text1"/>
                <w:szCs w:val="21"/>
                <w14:textFill>
                  <w14:solidFill>
                    <w14:schemeClr w14:val="tx1"/>
                  </w14:solidFill>
                </w14:textFill>
              </w:rPr>
            </w:pPr>
            <w:r>
              <w:rPr>
                <w:rFonts w:hint="eastAsia" w:ascii="新宋体" w:hAnsi="新宋体" w:eastAsia="新宋体"/>
                <w:b/>
                <w:color w:val="000000" w:themeColor="text1"/>
                <w:szCs w:val="21"/>
                <w14:textFill>
                  <w14:solidFill>
                    <w14:schemeClr w14:val="tx1"/>
                  </w14:solidFill>
                </w14:textFill>
              </w:rPr>
              <w:t>评审内容：</w:t>
            </w:r>
          </w:p>
          <w:p>
            <w:pPr>
              <w:spacing w:line="276"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根据投标人实施方案在项目理解的全面性、透彻性、内容具体化、完善程度、且有针对性、可操作性等。</w:t>
            </w:r>
          </w:p>
          <w:p>
            <w:pPr>
              <w:spacing w:line="276" w:lineRule="auto"/>
              <w:rPr>
                <w:rFonts w:ascii="新宋体" w:hAnsi="新宋体" w:eastAsia="新宋体"/>
                <w:b/>
                <w:color w:val="000000" w:themeColor="text1"/>
                <w:szCs w:val="21"/>
                <w14:textFill>
                  <w14:solidFill>
                    <w14:schemeClr w14:val="tx1"/>
                  </w14:solidFill>
                </w14:textFill>
              </w:rPr>
            </w:pPr>
            <w:r>
              <w:rPr>
                <w:rFonts w:hint="eastAsia" w:ascii="新宋体" w:hAnsi="新宋体" w:eastAsia="新宋体"/>
                <w:b/>
                <w:color w:val="000000" w:themeColor="text1"/>
                <w:szCs w:val="21"/>
                <w14:textFill>
                  <w14:solidFill>
                    <w14:schemeClr w14:val="tx1"/>
                  </w14:solidFill>
                </w14:textFill>
              </w:rPr>
              <w:t>评审标准：</w:t>
            </w:r>
          </w:p>
          <w:p>
            <w:pPr>
              <w:spacing w:line="276"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（1）对本项目的理解准确，对项目现状、服务内容、服务要求有较高的针对性方案；</w:t>
            </w:r>
          </w:p>
          <w:p>
            <w:pPr>
              <w:spacing w:line="276"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（2）对本项目有针对性详细分析，对工作措施、工作方案、工作手段、工作流程等的科学性方案；</w:t>
            </w:r>
          </w:p>
          <w:p>
            <w:pPr>
              <w:spacing w:line="276"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（3）对本项目实施方案详细，合理性，整体方案设计先进性；</w:t>
            </w:r>
          </w:p>
          <w:p>
            <w:pPr>
              <w:spacing w:line="276"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（4）对本项目贴切项目实际情况，前瞻性及完善程度进行整体计划制定。</w:t>
            </w:r>
          </w:p>
          <w:p>
            <w:pPr>
              <w:jc w:val="left"/>
              <w:rPr>
                <w:rFonts w:ascii="宋体" w:hAnsi="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满足以上四项得100%分，满足以上三项得80%分，满足以上两项得60%分。未提供方案的不得分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059" w:hRule="atLeast"/>
          <w:jc w:val="center"/>
        </w:trPr>
        <w:tc>
          <w:tcPr>
            <w:tcW w:w="469" w:type="dxa"/>
            <w:vMerge w:val="continue"/>
            <w:vAlign w:val="center"/>
          </w:tcPr>
          <w:p>
            <w:pPr>
              <w:adjustRightInd w:val="0"/>
              <w:snapToGrid w:val="0"/>
              <w:spacing w:line="240" w:lineRule="atLeast"/>
              <w:ind w:firstLine="482"/>
              <w:rPr>
                <w:rFonts w:ascii="宋体" w:hAnsi="宋体" w:cs="宋体"/>
                <w:b/>
                <w:bCs/>
                <w:color w:val="000000" w:themeColor="text1"/>
                <w:szCs w:val="21"/>
                <w14:textFill>
                  <w14:solidFill>
                    <w14:schemeClr w14:val="tx1"/>
                  </w14:solidFill>
                </w14:textFill>
              </w:rPr>
            </w:pPr>
          </w:p>
        </w:tc>
        <w:tc>
          <w:tcPr>
            <w:tcW w:w="46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66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技术参数技术响应程度</w:t>
            </w:r>
          </w:p>
        </w:tc>
        <w:tc>
          <w:tcPr>
            <w:tcW w:w="71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w:t>
            </w:r>
          </w:p>
        </w:tc>
        <w:tc>
          <w:tcPr>
            <w:tcW w:w="5028" w:type="dxa"/>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所投产品针对招标文件中各设备的技术参数、相关证明材料等要求的满足程度进行评审，满分100%分。所投产品带▲号参数有一项指标不满足或负偏离的扣15%分；非▲号参数有一项指标不满足或负偏离的扣5%分，直至扣完为止.</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证明文件：需要提供证相应证明文件的，则按照招标文件要求提供。如未按要求提供证明材料，或所提供的证明材料未能体现上述评分内容的，视为全部参数不满足，予以扣分。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469" w:type="dxa"/>
            <w:vMerge w:val="restart"/>
            <w:vAlign w:val="center"/>
          </w:tcPr>
          <w:p>
            <w:pPr>
              <w:adjustRightInd w:val="0"/>
              <w:snapToGrid w:val="0"/>
              <w:spacing w:line="240" w:lineRule="atLeast"/>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3</w:t>
            </w:r>
          </w:p>
        </w:tc>
        <w:tc>
          <w:tcPr>
            <w:tcW w:w="2850" w:type="dxa"/>
            <w:gridSpan w:val="3"/>
          </w:tcPr>
          <w:p>
            <w:pPr>
              <w:adjustRightInd w:val="0"/>
              <w:snapToGrid w:val="0"/>
              <w:spacing w:line="240" w:lineRule="atLeast"/>
              <w:ind w:firstLine="63"/>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商务部分</w:t>
            </w:r>
          </w:p>
        </w:tc>
        <w:tc>
          <w:tcPr>
            <w:tcW w:w="5028" w:type="dxa"/>
          </w:tcPr>
          <w:p>
            <w:pPr>
              <w:adjustRightInd w:val="0"/>
              <w:snapToGrid w:val="0"/>
              <w:spacing w:line="240" w:lineRule="atLeast"/>
              <w:ind w:firstLine="482"/>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469" w:type="dxa"/>
            <w:vMerge w:val="continue"/>
            <w:shd w:val="clear" w:color="auto" w:fill="E6EFFA"/>
            <w:vAlign w:val="center"/>
          </w:tcPr>
          <w:p>
            <w:pPr>
              <w:adjustRightInd w:val="0"/>
              <w:snapToGrid w:val="0"/>
              <w:spacing w:line="240" w:lineRule="atLeast"/>
              <w:ind w:firstLine="482"/>
              <w:jc w:val="center"/>
              <w:rPr>
                <w:rFonts w:ascii="宋体" w:hAnsi="宋体" w:cs="宋体"/>
                <w:b/>
                <w:bCs/>
                <w:color w:val="000000" w:themeColor="text1"/>
                <w:szCs w:val="21"/>
                <w14:textFill>
                  <w14:solidFill>
                    <w14:schemeClr w14:val="tx1"/>
                  </w14:solidFill>
                </w14:textFill>
              </w:rPr>
            </w:pPr>
          </w:p>
        </w:tc>
        <w:tc>
          <w:tcPr>
            <w:tcW w:w="467" w:type="dxa"/>
            <w:shd w:val="clear" w:color="auto" w:fill="E6EFFA"/>
            <w:vAlign w:val="center"/>
          </w:tcPr>
          <w:p>
            <w:pPr>
              <w:adjustRightInd w:val="0"/>
              <w:snapToGrid w:val="0"/>
              <w:spacing w:line="240" w:lineRule="atLeast"/>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序号</w:t>
            </w:r>
          </w:p>
        </w:tc>
        <w:tc>
          <w:tcPr>
            <w:tcW w:w="1664" w:type="dxa"/>
            <w:shd w:val="clear" w:color="auto" w:fill="E6EFFA"/>
            <w:vAlign w:val="center"/>
          </w:tcPr>
          <w:p>
            <w:pPr>
              <w:adjustRightInd w:val="0"/>
              <w:snapToGrid w:val="0"/>
              <w:spacing w:line="240" w:lineRule="atLeast"/>
              <w:ind w:firstLine="420"/>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评分因素</w:t>
            </w:r>
          </w:p>
        </w:tc>
        <w:tc>
          <w:tcPr>
            <w:tcW w:w="719" w:type="dxa"/>
            <w:shd w:val="clear" w:color="auto" w:fill="E6EFFA"/>
            <w:vAlign w:val="center"/>
          </w:tcPr>
          <w:p>
            <w:pPr>
              <w:adjustRightInd w:val="0"/>
              <w:snapToGrid w:val="0"/>
              <w:spacing w:line="24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权重</w:t>
            </w:r>
          </w:p>
        </w:tc>
        <w:tc>
          <w:tcPr>
            <w:tcW w:w="5028" w:type="dxa"/>
            <w:shd w:val="clear" w:color="auto" w:fill="E6EFFA"/>
            <w:vAlign w:val="center"/>
          </w:tcPr>
          <w:p>
            <w:pPr>
              <w:adjustRightInd w:val="0"/>
              <w:snapToGrid w:val="0"/>
              <w:spacing w:line="240" w:lineRule="atLeast"/>
              <w:ind w:firstLine="420"/>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469" w:type="dxa"/>
            <w:vMerge w:val="continue"/>
            <w:shd w:val="clear" w:color="auto" w:fill="E6EFFA"/>
            <w:vAlign w:val="center"/>
          </w:tcPr>
          <w:p>
            <w:pPr>
              <w:adjustRightInd w:val="0"/>
              <w:snapToGrid w:val="0"/>
              <w:spacing w:line="240" w:lineRule="atLeast"/>
              <w:ind w:firstLine="482"/>
              <w:jc w:val="center"/>
              <w:rPr>
                <w:rFonts w:ascii="宋体" w:hAnsi="宋体" w:cs="宋体"/>
                <w:b/>
                <w:bCs/>
                <w:color w:val="000000" w:themeColor="text1"/>
                <w:szCs w:val="21"/>
                <w14:textFill>
                  <w14:solidFill>
                    <w14:schemeClr w14:val="tx1"/>
                  </w14:solidFill>
                </w14:textFill>
              </w:rPr>
            </w:pPr>
          </w:p>
        </w:tc>
        <w:tc>
          <w:tcPr>
            <w:tcW w:w="467" w:type="dxa"/>
            <w:vAlign w:val="center"/>
          </w:tcPr>
          <w:p>
            <w:pPr>
              <w:adjustRightInd w:val="0"/>
              <w:snapToGrid w:val="0"/>
              <w:spacing w:line="240" w:lineRule="atLeas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664" w:type="dxa"/>
            <w:vAlign w:val="center"/>
          </w:tcPr>
          <w:p>
            <w:pPr>
              <w:adjustRightInd w:val="0"/>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免费保修期内售后服务条款偏离情况</w:t>
            </w:r>
          </w:p>
        </w:tc>
        <w:tc>
          <w:tcPr>
            <w:tcW w:w="719" w:type="dxa"/>
            <w:vAlign w:val="center"/>
          </w:tcPr>
          <w:p>
            <w:pPr>
              <w:adjustRightInd w:val="0"/>
              <w:snapToGrid w:val="0"/>
              <w:spacing w:line="24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5028" w:type="dxa"/>
            <w:vAlign w:val="center"/>
          </w:tcPr>
          <w:p>
            <w:pPr>
              <w:snapToGrid w:val="0"/>
              <w:spacing w:line="28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在本项目免费保修期内售后服务条款要求的基础上，每增加一年的保修期，得50%分，最高得100%分。</w:t>
            </w:r>
          </w:p>
          <w:p>
            <w:pPr>
              <w:adjustRightInd w:val="0"/>
              <w:snapToGrid w:val="0"/>
              <w:spacing w:line="240" w:lineRule="atLeas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证明文件：提供加盖投标人公章的承诺书原件，未提供或提供的不符合要求的不得分。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469" w:type="dxa"/>
            <w:vMerge w:val="continue"/>
            <w:shd w:val="clear" w:color="auto" w:fill="E6EFFA"/>
            <w:vAlign w:val="center"/>
          </w:tcPr>
          <w:p>
            <w:pPr>
              <w:adjustRightInd w:val="0"/>
              <w:snapToGrid w:val="0"/>
              <w:spacing w:line="240" w:lineRule="atLeast"/>
              <w:ind w:firstLine="482"/>
              <w:jc w:val="center"/>
              <w:rPr>
                <w:rFonts w:ascii="宋体" w:hAnsi="宋体" w:cs="宋体"/>
                <w:b/>
                <w:bCs/>
                <w:color w:val="000000" w:themeColor="text1"/>
                <w:szCs w:val="21"/>
                <w14:textFill>
                  <w14:solidFill>
                    <w14:schemeClr w14:val="tx1"/>
                  </w14:solidFill>
                </w14:textFill>
              </w:rPr>
            </w:pPr>
          </w:p>
        </w:tc>
        <w:tc>
          <w:tcPr>
            <w:tcW w:w="467" w:type="dxa"/>
            <w:vAlign w:val="center"/>
          </w:tcPr>
          <w:p>
            <w:pPr>
              <w:adjustRightInd w:val="0"/>
              <w:snapToGrid w:val="0"/>
              <w:spacing w:line="24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664" w:type="dxa"/>
            <w:vAlign w:val="center"/>
          </w:tcPr>
          <w:p>
            <w:pPr>
              <w:adjustRightInd w:val="0"/>
              <w:snapToGrid w:val="0"/>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免费保修期外售后服务条款偏离情况</w:t>
            </w:r>
          </w:p>
        </w:tc>
        <w:tc>
          <w:tcPr>
            <w:tcW w:w="719" w:type="dxa"/>
            <w:vAlign w:val="center"/>
          </w:tcPr>
          <w:p>
            <w:pPr>
              <w:adjustRightInd w:val="0"/>
              <w:snapToGrid w:val="0"/>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5028" w:type="dxa"/>
            <w:vAlign w:val="center"/>
          </w:tcPr>
          <w:p>
            <w:pPr>
              <w:snapToGrid w:val="0"/>
              <w:spacing w:line="28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投标人应如实填写《商务条款偏离表》，评审委员会根据响应情况进行打分，全部满足要求的得100%分，每负偏离一项扣50%分。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469" w:type="dxa"/>
            <w:shd w:val="clear" w:color="auto" w:fill="FFFFFF" w:themeFill="background1"/>
            <w:vAlign w:val="center"/>
          </w:tcPr>
          <w:p>
            <w:pPr>
              <w:adjustRightInd w:val="0"/>
              <w:snapToGrid w:val="0"/>
              <w:spacing w:line="240" w:lineRule="atLeast"/>
              <w:ind w:firstLine="482"/>
              <w:jc w:val="center"/>
              <w:rPr>
                <w:rFonts w:ascii="宋体" w:hAnsi="宋体" w:cs="宋体"/>
                <w:b/>
                <w:bCs/>
                <w:color w:val="000000" w:themeColor="text1"/>
                <w:szCs w:val="21"/>
                <w14:textFill>
                  <w14:solidFill>
                    <w14:schemeClr w14:val="tx1"/>
                  </w14:solidFill>
                </w14:textFill>
              </w:rPr>
            </w:pPr>
          </w:p>
        </w:tc>
        <w:tc>
          <w:tcPr>
            <w:tcW w:w="467" w:type="dxa"/>
            <w:vAlign w:val="center"/>
          </w:tcPr>
          <w:p>
            <w:pPr>
              <w:adjustRightInd w:val="0"/>
              <w:snapToGrid w:val="0"/>
              <w:spacing w:line="24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664" w:type="dxa"/>
            <w:vAlign w:val="center"/>
          </w:tcPr>
          <w:p>
            <w:pPr>
              <w:jc w:val="cente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现场勘探</w:t>
            </w:r>
          </w:p>
        </w:tc>
        <w:tc>
          <w:tcPr>
            <w:tcW w:w="719" w:type="dxa"/>
            <w:vAlign w:val="center"/>
          </w:tcPr>
          <w:p>
            <w:pPr>
              <w:adjustRightInd w:val="0"/>
              <w:snapToGrid w:val="0"/>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5028" w:type="dxa"/>
          </w:tcPr>
          <w:p>
            <w:pPr>
              <w:rPr>
                <w:rFonts w:ascii="新宋体" w:hAnsi="新宋体" w:eastAsia="新宋体"/>
                <w:b/>
                <w:bCs/>
                <w:color w:val="000000" w:themeColor="text1"/>
                <w:spacing w:val="-1"/>
                <w:szCs w:val="21"/>
                <w14:textFill>
                  <w14:solidFill>
                    <w14:schemeClr w14:val="tx1"/>
                  </w14:solidFill>
                </w14:textFill>
              </w:rPr>
            </w:pPr>
            <w:r>
              <w:rPr>
                <w:rFonts w:hint="eastAsia" w:ascii="新宋体" w:hAnsi="新宋体" w:eastAsia="新宋体"/>
                <w:b/>
                <w:bCs/>
                <w:color w:val="000000" w:themeColor="text1"/>
                <w:spacing w:val="-1"/>
                <w:szCs w:val="21"/>
                <w14:textFill>
                  <w14:solidFill>
                    <w14:schemeClr w14:val="tx1"/>
                  </w14:solidFill>
                </w14:textFill>
              </w:rPr>
              <w:t>评审内容：</w:t>
            </w:r>
          </w:p>
          <w:p>
            <w:pPr>
              <w:rPr>
                <w:rFonts w:ascii="新宋体" w:hAnsi="新宋体" w:eastAsia="新宋体"/>
                <w:color w:val="000000" w:themeColor="text1"/>
                <w:spacing w:val="-1"/>
                <w:szCs w:val="21"/>
                <w14:textFill>
                  <w14:solidFill>
                    <w14:schemeClr w14:val="tx1"/>
                  </w14:solidFill>
                </w14:textFill>
              </w:rPr>
            </w:pPr>
            <w:r>
              <w:rPr>
                <w:rFonts w:hint="eastAsia" w:ascii="新宋体" w:hAnsi="新宋体" w:eastAsia="新宋体"/>
                <w:color w:val="000000" w:themeColor="text1"/>
                <w:spacing w:val="-1"/>
                <w:szCs w:val="21"/>
                <w14:textFill>
                  <w14:solidFill>
                    <w14:schemeClr w14:val="tx1"/>
                  </w14:solidFill>
                </w14:textFill>
              </w:rPr>
              <w:t>投标人须在</w:t>
            </w:r>
            <w:r>
              <w:rPr>
                <w:rFonts w:hint="eastAsia" w:ascii="新宋体" w:hAnsi="新宋体" w:eastAsia="新宋体"/>
                <w:color w:val="000000" w:themeColor="text1"/>
                <w:spacing w:val="-1"/>
                <w:szCs w:val="21"/>
                <w:u w:val="single"/>
                <w14:textFill>
                  <w14:solidFill>
                    <w14:schemeClr w14:val="tx1"/>
                  </w14:solidFill>
                </w14:textFill>
              </w:rPr>
              <w:t>2021年</w:t>
            </w:r>
            <w:r>
              <w:rPr>
                <w:rFonts w:hint="eastAsia" w:ascii="新宋体" w:hAnsi="新宋体" w:eastAsia="新宋体"/>
                <w:color w:val="000000" w:themeColor="text1"/>
                <w:spacing w:val="-1"/>
                <w:szCs w:val="21"/>
                <w:u w:val="single"/>
                <w:lang w:val="en-US" w:eastAsia="zh-CN"/>
                <w14:textFill>
                  <w14:solidFill>
                    <w14:schemeClr w14:val="tx1"/>
                  </w14:solidFill>
                </w14:textFill>
              </w:rPr>
              <w:t>07</w:t>
            </w:r>
            <w:r>
              <w:rPr>
                <w:rFonts w:hint="eastAsia" w:ascii="新宋体" w:hAnsi="新宋体" w:eastAsia="新宋体"/>
                <w:color w:val="000000" w:themeColor="text1"/>
                <w:spacing w:val="-1"/>
                <w:szCs w:val="21"/>
                <w:u w:val="single"/>
                <w14:textFill>
                  <w14:solidFill>
                    <w14:schemeClr w14:val="tx1"/>
                  </w14:solidFill>
                </w14:textFill>
              </w:rPr>
              <w:t>月</w:t>
            </w:r>
            <w:r>
              <w:rPr>
                <w:rFonts w:hint="eastAsia" w:ascii="新宋体" w:hAnsi="新宋体" w:eastAsia="新宋体"/>
                <w:color w:val="000000" w:themeColor="text1"/>
                <w:spacing w:val="-1"/>
                <w:szCs w:val="21"/>
                <w:u w:val="single"/>
                <w:lang w:val="en-US" w:eastAsia="zh-CN"/>
                <w14:textFill>
                  <w14:solidFill>
                    <w14:schemeClr w14:val="tx1"/>
                  </w14:solidFill>
                </w14:textFill>
              </w:rPr>
              <w:t>23</w:t>
            </w:r>
            <w:r>
              <w:rPr>
                <w:rFonts w:hint="eastAsia" w:ascii="新宋体" w:hAnsi="新宋体" w:eastAsia="新宋体"/>
                <w:color w:val="000000" w:themeColor="text1"/>
                <w:spacing w:val="-1"/>
                <w:szCs w:val="21"/>
                <w:u w:val="single"/>
                <w14:textFill>
                  <w14:solidFill>
                    <w14:schemeClr w14:val="tx1"/>
                  </w14:solidFill>
                </w14:textFill>
              </w:rPr>
              <w:t>日下午</w:t>
            </w:r>
            <w:r>
              <w:rPr>
                <w:rFonts w:hint="eastAsia" w:ascii="新宋体" w:hAnsi="新宋体" w:eastAsia="新宋体"/>
                <w:color w:val="000000" w:themeColor="text1"/>
                <w:spacing w:val="-1"/>
                <w:szCs w:val="21"/>
                <w:u w:val="single"/>
                <w:lang w:val="en-US" w:eastAsia="zh-CN"/>
                <w14:textFill>
                  <w14:solidFill>
                    <w14:schemeClr w14:val="tx1"/>
                  </w14:solidFill>
                </w14:textFill>
              </w:rPr>
              <w:t>15</w:t>
            </w:r>
            <w:r>
              <w:rPr>
                <w:rFonts w:hint="eastAsia" w:ascii="新宋体" w:hAnsi="新宋体" w:eastAsia="新宋体"/>
                <w:color w:val="000000" w:themeColor="text1"/>
                <w:spacing w:val="-1"/>
                <w:szCs w:val="21"/>
                <w:u w:val="single"/>
                <w14:textFill>
                  <w14:solidFill>
                    <w14:schemeClr w14:val="tx1"/>
                  </w14:solidFill>
                </w14:textFill>
              </w:rPr>
              <w:t>:</w:t>
            </w:r>
            <w:r>
              <w:rPr>
                <w:rFonts w:hint="eastAsia" w:ascii="新宋体" w:hAnsi="新宋体" w:eastAsia="新宋体"/>
                <w:color w:val="000000" w:themeColor="text1"/>
                <w:spacing w:val="-1"/>
                <w:szCs w:val="21"/>
                <w:u w:val="single"/>
                <w:lang w:val="en-US" w:eastAsia="zh-CN"/>
                <w14:textFill>
                  <w14:solidFill>
                    <w14:schemeClr w14:val="tx1"/>
                  </w14:solidFill>
                </w14:textFill>
              </w:rPr>
              <w:t>00</w:t>
            </w:r>
            <w:r>
              <w:rPr>
                <w:rFonts w:hint="eastAsia" w:ascii="新宋体" w:hAnsi="新宋体" w:eastAsia="新宋体"/>
                <w:color w:val="000000" w:themeColor="text1"/>
                <w:spacing w:val="-1"/>
                <w:szCs w:val="21"/>
                <w14:textFill>
                  <w14:solidFill>
                    <w14:schemeClr w14:val="tx1"/>
                  </w14:solidFill>
                </w14:textFill>
              </w:rPr>
              <w:t>（北京时间）</w:t>
            </w:r>
            <w:r>
              <w:rPr>
                <w:rFonts w:hint="eastAsia" w:cs="宋体"/>
                <w:color w:val="000000" w:themeColor="text1"/>
                <w:szCs w:val="21"/>
                <w14:textFill>
                  <w14:solidFill>
                    <w14:schemeClr w14:val="tx1"/>
                  </w14:solidFill>
                </w14:textFill>
              </w:rPr>
              <w:t>统一前往深圳市南山区前海学校大门保安室，由采购人统一组织安排现场勘探；同时提供</w:t>
            </w:r>
            <w:r>
              <w:rPr>
                <w:rFonts w:hint="eastAsia"/>
                <w:bCs/>
                <w:color w:val="000000" w:themeColor="text1"/>
                <w:szCs w:val="21"/>
                <w14:textFill>
                  <w14:solidFill>
                    <w14:schemeClr w14:val="tx1"/>
                  </w14:solidFill>
                </w14:textFill>
              </w:rPr>
              <w:t>课桌椅</w:t>
            </w:r>
            <w:r>
              <w:rPr>
                <w:rFonts w:hint="eastAsia" w:ascii="新宋体" w:hAnsi="新宋体" w:eastAsia="新宋体"/>
                <w:color w:val="000000" w:themeColor="text1"/>
                <w:szCs w:val="21"/>
                <w14:textFill>
                  <w14:solidFill>
                    <w14:schemeClr w14:val="tx1"/>
                  </w14:solidFill>
                </w14:textFill>
              </w:rPr>
              <w:t>样品提供给采购人</w:t>
            </w:r>
            <w:r>
              <w:rPr>
                <w:rFonts w:hint="eastAsia" w:cs="宋体"/>
                <w:color w:val="000000" w:themeColor="text1"/>
                <w:szCs w:val="21"/>
                <w14:textFill>
                  <w14:solidFill>
                    <w14:schemeClr w14:val="tx1"/>
                  </w14:solidFill>
                </w14:textFill>
              </w:rPr>
              <w:t>，</w:t>
            </w:r>
            <w:r>
              <w:rPr>
                <w:rFonts w:hint="eastAsia" w:ascii="新宋体" w:hAnsi="新宋体" w:eastAsia="新宋体"/>
                <w:color w:val="000000" w:themeColor="text1"/>
                <w:spacing w:val="-1"/>
                <w:szCs w:val="21"/>
                <w14:textFill>
                  <w14:solidFill>
                    <w14:schemeClr w14:val="tx1"/>
                  </w14:solidFill>
                </w14:textFill>
              </w:rPr>
              <w:t xml:space="preserve">并按照招标文件要求提供学校签字盖章确认的勘查证明文件。 </w:t>
            </w:r>
          </w:p>
          <w:p>
            <w:pPr>
              <w:rPr>
                <w:rFonts w:ascii="新宋体" w:hAnsi="新宋体" w:eastAsia="新宋体" w:cs="宋体"/>
                <w:b/>
                <w:bCs/>
                <w:color w:val="000000" w:themeColor="text1"/>
                <w:szCs w:val="21"/>
                <w14:textFill>
                  <w14:solidFill>
                    <w14:schemeClr w14:val="tx1"/>
                  </w14:solidFill>
                </w14:textFill>
              </w:rPr>
            </w:pPr>
            <w:r>
              <w:rPr>
                <w:rFonts w:hint="eastAsia" w:ascii="新宋体" w:hAnsi="新宋体" w:eastAsia="新宋体" w:cs="宋体"/>
                <w:b/>
                <w:bCs/>
                <w:color w:val="000000" w:themeColor="text1"/>
                <w:szCs w:val="21"/>
                <w14:textFill>
                  <w14:solidFill>
                    <w14:schemeClr w14:val="tx1"/>
                  </w14:solidFill>
                </w14:textFill>
              </w:rPr>
              <w:t>评审标准：</w:t>
            </w:r>
          </w:p>
          <w:p>
            <w:pPr>
              <w:rPr>
                <w:rFonts w:ascii="新宋体" w:hAnsi="新宋体" w:eastAsia="新宋体"/>
                <w:color w:val="000000" w:themeColor="text1"/>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提供加盖采购单位公章的踏勘回执扫描件（原件备查）。未提供不得分，未按要求提供或所提供的材料不清晰导致无法判断的或所提供的材料不能证明相关情况的不得分。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469" w:type="dxa"/>
            <w:vMerge w:val="restart"/>
            <w:vAlign w:val="center"/>
          </w:tcPr>
          <w:p>
            <w:pPr>
              <w:adjustRightInd w:val="0"/>
              <w:snapToGrid w:val="0"/>
              <w:spacing w:line="240" w:lineRule="atLeast"/>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4</w:t>
            </w:r>
          </w:p>
        </w:tc>
        <w:tc>
          <w:tcPr>
            <w:tcW w:w="2850" w:type="dxa"/>
            <w:gridSpan w:val="3"/>
          </w:tcPr>
          <w:p>
            <w:pPr>
              <w:adjustRightInd w:val="0"/>
              <w:snapToGrid w:val="0"/>
              <w:spacing w:line="240" w:lineRule="atLeast"/>
              <w:ind w:firstLine="63"/>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其他部分</w:t>
            </w:r>
          </w:p>
        </w:tc>
        <w:tc>
          <w:tcPr>
            <w:tcW w:w="5028" w:type="dxa"/>
          </w:tcPr>
          <w:p>
            <w:pPr>
              <w:adjustRightInd w:val="0"/>
              <w:snapToGrid w:val="0"/>
              <w:spacing w:line="240" w:lineRule="atLeast"/>
              <w:ind w:firstLine="482"/>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469" w:type="dxa"/>
            <w:vMerge w:val="continue"/>
            <w:shd w:val="clear" w:color="auto" w:fill="E6EFFA"/>
            <w:vAlign w:val="center"/>
          </w:tcPr>
          <w:p>
            <w:pPr>
              <w:adjustRightInd w:val="0"/>
              <w:snapToGrid w:val="0"/>
              <w:spacing w:line="240" w:lineRule="atLeast"/>
              <w:ind w:firstLine="482"/>
              <w:rPr>
                <w:rFonts w:ascii="宋体" w:hAnsi="宋体" w:cs="宋体"/>
                <w:b/>
                <w:bCs/>
                <w:color w:val="000000" w:themeColor="text1"/>
                <w:szCs w:val="21"/>
                <w14:textFill>
                  <w14:solidFill>
                    <w14:schemeClr w14:val="tx1"/>
                  </w14:solidFill>
                </w14:textFill>
              </w:rPr>
            </w:pPr>
          </w:p>
        </w:tc>
        <w:tc>
          <w:tcPr>
            <w:tcW w:w="467" w:type="dxa"/>
            <w:shd w:val="clear" w:color="auto" w:fill="E6EFFA"/>
            <w:vAlign w:val="center"/>
          </w:tcPr>
          <w:p>
            <w:pPr>
              <w:adjustRightInd w:val="0"/>
              <w:snapToGrid w:val="0"/>
              <w:spacing w:line="240" w:lineRule="atLeast"/>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序号</w:t>
            </w:r>
          </w:p>
        </w:tc>
        <w:tc>
          <w:tcPr>
            <w:tcW w:w="1664" w:type="dxa"/>
            <w:shd w:val="clear" w:color="auto" w:fill="E6EFFA"/>
            <w:vAlign w:val="center"/>
          </w:tcPr>
          <w:p>
            <w:pPr>
              <w:adjustRightInd w:val="0"/>
              <w:snapToGrid w:val="0"/>
              <w:spacing w:line="240" w:lineRule="atLeast"/>
              <w:ind w:firstLine="420"/>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评分因素</w:t>
            </w:r>
          </w:p>
        </w:tc>
        <w:tc>
          <w:tcPr>
            <w:tcW w:w="719" w:type="dxa"/>
            <w:shd w:val="clear" w:color="auto" w:fill="E6EFFA"/>
            <w:vAlign w:val="center"/>
          </w:tcPr>
          <w:p>
            <w:pPr>
              <w:adjustRightInd w:val="0"/>
              <w:snapToGrid w:val="0"/>
              <w:spacing w:line="24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权重</w:t>
            </w:r>
          </w:p>
        </w:tc>
        <w:tc>
          <w:tcPr>
            <w:tcW w:w="5028" w:type="dxa"/>
            <w:shd w:val="clear" w:color="auto" w:fill="E6EFFA"/>
            <w:vAlign w:val="center"/>
          </w:tcPr>
          <w:p>
            <w:pPr>
              <w:adjustRightInd w:val="0"/>
              <w:snapToGrid w:val="0"/>
              <w:spacing w:line="240" w:lineRule="atLeast"/>
              <w:ind w:firstLine="420"/>
              <w:jc w:val="center"/>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7" w:hRule="atLeast"/>
          <w:jc w:val="center"/>
        </w:trPr>
        <w:tc>
          <w:tcPr>
            <w:tcW w:w="469" w:type="dxa"/>
            <w:vMerge w:val="continue"/>
            <w:vAlign w:val="center"/>
          </w:tcPr>
          <w:p>
            <w:pPr>
              <w:adjustRightInd w:val="0"/>
              <w:snapToGrid w:val="0"/>
              <w:spacing w:line="240" w:lineRule="atLeast"/>
              <w:ind w:firstLine="482"/>
              <w:rPr>
                <w:rFonts w:ascii="宋体" w:hAnsi="宋体" w:cs="宋体"/>
                <w:b/>
                <w:bCs/>
                <w:color w:val="000000" w:themeColor="text1"/>
                <w:szCs w:val="21"/>
                <w14:textFill>
                  <w14:solidFill>
                    <w14:schemeClr w14:val="tx1"/>
                  </w14:solidFill>
                </w14:textFill>
              </w:rPr>
            </w:pPr>
          </w:p>
        </w:tc>
        <w:tc>
          <w:tcPr>
            <w:tcW w:w="467" w:type="dxa"/>
            <w:vAlign w:val="center"/>
          </w:tcPr>
          <w:p>
            <w:pPr>
              <w:adjustRightInd w:val="0"/>
              <w:snapToGrid w:val="0"/>
              <w:spacing w:line="240" w:lineRule="atLeas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1664"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诚信</w:t>
            </w:r>
          </w:p>
        </w:tc>
        <w:tc>
          <w:tcPr>
            <w:tcW w:w="719"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5028" w:type="dxa"/>
            <w:vAlign w:val="center"/>
          </w:tcPr>
          <w:p>
            <w:pPr>
              <w:snapToGrid w:val="0"/>
              <w:spacing w:line="280" w:lineRule="exact"/>
              <w:rPr>
                <w:rFonts w:ascii="宋体" w:hAnsi="宋体" w:cs="宋体"/>
                <w:color w:val="000000" w:themeColor="text1"/>
                <w:kern w:val="0"/>
                <w:szCs w:val="21"/>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2" w:hRule="atLeast"/>
          <w:jc w:val="center"/>
        </w:trPr>
        <w:tc>
          <w:tcPr>
            <w:tcW w:w="469" w:type="dxa"/>
            <w:vMerge w:val="continue"/>
            <w:vAlign w:val="center"/>
          </w:tcPr>
          <w:p>
            <w:pPr>
              <w:adjustRightInd w:val="0"/>
              <w:snapToGrid w:val="0"/>
              <w:spacing w:line="240" w:lineRule="atLeast"/>
              <w:ind w:firstLine="482"/>
              <w:rPr>
                <w:rFonts w:ascii="宋体" w:hAnsi="宋体" w:cs="宋体"/>
                <w:b/>
                <w:bCs/>
                <w:color w:val="000000" w:themeColor="text1"/>
                <w:szCs w:val="21"/>
                <w14:textFill>
                  <w14:solidFill>
                    <w14:schemeClr w14:val="tx1"/>
                  </w14:solidFill>
                </w14:textFill>
              </w:rPr>
            </w:pPr>
          </w:p>
        </w:tc>
        <w:tc>
          <w:tcPr>
            <w:tcW w:w="467" w:type="dxa"/>
            <w:vAlign w:val="center"/>
          </w:tcPr>
          <w:p>
            <w:pPr>
              <w:adjustRightInd w:val="0"/>
              <w:snapToGrid w:val="0"/>
              <w:spacing w:line="24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664" w:type="dxa"/>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履约</w:t>
            </w:r>
          </w:p>
        </w:tc>
        <w:tc>
          <w:tcPr>
            <w:tcW w:w="719" w:type="dxa"/>
            <w:vAlign w:val="center"/>
          </w:tcPr>
          <w:p>
            <w:pPr>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5028" w:type="dxa"/>
            <w:vAlign w:val="center"/>
          </w:tcPr>
          <w:p>
            <w:pPr>
              <w:snapToGrid w:val="0"/>
              <w:spacing w:line="28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近三年（以投标截止日期为准）在市政府采购中心有履约评价为差的记录，本项不得分，否则得满分。投标人无需提供任何证明材料，由工作人员向评委会提供相关信息。</w:t>
            </w:r>
          </w:p>
        </w:tc>
      </w:tr>
    </w:tbl>
    <w:p>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
    <w:p>
      <w:pPr>
        <w:pStyle w:val="5"/>
        <w:jc w:val="center"/>
        <w:rPr>
          <w:rFonts w:ascii="宋体" w:hAnsi="宋体" w:eastAsia="宋体"/>
          <w:szCs w:val="32"/>
        </w:rPr>
      </w:pPr>
      <w:r>
        <w:rPr>
          <w:rFonts w:hint="eastAsia" w:ascii="宋体" w:hAnsi="宋体" w:eastAsia="宋体"/>
          <w:szCs w:val="32"/>
        </w:rPr>
        <w:t xml:space="preserve"> 其它关键信息</w:t>
      </w:r>
    </w:p>
    <w:p>
      <w:pPr>
        <w:ind w:firstLine="3268" w:firstLineChars="1550"/>
        <w:rPr>
          <w:b/>
        </w:rPr>
      </w:pPr>
      <w:r>
        <w:rPr>
          <w:rFonts w:hint="eastAsia"/>
          <w:b/>
        </w:rPr>
        <w:t xml:space="preserve"> 一、评标定标信息</w:t>
      </w:r>
    </w:p>
    <w:p>
      <w:r>
        <w:rPr>
          <w:rFonts w:hint="eastAsia"/>
        </w:rPr>
        <w:t xml:space="preserve">                               </w:t>
      </w:r>
      <w:r>
        <w:rPr>
          <w:rFonts w:hint="eastAsia"/>
          <w:b/>
        </w:rPr>
        <w:t>非评定分离项目</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jc w:val="center"/>
            </w:pPr>
            <w:r>
              <w:rPr>
                <w:rFonts w:hint="eastAsia"/>
              </w:rPr>
              <w:t>评标方法</w:t>
            </w:r>
          </w:p>
        </w:tc>
        <w:tc>
          <w:tcPr>
            <w:tcW w:w="4265" w:type="dxa"/>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中标供应商家数</w:t>
            </w:r>
          </w:p>
        </w:tc>
        <w:tc>
          <w:tcPr>
            <w:tcW w:w="4265" w:type="dxa"/>
          </w:tcPr>
          <w:p>
            <w:pPr>
              <w:jc w:val="center"/>
            </w:pPr>
            <w:r>
              <w:rPr>
                <w:rFonts w:hint="eastAsia"/>
              </w:rPr>
              <w:t>1</w:t>
            </w:r>
          </w:p>
        </w:tc>
      </w:tr>
    </w:tbl>
    <w:p>
      <w:pPr>
        <w:ind w:left="420" w:firstLine="420"/>
      </w:pP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rPr>
        <w:t xml:space="preserve"> </w:t>
      </w:r>
      <w:r>
        <w:rPr>
          <w:rFonts w:hint="eastAsia" w:ascii="新宋体" w:hAnsi="新宋体" w:eastAsia="新宋体"/>
          <w:b/>
        </w:rPr>
        <w:t xml:space="preserve">                  二、关于享受优惠政策的主体及价格扣除比例</w:t>
      </w:r>
    </w:p>
    <w:p>
      <w:pPr>
        <w:spacing w:line="360" w:lineRule="auto"/>
        <w:ind w:firstLine="420" w:firstLineChars="200"/>
        <w:rPr>
          <w:rFonts w:ascii="新宋体" w:hAnsi="新宋体" w:eastAsia="新宋体"/>
        </w:rPr>
      </w:pPr>
      <w:r>
        <w:rPr>
          <w:rFonts w:hint="eastAsia" w:ascii="新宋体" w:hAnsi="新宋体" w:eastAsia="新宋体"/>
        </w:rPr>
        <w:t>（一）小型企业、微型企业、监狱企业、残疾人福利性单位提供本企业制造的货物，或者提供其他符合优惠主体资格条件企业制造的货物，</w:t>
      </w:r>
      <w:r>
        <w:rPr>
          <w:rFonts w:hint="eastAsia" w:ascii="新宋体" w:hAnsi="新宋体" w:eastAsia="新宋体"/>
          <w:b/>
        </w:rPr>
        <w:t>以及非小微企业提供（代理销售）小微企业制造的货物，</w:t>
      </w:r>
      <w:r>
        <w:rPr>
          <w:rFonts w:hint="eastAsia" w:ascii="新宋体" w:hAnsi="新宋体" w:eastAsia="新宋体"/>
        </w:rPr>
        <w:t>对其所投产品的价格给予</w:t>
      </w:r>
      <w:r>
        <w:rPr>
          <w:rFonts w:hint="eastAsia" w:ascii="新宋体" w:hAnsi="新宋体" w:eastAsia="新宋体"/>
          <w:u w:val="single"/>
        </w:rPr>
        <w:t>10</w:t>
      </w:r>
      <w:r>
        <w:rPr>
          <w:rFonts w:ascii="新宋体" w:hAnsi="新宋体" w:eastAsia="新宋体"/>
        </w:rPr>
        <w:t>%</w:t>
      </w:r>
      <w:r>
        <w:rPr>
          <w:rFonts w:hint="eastAsia" w:ascii="新宋体" w:hAnsi="新宋体" w:eastAsia="新宋体"/>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pPr>
        <w:spacing w:line="360" w:lineRule="auto"/>
        <w:ind w:firstLine="420" w:firstLineChars="200"/>
        <w:rPr>
          <w:rFonts w:ascii="新宋体" w:hAnsi="新宋体" w:eastAsia="新宋体"/>
        </w:rPr>
      </w:pPr>
      <w:r>
        <w:rPr>
          <w:rFonts w:hint="eastAsia" w:ascii="新宋体" w:hAnsi="新宋体" w:eastAsia="新宋体"/>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pPr>
        <w:spacing w:line="360" w:lineRule="auto"/>
        <w:jc w:val="center"/>
        <w:rPr>
          <w:rFonts w:ascii="新宋体" w:hAnsi="新宋体" w:eastAsia="新宋体"/>
          <w:b/>
        </w:rPr>
      </w:pPr>
      <w:r>
        <w:rPr>
          <w:rFonts w:hint="eastAsia" w:ascii="新宋体" w:hAnsi="新宋体" w:eastAsia="新宋体"/>
          <w:b/>
        </w:rPr>
        <w:t>三、关于失信供应商的价格上浮</w:t>
      </w:r>
    </w:p>
    <w:p>
      <w:pPr>
        <w:spacing w:line="360" w:lineRule="auto"/>
        <w:ind w:firstLine="420" w:firstLineChars="200"/>
        <w:rPr>
          <w:rFonts w:ascii="新宋体" w:hAnsi="新宋体" w:eastAsia="新宋体"/>
        </w:rPr>
      </w:pPr>
      <w:r>
        <w:rPr>
          <w:rFonts w:hint="eastAsia" w:ascii="新宋体" w:hAnsi="新宋体" w:eastAsia="新宋体"/>
        </w:rPr>
        <w:t>根据《深圳市财政委员会关于印发〈深圳市政府采购供应商诚信管理暂行办法操作细则〉的通知》（深财购〔</w:t>
      </w:r>
      <w:r>
        <w:rPr>
          <w:rFonts w:ascii="新宋体" w:hAnsi="新宋体" w:eastAsia="新宋体"/>
        </w:rPr>
        <w:t>2017</w:t>
      </w:r>
      <w:r>
        <w:rPr>
          <w:rFonts w:hint="eastAsia" w:ascii="新宋体" w:hAnsi="新宋体" w:eastAsia="新宋体"/>
        </w:rPr>
        <w:t>〕</w:t>
      </w:r>
      <w:r>
        <w:rPr>
          <w:rFonts w:ascii="新宋体" w:hAnsi="新宋体" w:eastAsia="新宋体"/>
        </w:rPr>
        <w:t xml:space="preserve">42 </w:t>
      </w:r>
      <w:r>
        <w:rPr>
          <w:rFonts w:hint="eastAsia" w:ascii="新宋体" w:hAnsi="新宋体" w:eastAsia="新宋体"/>
        </w:rPr>
        <w:t>号）的规定，采取价格评比法（比如最低价法）的项目，因违法违规行为被记入诚信档案的失信供应商最终报价在该企业最后一轮报价的基础上上浮</w:t>
      </w:r>
      <w:r>
        <w:rPr>
          <w:rFonts w:ascii="新宋体" w:hAnsi="新宋体" w:eastAsia="新宋体"/>
        </w:rPr>
        <w:t>10%</w:t>
      </w:r>
      <w:r>
        <w:rPr>
          <w:rFonts w:hint="eastAsia" w:ascii="新宋体" w:hAnsi="新宋体" w:eastAsia="新宋体"/>
        </w:rPr>
        <w:t>。失信供应商符合优惠主体资格的，价格扣除和价格上浮一并执行。</w:t>
      </w:r>
    </w:p>
    <w:p>
      <w:pPr>
        <w:spacing w:line="360" w:lineRule="auto"/>
        <w:jc w:val="center"/>
        <w:rPr>
          <w:rFonts w:ascii="新宋体" w:hAnsi="新宋体" w:eastAsia="新宋体"/>
          <w:b/>
        </w:rPr>
      </w:pPr>
      <w:r>
        <w:rPr>
          <w:rFonts w:hint="eastAsia" w:ascii="新宋体" w:hAnsi="新宋体" w:eastAsia="新宋体"/>
          <w:b/>
        </w:rPr>
        <w:t>四、其他说明</w:t>
      </w:r>
    </w:p>
    <w:p>
      <w:pPr>
        <w:spacing w:line="360" w:lineRule="auto"/>
        <w:ind w:firstLine="435"/>
        <w:jc w:val="left"/>
        <w:rPr>
          <w:rFonts w:ascii="新宋体" w:hAnsi="新宋体" w:eastAsia="新宋体"/>
        </w:rPr>
      </w:pPr>
      <w:r>
        <w:rPr>
          <w:rFonts w:hint="eastAsia" w:ascii="新宋体" w:hAnsi="新宋体" w:eastAsia="新宋体"/>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
    <w:p/>
    <w:p/>
    <w:p>
      <w:pPr>
        <w:pStyle w:val="2"/>
      </w:pPr>
      <w:r>
        <w:rPr>
          <w:rFonts w:hint="eastAsia"/>
        </w:rPr>
        <w:t>目   录</w:t>
      </w:r>
    </w:p>
    <w:p>
      <w:pPr>
        <w:spacing w:line="360" w:lineRule="auto"/>
        <w:rPr>
          <w:rFonts w:ascii="新宋体" w:hAnsi="新宋体" w:eastAsia="新宋体"/>
          <w:b/>
          <w:szCs w:val="21"/>
        </w:rPr>
      </w:pPr>
      <w:r>
        <w:rPr>
          <w:rFonts w:hint="eastAsia" w:ascii="新宋体" w:hAnsi="新宋体" w:eastAsia="新宋体"/>
          <w:b/>
          <w:szCs w:val="21"/>
        </w:rPr>
        <w:t>第一册  专用条款</w:t>
      </w:r>
    </w:p>
    <w:p>
      <w:pPr>
        <w:spacing w:line="360" w:lineRule="auto"/>
        <w:rPr>
          <w:rFonts w:ascii="新宋体" w:hAnsi="新宋体" w:eastAsia="新宋体"/>
          <w:szCs w:val="21"/>
        </w:rPr>
      </w:pPr>
      <w:r>
        <w:rPr>
          <w:rFonts w:hint="eastAsia" w:ascii="新宋体" w:hAnsi="新宋体" w:eastAsia="新宋体"/>
          <w:szCs w:val="21"/>
        </w:rPr>
        <w:t xml:space="preserve">          关键信息</w:t>
      </w:r>
    </w:p>
    <w:p>
      <w:pPr>
        <w:spacing w:line="360" w:lineRule="auto"/>
        <w:ind w:left="630" w:leftChars="300" w:firstLine="630" w:firstLineChars="300"/>
        <w:rPr>
          <w:rFonts w:ascii="新宋体" w:hAnsi="新宋体" w:eastAsia="新宋体"/>
          <w:szCs w:val="21"/>
        </w:rPr>
      </w:pPr>
      <w:r>
        <w:rPr>
          <w:rFonts w:hint="eastAsia" w:ascii="新宋体" w:hAnsi="新宋体" w:eastAsia="新宋体"/>
          <w:szCs w:val="21"/>
        </w:rPr>
        <w:t>第一章  招标公告</w:t>
      </w:r>
    </w:p>
    <w:p>
      <w:pPr>
        <w:spacing w:line="360" w:lineRule="auto"/>
        <w:ind w:left="630" w:leftChars="300" w:firstLine="630" w:firstLineChars="300"/>
        <w:rPr>
          <w:rFonts w:ascii="新宋体" w:hAnsi="新宋体" w:eastAsia="新宋体"/>
          <w:szCs w:val="21"/>
        </w:rPr>
      </w:pPr>
      <w:r>
        <w:rPr>
          <w:rFonts w:hint="eastAsia" w:ascii="新宋体" w:hAnsi="新宋体" w:eastAsia="新宋体"/>
          <w:szCs w:val="21"/>
        </w:rPr>
        <w:t>第二章  招标项目需求</w:t>
      </w:r>
    </w:p>
    <w:p>
      <w:pPr>
        <w:spacing w:line="360" w:lineRule="auto"/>
        <w:ind w:left="630" w:leftChars="300" w:firstLine="630" w:firstLineChars="300"/>
        <w:rPr>
          <w:rFonts w:ascii="新宋体" w:hAnsi="新宋体" w:eastAsia="新宋体"/>
          <w:szCs w:val="21"/>
        </w:rPr>
      </w:pPr>
      <w:r>
        <w:rPr>
          <w:rFonts w:hint="eastAsia" w:ascii="新宋体" w:hAnsi="新宋体" w:eastAsia="新宋体"/>
          <w:szCs w:val="21"/>
        </w:rPr>
        <w:t>第三章  投标文件格式、附件</w:t>
      </w:r>
    </w:p>
    <w:p>
      <w:pPr>
        <w:spacing w:line="360" w:lineRule="auto"/>
        <w:ind w:left="630" w:leftChars="300" w:firstLine="630" w:firstLineChars="300"/>
        <w:rPr>
          <w:rFonts w:ascii="新宋体" w:hAnsi="新宋体" w:eastAsia="新宋体"/>
          <w:szCs w:val="21"/>
        </w:rPr>
      </w:pPr>
      <w:r>
        <w:rPr>
          <w:rFonts w:hint="eastAsia" w:ascii="新宋体" w:hAnsi="新宋体" w:eastAsia="新宋体"/>
          <w:szCs w:val="21"/>
        </w:rPr>
        <w:t>第四章  政府采购合同的签订、履行及验收</w:t>
      </w:r>
    </w:p>
    <w:p>
      <w:pPr>
        <w:spacing w:line="360" w:lineRule="auto"/>
        <w:rPr>
          <w:rFonts w:ascii="新宋体" w:hAnsi="新宋体" w:eastAsia="新宋体"/>
          <w:b/>
          <w:szCs w:val="21"/>
        </w:rPr>
      </w:pPr>
    </w:p>
    <w:p>
      <w:pPr>
        <w:spacing w:line="360" w:lineRule="auto"/>
        <w:rPr>
          <w:rFonts w:ascii="新宋体" w:hAnsi="新宋体" w:eastAsia="新宋体"/>
          <w:b/>
          <w:szCs w:val="21"/>
        </w:rPr>
      </w:pPr>
      <w:r>
        <w:rPr>
          <w:rFonts w:hint="eastAsia" w:ascii="新宋体" w:hAnsi="新宋体" w:eastAsia="新宋体"/>
          <w:b/>
          <w:szCs w:val="21"/>
        </w:rPr>
        <w:t>第二册  通用条款</w:t>
      </w:r>
    </w:p>
    <w:p>
      <w:pPr>
        <w:spacing w:line="360" w:lineRule="auto"/>
        <w:ind w:firstLine="420" w:firstLineChars="200"/>
        <w:rPr>
          <w:rFonts w:ascii="新宋体" w:hAnsi="新宋体" w:eastAsia="新宋体"/>
          <w:szCs w:val="21"/>
        </w:rPr>
      </w:pPr>
      <w:r>
        <w:rPr>
          <w:rFonts w:hint="eastAsia" w:ascii="新宋体" w:hAnsi="新宋体" w:eastAsia="新宋体"/>
          <w:szCs w:val="21"/>
        </w:rPr>
        <w:t>通用条款内容可在深圳公共资源交易中心网站（</w:t>
      </w:r>
      <w:r>
        <w:rPr>
          <w:rFonts w:ascii="新宋体" w:hAnsi="新宋体" w:eastAsia="新宋体"/>
          <w:szCs w:val="21"/>
        </w:rPr>
        <w:t>www.szzfcg.cn</w:t>
      </w:r>
      <w:r>
        <w:rPr>
          <w:rFonts w:hint="eastAsia" w:ascii="新宋体" w:hAnsi="新宋体" w:eastAsia="新宋体"/>
          <w:szCs w:val="21"/>
        </w:rPr>
        <w:t>）以下栏目中查看（两处均可）：</w:t>
      </w:r>
    </w:p>
    <w:p>
      <w:pPr>
        <w:spacing w:line="360" w:lineRule="auto"/>
        <w:rPr>
          <w:rFonts w:ascii="新宋体" w:hAnsi="新宋体" w:eastAsia="新宋体"/>
          <w:szCs w:val="21"/>
        </w:rPr>
      </w:pPr>
      <w:r>
        <w:rPr>
          <w:rFonts w:hint="eastAsia" w:ascii="新宋体" w:hAnsi="新宋体" w:eastAsia="新宋体"/>
          <w:szCs w:val="21"/>
        </w:rPr>
        <w:t xml:space="preserve">     </w:t>
      </w: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hint="eastAsia" w:ascii="新宋体" w:hAnsi="新宋体" w:eastAsia="新宋体"/>
          <w:position w:val="-4"/>
          <w:szCs w:val="21"/>
        </w:rPr>
        <w:instrText xml:space="preserve">○</w:instrText>
      </w:r>
      <w:r>
        <w:rPr>
          <w:rFonts w:hint="eastAsia" w:ascii="新宋体" w:hAnsi="新宋体" w:eastAsia="新宋体"/>
          <w:szCs w:val="21"/>
        </w:rPr>
        <w:instrText xml:space="preserve">,1)</w:instrText>
      </w:r>
      <w:r>
        <w:rPr>
          <w:rFonts w:ascii="新宋体" w:hAnsi="新宋体" w:eastAsia="新宋体"/>
          <w:szCs w:val="21"/>
        </w:rPr>
        <w:fldChar w:fldCharType="end"/>
      </w:r>
      <w:r>
        <w:rPr>
          <w:rFonts w:hint="eastAsia" w:ascii="新宋体" w:hAnsi="新宋体" w:eastAsia="新宋体"/>
          <w:szCs w:val="21"/>
        </w:rPr>
        <w:t>“业务服务”—“面向供应商”—“采购文件模板”；</w:t>
      </w:r>
    </w:p>
    <w:p>
      <w:pPr>
        <w:spacing w:line="360" w:lineRule="auto"/>
        <w:rPr>
          <w:rFonts w:ascii="新宋体" w:hAnsi="新宋体" w:eastAsia="新宋体"/>
          <w:szCs w:val="21"/>
        </w:rPr>
      </w:pPr>
      <w:r>
        <w:rPr>
          <w:rFonts w:hint="eastAsia" w:ascii="新宋体" w:hAnsi="新宋体" w:eastAsia="新宋体"/>
          <w:szCs w:val="21"/>
        </w:rPr>
        <w:t xml:space="preserve">     </w:t>
      </w: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hint="eastAsia" w:ascii="新宋体" w:hAnsi="新宋体" w:eastAsia="新宋体"/>
          <w:position w:val="-4"/>
          <w:szCs w:val="21"/>
        </w:rPr>
        <w:instrText xml:space="preserve">○</w:instrText>
      </w:r>
      <w:r>
        <w:rPr>
          <w:rFonts w:hint="eastAsia" w:ascii="新宋体" w:hAnsi="新宋体" w:eastAsia="新宋体"/>
          <w:szCs w:val="21"/>
        </w:rPr>
        <w:instrText xml:space="preserve">,2)</w:instrText>
      </w:r>
      <w:r>
        <w:rPr>
          <w:rFonts w:ascii="新宋体" w:hAnsi="新宋体" w:eastAsia="新宋体"/>
          <w:szCs w:val="21"/>
        </w:rPr>
        <w:fldChar w:fldCharType="end"/>
      </w:r>
      <w:r>
        <w:rPr>
          <w:rFonts w:hint="eastAsia" w:ascii="新宋体" w:hAnsi="新宋体" w:eastAsia="新宋体"/>
          <w:szCs w:val="21"/>
        </w:rPr>
        <w:t>“业务服务”—“面向采购人”—“采购文件模板”。</w:t>
      </w:r>
    </w:p>
    <w:p>
      <w:pPr>
        <w:spacing w:line="360" w:lineRule="auto"/>
        <w:rPr>
          <w:rFonts w:ascii="新宋体" w:hAnsi="新宋体" w:eastAsia="新宋体"/>
          <w:b/>
          <w:szCs w:val="21"/>
        </w:rPr>
      </w:pPr>
      <w:r>
        <w:rPr>
          <w:rFonts w:hint="eastAsia" w:ascii="新宋体" w:hAnsi="新宋体" w:eastAsia="新宋体"/>
          <w:b/>
          <w:szCs w:val="21"/>
        </w:rPr>
        <w:t>备注：</w:t>
      </w:r>
    </w:p>
    <w:p>
      <w:pPr>
        <w:spacing w:line="360" w:lineRule="auto"/>
        <w:ind w:firstLine="420" w:firstLineChars="200"/>
        <w:rPr>
          <w:rFonts w:ascii="新宋体" w:hAnsi="新宋体" w:eastAsia="新宋体"/>
          <w:b/>
          <w:szCs w:val="21"/>
        </w:rPr>
      </w:pPr>
      <w:r>
        <w:rPr>
          <w:rFonts w:hint="eastAsia" w:ascii="新宋体" w:hAnsi="新宋体" w:eastAsia="新宋体"/>
          <w:szCs w:val="21"/>
        </w:rPr>
        <w:t>1.本招标文件分为第一册“专用条款”和第二册“通用条款”。</w:t>
      </w:r>
    </w:p>
    <w:p>
      <w:pPr>
        <w:spacing w:line="360" w:lineRule="auto"/>
        <w:ind w:firstLine="420" w:firstLineChars="200"/>
        <w:jc w:val="left"/>
        <w:rPr>
          <w:rFonts w:ascii="新宋体" w:hAnsi="新宋体" w:eastAsia="新宋体"/>
          <w:szCs w:val="21"/>
        </w:rPr>
      </w:pPr>
      <w:r>
        <w:rPr>
          <w:rFonts w:hint="eastAsia" w:ascii="新宋体" w:hAnsi="新宋体" w:eastAsia="新宋体"/>
          <w:szCs w:val="21"/>
        </w:rPr>
        <w:t>2.“专用条款”是对本次采购项目的具体要求，包含招标公告、招标项目需求、投标文件格式、合同条款及格式、附件等内容。</w:t>
      </w:r>
    </w:p>
    <w:p>
      <w:pPr>
        <w:spacing w:line="360" w:lineRule="auto"/>
        <w:ind w:firstLine="420" w:firstLineChars="200"/>
        <w:jc w:val="left"/>
        <w:rPr>
          <w:rFonts w:ascii="新宋体" w:hAnsi="新宋体" w:eastAsia="新宋体"/>
          <w:szCs w:val="21"/>
        </w:rPr>
      </w:pPr>
      <w:r>
        <w:rPr>
          <w:rFonts w:hint="eastAsia" w:ascii="新宋体" w:hAnsi="新宋体" w:eastAsia="新宋体"/>
          <w:szCs w:val="21"/>
        </w:rPr>
        <w:t>3.“通用条款”是通用于政府采购项目的基础性条款，具有普遍性和通用性。</w:t>
      </w:r>
    </w:p>
    <w:p>
      <w:pPr>
        <w:spacing w:line="360" w:lineRule="auto"/>
        <w:ind w:firstLine="420" w:firstLineChars="200"/>
        <w:jc w:val="left"/>
        <w:rPr>
          <w:rFonts w:ascii="新宋体" w:hAnsi="新宋体" w:eastAsia="新宋体"/>
          <w:szCs w:val="21"/>
        </w:rPr>
      </w:pPr>
      <w:r>
        <w:rPr>
          <w:rFonts w:hint="eastAsia" w:ascii="新宋体" w:hAnsi="新宋体" w:eastAsia="新宋体"/>
          <w:szCs w:val="21"/>
        </w:rPr>
        <w:t>4.当出现“专用条款”和“通用条款”表述不一致或有冲突时，以“专用条款”为准。</w:t>
      </w:r>
    </w:p>
    <w:p>
      <w:pPr>
        <w:pStyle w:val="2"/>
        <w:rPr>
          <w:color w:val="FF0000"/>
          <w:sz w:val="24"/>
        </w:rPr>
      </w:pPr>
      <w:r>
        <w:rPr>
          <w:color w:val="FF0000"/>
        </w:rPr>
        <w:br w:type="page"/>
      </w:r>
      <w:bookmarkStart w:id="0" w:name="bt投标报价汇总表"/>
      <w:bookmarkEnd w:id="0"/>
      <w:bookmarkStart w:id="1" w:name="bt本工程承诺书"/>
      <w:bookmarkEnd w:id="1"/>
      <w:bookmarkStart w:id="2" w:name="bt投标文件签署授权委托书"/>
      <w:bookmarkEnd w:id="2"/>
      <w:bookmarkStart w:id="3" w:name="bt投标人情况介绍"/>
      <w:bookmarkEnd w:id="3"/>
      <w:bookmarkStart w:id="4" w:name="bt开标一览表"/>
      <w:bookmarkEnd w:id="4"/>
      <w:bookmarkStart w:id="5" w:name="bt说明"/>
      <w:bookmarkEnd w:id="5"/>
      <w:bookmarkStart w:id="6" w:name="合同格式"/>
      <w:bookmarkEnd w:id="6"/>
      <w:bookmarkStart w:id="7" w:name="bt投标人须知"/>
      <w:bookmarkEnd w:id="7"/>
      <w:bookmarkStart w:id="8" w:name="bt合同格式"/>
      <w:bookmarkEnd w:id="8"/>
      <w:bookmarkStart w:id="9" w:name="bt其他资料2"/>
      <w:bookmarkEnd w:id="9"/>
      <w:bookmarkStart w:id="10" w:name="bt合同条款"/>
      <w:bookmarkEnd w:id="10"/>
      <w:bookmarkStart w:id="11" w:name="bt项目管理班子配备情况"/>
      <w:bookmarkEnd w:id="11"/>
      <w:bookmarkStart w:id="12" w:name="bt其他资料由投标人自定"/>
      <w:bookmarkEnd w:id="12"/>
      <w:bookmarkStart w:id="13" w:name="bt技术标投标文件格式"/>
      <w:bookmarkEnd w:id="13"/>
      <w:bookmarkStart w:id="14" w:name="bt投标函"/>
      <w:bookmarkEnd w:id="14"/>
      <w:bookmarkStart w:id="15" w:name="bt商务标投标文件格式"/>
      <w:bookmarkEnd w:id="15"/>
      <w:bookmarkStart w:id="16" w:name="bt合同条款及格式"/>
      <w:bookmarkEnd w:id="16"/>
      <w:r>
        <w:rPr>
          <w:rFonts w:hint="eastAsia"/>
        </w:rPr>
        <w:t>第一册  专用条款</w:t>
      </w:r>
    </w:p>
    <w:p>
      <w:pPr>
        <w:pStyle w:val="3"/>
      </w:pPr>
      <w:r>
        <w:rPr>
          <w:rFonts w:hint="eastAsia"/>
        </w:rPr>
        <w:t>第一章  招标公告</w:t>
      </w:r>
    </w:p>
    <w:p>
      <w:pPr>
        <w:pStyle w:val="38"/>
      </w:pPr>
    </w:p>
    <w:tbl>
      <w:tblPr>
        <w:tblStyle w:val="43"/>
        <w:tblW w:w="8890" w:type="dxa"/>
        <w:jc w:val="center"/>
        <w:tblCellSpacing w:w="0" w:type="dxa"/>
        <w:tblLayout w:type="fixed"/>
        <w:tblCellMar>
          <w:top w:w="0" w:type="dxa"/>
          <w:left w:w="0" w:type="dxa"/>
          <w:bottom w:w="0" w:type="dxa"/>
          <w:right w:w="0" w:type="dxa"/>
        </w:tblCellMar>
      </w:tblPr>
      <w:tblGrid>
        <w:gridCol w:w="8890"/>
      </w:tblGrid>
      <w:tr>
        <w:tblPrEx>
          <w:tblCellMar>
            <w:top w:w="0" w:type="dxa"/>
            <w:left w:w="0" w:type="dxa"/>
            <w:bottom w:w="0" w:type="dxa"/>
            <w:right w:w="0" w:type="dxa"/>
          </w:tblCellMar>
        </w:tblPrEx>
        <w:trPr>
          <w:tblCellSpacing w:w="0" w:type="dxa"/>
          <w:jc w:val="center"/>
        </w:trPr>
        <w:tc>
          <w:tcPr>
            <w:tcW w:w="8890" w:type="dxa"/>
            <w:vAlign w:val="center"/>
          </w:tcPr>
          <w:tbl>
            <w:tblPr>
              <w:tblStyle w:val="43"/>
              <w:tblW w:w="8712" w:type="dxa"/>
              <w:jc w:val="center"/>
              <w:tblCellSpacing w:w="0" w:type="dxa"/>
              <w:tblLayout w:type="fixed"/>
              <w:tblCellMar>
                <w:top w:w="0" w:type="dxa"/>
                <w:left w:w="0" w:type="dxa"/>
                <w:bottom w:w="0" w:type="dxa"/>
                <w:right w:w="0" w:type="dxa"/>
              </w:tblCellMar>
            </w:tblPr>
            <w:tblGrid>
              <w:gridCol w:w="8712"/>
            </w:tblGrid>
            <w:tr>
              <w:trPr>
                <w:tblCellSpacing w:w="0" w:type="dxa"/>
                <w:jc w:val="center"/>
              </w:trPr>
              <w:tc>
                <w:tcPr>
                  <w:tcW w:w="8712" w:type="dxa"/>
                  <w:vAlign w:val="center"/>
                </w:tcPr>
                <w:p>
                  <w:pPr>
                    <w:spacing w:line="360" w:lineRule="auto"/>
                    <w:rPr>
                      <w:rFonts w:ascii="新宋体" w:hAnsi="新宋体" w:eastAsia="新宋体"/>
                      <w:color w:val="000000" w:themeColor="text1"/>
                      <w:szCs w:val="21"/>
                      <w14:textFill>
                        <w14:solidFill>
                          <w14:schemeClr w14:val="tx1"/>
                        </w14:solidFill>
                      </w14:textFill>
                    </w:rPr>
                  </w:pPr>
                  <w:r>
                    <w:rPr>
                      <w:rFonts w:ascii="新宋体" w:hAnsi="新宋体" w:eastAsia="新宋体"/>
                      <w:szCs w:val="21"/>
                    </w:rPr>
                    <w:t>根据《深圳经济特区政府采购条例》、《深圳经济特区政府采购条例实施细则》和《深圳网上政府采</w:t>
                  </w:r>
                  <w:r>
                    <w:rPr>
                      <w:rFonts w:ascii="新宋体" w:hAnsi="新宋体" w:eastAsia="新宋体"/>
                      <w:color w:val="000000" w:themeColor="text1"/>
                      <w:szCs w:val="21"/>
                      <w14:textFill>
                        <w14:solidFill>
                          <w14:schemeClr w14:val="tx1"/>
                        </w14:solidFill>
                      </w14:textFill>
                    </w:rPr>
                    <w:t>购管理暂行办法》的有关规定，</w:t>
                  </w:r>
                  <w:r>
                    <w:rPr>
                      <w:rFonts w:hint="eastAsia" w:ascii="新宋体" w:hAnsi="新宋体" w:eastAsia="新宋体"/>
                      <w:color w:val="000000" w:themeColor="text1"/>
                      <w:szCs w:val="21"/>
                      <w14:textFill>
                        <w14:solidFill>
                          <w14:schemeClr w14:val="tx1"/>
                        </w14:solidFill>
                      </w14:textFill>
                    </w:rPr>
                    <w:t>深圳市瑞凝信招标咨询有限公司</w:t>
                  </w:r>
                  <w:r>
                    <w:rPr>
                      <w:rFonts w:ascii="新宋体" w:hAnsi="新宋体" w:eastAsia="新宋体"/>
                      <w:color w:val="000000" w:themeColor="text1"/>
                      <w:szCs w:val="21"/>
                      <w14:textFill>
                        <w14:solidFill>
                          <w14:schemeClr w14:val="tx1"/>
                        </w14:solidFill>
                      </w14:textFill>
                    </w:rPr>
                    <w:t>就</w:t>
                  </w:r>
                  <w:r>
                    <w:rPr>
                      <w:rFonts w:hint="eastAsia" w:ascii="新宋体" w:hAnsi="新宋体" w:eastAsia="新宋体"/>
                      <w:color w:val="000000" w:themeColor="text1"/>
                      <w:szCs w:val="21"/>
                      <w:u w:val="single"/>
                      <w14:textFill>
                        <w14:solidFill>
                          <w14:schemeClr w14:val="tx1"/>
                        </w14:solidFill>
                      </w14:textFill>
                    </w:rPr>
                    <w:t>学生课桌椅采购</w:t>
                  </w:r>
                  <w:r>
                    <w:rPr>
                      <w:rFonts w:ascii="新宋体" w:hAnsi="新宋体" w:eastAsia="新宋体"/>
                      <w:color w:val="000000" w:themeColor="text1"/>
                      <w:szCs w:val="21"/>
                      <w14:textFill>
                        <w14:solidFill>
                          <w14:schemeClr w14:val="tx1"/>
                        </w14:solidFill>
                      </w14:textFill>
                    </w:rPr>
                    <w:t xml:space="preserve">项目，采用公开招标的方式，欢迎符合资格的供应商参加投标。 </w:t>
                  </w:r>
                </w:p>
                <w:p>
                  <w:pPr>
                    <w:keepNext/>
                    <w:keepLines/>
                    <w:spacing w:before="260" w:after="260" w:line="360" w:lineRule="auto"/>
                    <w:outlineLvl w:val="2"/>
                    <w:rPr>
                      <w:rFonts w:ascii="新宋体" w:hAnsi="新宋体" w:eastAsia="新宋体"/>
                      <w:b/>
                      <w:bCs/>
                      <w:color w:val="000000" w:themeColor="text1"/>
                      <w:szCs w:val="21"/>
                      <w14:textFill>
                        <w14:solidFill>
                          <w14:schemeClr w14:val="tx1"/>
                        </w14:solidFill>
                      </w14:textFill>
                    </w:rPr>
                  </w:pPr>
                  <w:r>
                    <w:rPr>
                      <w:rFonts w:ascii="新宋体" w:hAnsi="新宋体" w:eastAsia="新宋体"/>
                      <w:b/>
                      <w:bCs/>
                      <w:color w:val="000000" w:themeColor="text1"/>
                      <w:szCs w:val="21"/>
                      <w14:textFill>
                        <w14:solidFill>
                          <w14:schemeClr w14:val="tx1"/>
                        </w14:solidFill>
                      </w14:textFill>
                    </w:rPr>
                    <w:t>一、项目编号：</w:t>
                  </w:r>
                  <w:r>
                    <w:rPr>
                      <w:rFonts w:hint="eastAsia" w:ascii="新宋体" w:hAnsi="新宋体" w:eastAsia="新宋体"/>
                      <w:b/>
                      <w:bCs/>
                      <w:color w:val="000000" w:themeColor="text1"/>
                      <w:szCs w:val="21"/>
                      <w14:textFill>
                        <w14:solidFill>
                          <w14:schemeClr w14:val="tx1"/>
                        </w14:solidFill>
                      </w14:textFill>
                    </w:rPr>
                    <w:t>NSDL2021197512</w:t>
                  </w:r>
                </w:p>
                <w:p>
                  <w:pPr>
                    <w:keepNext/>
                    <w:keepLines/>
                    <w:spacing w:before="260" w:after="260" w:line="360" w:lineRule="auto"/>
                    <w:outlineLvl w:val="2"/>
                    <w:rPr>
                      <w:rFonts w:ascii="新宋体" w:hAnsi="新宋体" w:eastAsia="新宋体"/>
                      <w:bCs/>
                      <w:color w:val="000000" w:themeColor="text1"/>
                      <w:szCs w:val="21"/>
                      <w14:textFill>
                        <w14:solidFill>
                          <w14:schemeClr w14:val="tx1"/>
                        </w14:solidFill>
                      </w14:textFill>
                    </w:rPr>
                  </w:pPr>
                  <w:r>
                    <w:rPr>
                      <w:rFonts w:ascii="新宋体" w:hAnsi="新宋体" w:eastAsia="新宋体"/>
                      <w:b/>
                      <w:bCs/>
                      <w:color w:val="000000" w:themeColor="text1"/>
                      <w:szCs w:val="21"/>
                      <w14:textFill>
                        <w14:solidFill>
                          <w14:schemeClr w14:val="tx1"/>
                        </w14:solidFill>
                      </w14:textFill>
                    </w:rPr>
                    <w:t>二、项目名称：</w:t>
                  </w:r>
                  <w:r>
                    <w:rPr>
                      <w:rFonts w:hint="eastAsia" w:ascii="新宋体" w:hAnsi="新宋体" w:eastAsia="新宋体"/>
                      <w:b/>
                      <w:bCs/>
                      <w:color w:val="000000" w:themeColor="text1"/>
                      <w:szCs w:val="21"/>
                      <w14:textFill>
                        <w14:solidFill>
                          <w14:schemeClr w14:val="tx1"/>
                        </w14:solidFill>
                      </w14:textFill>
                    </w:rPr>
                    <w:t xml:space="preserve">学生课桌椅采购 </w:t>
                  </w:r>
                </w:p>
                <w:p>
                  <w:pPr>
                    <w:spacing w:before="60" w:beforeLines="25" w:after="60" w:afterLines="25" w:line="360" w:lineRule="auto"/>
                    <w:rPr>
                      <w:rFonts w:ascii="新宋体" w:hAnsi="新宋体" w:eastAsia="新宋体"/>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t>三、项目概况：</w:t>
                  </w:r>
                  <w:r>
                    <w:rPr>
                      <w:rFonts w:hint="eastAsia" w:ascii="新宋体" w:hAnsi="新宋体" w:eastAsia="新宋体"/>
                      <w:b/>
                      <w:bCs/>
                      <w:color w:val="000000" w:themeColor="text1"/>
                      <w:szCs w:val="21"/>
                      <w14:textFill>
                        <w14:solidFill>
                          <w14:schemeClr w14:val="tx1"/>
                        </w14:solidFill>
                      </w14:textFill>
                    </w:rPr>
                    <w:t>学生课桌椅采购</w:t>
                  </w:r>
                </w:p>
                <w:tbl>
                  <w:tblPr>
                    <w:tblStyle w:val="43"/>
                    <w:tblW w:w="8538" w:type="dxa"/>
                    <w:jc w:val="center"/>
                    <w:tblCellSpacing w:w="0" w:type="dxa"/>
                    <w:tblLayout w:type="fixed"/>
                    <w:tblCellMar>
                      <w:top w:w="0" w:type="dxa"/>
                      <w:left w:w="0" w:type="dxa"/>
                      <w:bottom w:w="0" w:type="dxa"/>
                      <w:right w:w="0" w:type="dxa"/>
                    </w:tblCellMar>
                  </w:tblPr>
                  <w:tblGrid>
                    <w:gridCol w:w="8538"/>
                  </w:tblGrid>
                  <w:tr>
                    <w:tblPrEx>
                      <w:tblCellMar>
                        <w:top w:w="0" w:type="dxa"/>
                        <w:left w:w="0" w:type="dxa"/>
                        <w:bottom w:w="0" w:type="dxa"/>
                        <w:right w:w="0" w:type="dxa"/>
                      </w:tblCellMar>
                    </w:tblPrEx>
                    <w:trPr>
                      <w:tblCellSpacing w:w="0" w:type="dxa"/>
                      <w:jc w:val="center"/>
                    </w:trPr>
                    <w:tc>
                      <w:tcPr>
                        <w:tcW w:w="8538" w:type="dxa"/>
                        <w:vAlign w:val="center"/>
                      </w:tcPr>
                      <w:p>
                        <w:pPr>
                          <w:spacing w:line="360" w:lineRule="auto"/>
                          <w:ind w:left="-1" w:leftChars="-1" w:hanging="1"/>
                          <w:jc w:val="left"/>
                          <w:rPr>
                            <w:rFonts w:ascii="新宋体" w:hAnsi="新宋体" w:eastAsia="新宋体"/>
                            <w:szCs w:val="21"/>
                          </w:rPr>
                        </w:pPr>
                        <w:r>
                          <w:rPr>
                            <w:rFonts w:hint="eastAsia" w:ascii="新宋体" w:hAnsi="新宋体" w:eastAsia="新宋体"/>
                            <w:szCs w:val="21"/>
                          </w:rPr>
                          <w:t>四、投标人资格要求：</w:t>
                        </w:r>
                      </w:p>
                      <w:p>
                        <w:pPr>
                          <w:spacing w:before="60" w:beforeLines="25" w:after="60" w:afterLines="25" w:line="360" w:lineRule="auto"/>
                          <w:ind w:firstLine="392" w:firstLineChars="187"/>
                          <w:rPr>
                            <w:rFonts w:ascii="新宋体" w:hAnsi="新宋体" w:eastAsia="新宋体"/>
                            <w:szCs w:val="21"/>
                          </w:rPr>
                        </w:pPr>
                        <w:r>
                          <w:rPr>
                            <w:rFonts w:hint="eastAsia" w:ascii="新宋体" w:hAnsi="新宋体" w:eastAsia="新宋体"/>
                            <w:szCs w:val="21"/>
                          </w:rPr>
                          <w:t>（1）具有独立法人资格或具有独立承担民事责任的能力的其它组织（提供营业执照或事业单位法人证等法人证明扫描件，原件备查）。</w:t>
                        </w:r>
                      </w:p>
                      <w:p>
                        <w:pPr>
                          <w:spacing w:before="60" w:beforeLines="25" w:after="60" w:afterLines="25" w:line="360" w:lineRule="auto"/>
                          <w:ind w:firstLine="392" w:firstLineChars="187"/>
                          <w:rPr>
                            <w:rFonts w:ascii="新宋体" w:hAnsi="新宋体" w:eastAsia="新宋体"/>
                            <w:szCs w:val="21"/>
                          </w:rPr>
                        </w:pPr>
                        <w:r>
                          <w:rPr>
                            <w:rFonts w:hint="eastAsia" w:ascii="新宋体" w:hAnsi="新宋体" w:eastAsia="新宋体"/>
                            <w:szCs w:val="21"/>
                          </w:rPr>
                          <w:t>（2）本项目不接受联合体投标，不接受投标人选用进口产品参与投标。</w:t>
                        </w:r>
                      </w:p>
                      <w:p>
                        <w:pPr>
                          <w:spacing w:before="60" w:beforeLines="25" w:after="60" w:afterLines="25" w:line="360" w:lineRule="auto"/>
                          <w:ind w:firstLine="392" w:firstLineChars="187"/>
                          <w:rPr>
                            <w:rFonts w:ascii="新宋体" w:hAnsi="新宋体" w:eastAsia="新宋体"/>
                            <w:szCs w:val="21"/>
                          </w:rPr>
                        </w:pPr>
                        <w:r>
                          <w:rPr>
                            <w:rFonts w:hint="eastAsia" w:ascii="新宋体" w:hAnsi="新宋体" w:eastAsia="新宋体"/>
                            <w:szCs w:val="21"/>
                          </w:rPr>
                          <w:t>（3）参与本项目投标前三年内，在经营活动中没有重大违法记录（由供应商在《政府采购投标及履约承诺函》中作出声明）。</w:t>
                        </w:r>
                      </w:p>
                      <w:p>
                        <w:pPr>
                          <w:spacing w:before="60" w:beforeLines="25" w:after="60" w:afterLines="25" w:line="360" w:lineRule="auto"/>
                          <w:ind w:firstLine="392" w:firstLineChars="187"/>
                          <w:rPr>
                            <w:rFonts w:ascii="新宋体" w:hAnsi="新宋体" w:eastAsia="新宋体"/>
                            <w:szCs w:val="21"/>
                          </w:rPr>
                        </w:pPr>
                        <w:r>
                          <w:rPr>
                            <w:rFonts w:hint="eastAsia" w:ascii="新宋体" w:hAnsi="新宋体" w:eastAsia="新宋体"/>
                            <w:szCs w:val="21"/>
                          </w:rPr>
                          <w:t>（4）参与本项目政府采购活动时不存在被有关部门禁止参与政府采购活动且在有效期内的情况（由供应商在《政府采购投标及履约承诺函》中作出声明）。</w:t>
                        </w:r>
                      </w:p>
                      <w:p>
                        <w:pPr>
                          <w:spacing w:before="60" w:beforeLines="25" w:after="60" w:afterLines="25" w:line="360" w:lineRule="auto"/>
                          <w:ind w:firstLine="392" w:firstLineChars="187"/>
                          <w:rPr>
                            <w:rFonts w:ascii="新宋体" w:hAnsi="新宋体" w:eastAsia="新宋体"/>
                            <w:szCs w:val="21"/>
                          </w:rPr>
                        </w:pPr>
                        <w:r>
                          <w:rPr>
                            <w:rFonts w:hint="eastAsia" w:ascii="新宋体" w:hAnsi="新宋体" w:eastAsia="新宋体"/>
                            <w:szCs w:val="21"/>
                          </w:rPr>
                          <w:t>（5）具备《中华人民共和国政府采购法》第二十二条第一款的条件（由供应商在《政府采购投标及履约承诺函》中作出声明）。</w:t>
                        </w:r>
                      </w:p>
                      <w:p>
                        <w:pPr>
                          <w:spacing w:before="60" w:beforeLines="25" w:after="60" w:afterLines="25" w:line="360" w:lineRule="auto"/>
                          <w:ind w:firstLine="392" w:firstLineChars="187"/>
                          <w:rPr>
                            <w:rFonts w:ascii="新宋体" w:hAnsi="新宋体" w:eastAsia="新宋体"/>
                            <w:szCs w:val="21"/>
                          </w:rPr>
                        </w:pPr>
                        <w:r>
                          <w:rPr>
                            <w:rFonts w:hint="eastAsia" w:ascii="新宋体" w:hAnsi="新宋体" w:eastAsia="新宋体"/>
                            <w:szCs w:val="21"/>
                          </w:rPr>
                          <w:t>（6）未被列入失信被执行人、重大税收违法案件当事人名单、政府采购严重违法失信行为记录名单（由供应商在《政府采购投标及履约承诺函》中作出声明）。</w:t>
                        </w:r>
                      </w:p>
                      <w:p>
                        <w:pPr>
                          <w:spacing w:before="60" w:beforeLines="25" w:after="60" w:afterLines="25" w:line="360" w:lineRule="auto"/>
                          <w:rPr>
                            <w:rFonts w:ascii="新宋体" w:hAnsi="新宋体" w:eastAsia="新宋体"/>
                            <w:szCs w:val="21"/>
                          </w:rPr>
                        </w:pPr>
                        <w:r>
                          <w:rPr>
                            <w:rFonts w:hint="eastAsia" w:ascii="新宋体" w:hAnsi="新宋体" w:eastAsia="新宋体"/>
                            <w:szCs w:val="21"/>
                          </w:rPr>
                          <w:t xml:space="preserve">    注：“信用中国”、“中国政府采购网”以及“深圳市政府采购监管网”为供应商信用信息的查询渠道，相关信息以中标通知书发出前的查询结果为准。 </w:t>
                        </w:r>
                      </w:p>
                      <w:p>
                        <w:pPr>
                          <w:spacing w:before="60" w:beforeLines="25" w:after="60" w:afterLines="25" w:line="360" w:lineRule="auto"/>
                          <w:rPr>
                            <w:rFonts w:ascii="新宋体" w:hAnsi="新宋体" w:eastAsia="新宋体"/>
                            <w:szCs w:val="21"/>
                          </w:rPr>
                        </w:pPr>
                        <w:r>
                          <w:rPr>
                            <w:rFonts w:hint="eastAsia" w:ascii="新宋体" w:hAnsi="新宋体" w:eastAsia="新宋体"/>
                            <w:szCs w:val="21"/>
                          </w:rPr>
                          <w:t xml:space="preserve">   备注：如联合体投标，投标人还必须提供《联合体投标协议》（格式自定），《联合体投标协议》须明确牵头人，并载明联合体各方承担的工作和义务。</w:t>
                        </w:r>
                      </w:p>
                      <w:p>
                        <w:pPr>
                          <w:spacing w:before="60" w:beforeLines="25" w:after="60" w:afterLines="25" w:line="360" w:lineRule="auto"/>
                          <w:ind w:firstLine="420" w:firstLineChars="200"/>
                          <w:rPr>
                            <w:rFonts w:ascii="新宋体" w:hAnsi="新宋体" w:eastAsia="新宋体"/>
                            <w:szCs w:val="21"/>
                          </w:rPr>
                        </w:pPr>
                        <w:r>
                          <w:rPr>
                            <w:rFonts w:hint="eastAsia" w:ascii="新宋体" w:hAnsi="新宋体" w:eastAsia="新宋体"/>
                            <w:szCs w:val="21"/>
                          </w:rPr>
                          <w:t>（7）</w:t>
                        </w:r>
                        <w:r>
                          <w:rPr>
                            <w:rFonts w:hint="eastAsia" w:ascii="宋体" w:hAnsi="宋体"/>
                            <w:szCs w:val="21"/>
                          </w:rPr>
                          <w:t>投标人必须先行注册为深圳市政府采购中心的供应商（供应商注册网网址：http://www.cgzx.sz.gov.cn/），具有独立法人资格，不接受分公司或者分支机构参与投标</w:t>
                        </w:r>
                        <w:r>
                          <w:rPr>
                            <w:rFonts w:hint="eastAsia" w:ascii="宋体" w:hAnsi="宋体"/>
                            <w:b/>
                            <w:szCs w:val="21"/>
                          </w:rPr>
                          <w:t>（须提供加盖公章的营业执照复印件及供应商注册信息网页截图或深圳市政府采购供应商注册卡复印件）</w:t>
                        </w:r>
                      </w:p>
                      <w:p>
                        <w:pPr>
                          <w:spacing w:line="360" w:lineRule="auto"/>
                          <w:ind w:firstLine="420" w:firstLineChars="200"/>
                        </w:pPr>
                      </w:p>
                    </w:tc>
                  </w:tr>
                </w:tbl>
                <w:p>
                  <w:pPr>
                    <w:keepNext/>
                    <w:keepLines/>
                    <w:spacing w:before="260" w:after="260" w:line="360" w:lineRule="auto"/>
                    <w:outlineLvl w:val="2"/>
                    <w:rPr>
                      <w:rFonts w:ascii="新宋体" w:hAnsi="新宋体" w:eastAsia="新宋体"/>
                      <w:b/>
                      <w:bCs/>
                      <w:szCs w:val="21"/>
                    </w:rPr>
                  </w:pPr>
                  <w:r>
                    <w:rPr>
                      <w:rFonts w:ascii="新宋体" w:hAnsi="新宋体" w:eastAsia="新宋体"/>
                      <w:b/>
                      <w:bCs/>
                      <w:szCs w:val="21"/>
                    </w:rPr>
                    <w:t>五、采购预算：</w:t>
                  </w:r>
                </w:p>
                <w:tbl>
                  <w:tblPr>
                    <w:tblStyle w:val="43"/>
                    <w:tblW w:w="8579" w:type="dxa"/>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1886"/>
                    <w:gridCol w:w="2776"/>
                    <w:gridCol w:w="2327"/>
                    <w:gridCol w:w="850"/>
                    <w:gridCol w:w="740"/>
                  </w:tblGrid>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1886"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360" w:lineRule="auto"/>
                          <w:jc w:val="center"/>
                          <w:rPr>
                            <w:rFonts w:ascii="新宋体" w:hAnsi="新宋体" w:eastAsia="新宋体"/>
                            <w:szCs w:val="21"/>
                          </w:rPr>
                        </w:pPr>
                        <w:r>
                          <w:rPr>
                            <w:rFonts w:ascii="新宋体" w:hAnsi="新宋体" w:eastAsia="新宋体"/>
                            <w:szCs w:val="21"/>
                          </w:rPr>
                          <w:t>采购条目流水号</w:t>
                        </w:r>
                      </w:p>
                    </w:tc>
                    <w:tc>
                      <w:tcPr>
                        <w:tcW w:w="2776"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360" w:lineRule="auto"/>
                          <w:jc w:val="center"/>
                          <w:rPr>
                            <w:rFonts w:ascii="新宋体" w:hAnsi="新宋体" w:eastAsia="新宋体"/>
                            <w:szCs w:val="21"/>
                          </w:rPr>
                        </w:pPr>
                        <w:r>
                          <w:rPr>
                            <w:rFonts w:ascii="新宋体" w:hAnsi="新宋体" w:eastAsia="新宋体"/>
                            <w:szCs w:val="21"/>
                          </w:rPr>
                          <w:t>采购品名</w:t>
                        </w:r>
                      </w:p>
                    </w:tc>
                    <w:tc>
                      <w:tcPr>
                        <w:tcW w:w="2327"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360" w:lineRule="auto"/>
                          <w:jc w:val="center"/>
                          <w:rPr>
                            <w:rFonts w:ascii="新宋体" w:hAnsi="新宋体" w:eastAsia="新宋体"/>
                            <w:szCs w:val="21"/>
                          </w:rPr>
                        </w:pPr>
                        <w:r>
                          <w:rPr>
                            <w:rFonts w:ascii="新宋体" w:hAnsi="新宋体" w:eastAsia="新宋体"/>
                            <w:szCs w:val="21"/>
                          </w:rPr>
                          <w:t>预算金额（单位：元）</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360" w:lineRule="auto"/>
                          <w:jc w:val="center"/>
                          <w:rPr>
                            <w:rFonts w:ascii="新宋体" w:hAnsi="新宋体" w:eastAsia="新宋体"/>
                            <w:szCs w:val="21"/>
                          </w:rPr>
                        </w:pPr>
                        <w:r>
                          <w:rPr>
                            <w:rFonts w:ascii="新宋体" w:hAnsi="新宋体" w:eastAsia="新宋体"/>
                            <w:szCs w:val="21"/>
                          </w:rPr>
                          <w:t>数量</w:t>
                        </w:r>
                      </w:p>
                    </w:tc>
                    <w:tc>
                      <w:tcPr>
                        <w:tcW w:w="740"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360" w:lineRule="auto"/>
                          <w:jc w:val="center"/>
                          <w:rPr>
                            <w:rFonts w:ascii="新宋体" w:hAnsi="新宋体" w:eastAsia="新宋体"/>
                            <w:szCs w:val="21"/>
                          </w:rPr>
                        </w:pPr>
                        <w:r>
                          <w:rPr>
                            <w:rFonts w:ascii="新宋体" w:hAnsi="新宋体" w:eastAsia="新宋体"/>
                            <w:szCs w:val="21"/>
                          </w:rPr>
                          <w:t>单位</w:t>
                        </w:r>
                      </w:p>
                    </w:tc>
                  </w:tr>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1886" w:type="dxa"/>
                        <w:tcBorders>
                          <w:top w:val="outset" w:color="AAAAAA" w:sz="6" w:space="0"/>
                          <w:left w:val="outset" w:color="AAAAAA" w:sz="6" w:space="0"/>
                          <w:bottom w:val="outset" w:color="AAAAAA" w:sz="6" w:space="0"/>
                          <w:right w:val="outset" w:color="AAAAAA" w:sz="6"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950276530</w:t>
                        </w:r>
                      </w:p>
                    </w:tc>
                    <w:tc>
                      <w:tcPr>
                        <w:tcW w:w="2776" w:type="dxa"/>
                        <w:tcBorders>
                          <w:top w:val="outset" w:color="AAAAAA" w:sz="6" w:space="0"/>
                          <w:left w:val="outset" w:color="AAAAAA" w:sz="6" w:space="0"/>
                          <w:bottom w:val="outset" w:color="AAAAAA" w:sz="6" w:space="0"/>
                          <w:right w:val="outset" w:color="AAAAAA" w:sz="6"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学生课桌椅采购</w:t>
                        </w:r>
                      </w:p>
                    </w:tc>
                    <w:tc>
                      <w:tcPr>
                        <w:tcW w:w="2327" w:type="dxa"/>
                        <w:tcBorders>
                          <w:top w:val="outset" w:color="AAAAAA" w:sz="6" w:space="0"/>
                          <w:left w:val="outset" w:color="AAAAAA" w:sz="6" w:space="0"/>
                          <w:bottom w:val="outset" w:color="AAAAAA" w:sz="6" w:space="0"/>
                          <w:right w:val="outset" w:color="AAAAAA" w:sz="6"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30</w:t>
                        </w:r>
                        <w:r>
                          <w:rPr>
                            <w:rFonts w:ascii="新宋体" w:hAnsi="新宋体" w:eastAsia="新宋体"/>
                            <w:szCs w:val="21"/>
                          </w:rPr>
                          <w:t>0</w:t>
                        </w:r>
                        <w:r>
                          <w:rPr>
                            <w:rFonts w:hint="eastAsia" w:ascii="新宋体" w:hAnsi="新宋体" w:eastAsia="新宋体"/>
                            <w:szCs w:val="21"/>
                          </w:rPr>
                          <w:t>,</w:t>
                        </w:r>
                        <w:r>
                          <w:rPr>
                            <w:rFonts w:ascii="新宋体" w:hAnsi="新宋体" w:eastAsia="新宋体"/>
                            <w:szCs w:val="21"/>
                          </w:rPr>
                          <w:t>000</w:t>
                        </w:r>
                        <w:r>
                          <w:rPr>
                            <w:rFonts w:hint="eastAsia" w:ascii="新宋体" w:hAnsi="新宋体" w:eastAsia="新宋体"/>
                            <w:szCs w:val="21"/>
                          </w:rPr>
                          <w:t>.00</w:t>
                        </w:r>
                      </w:p>
                    </w:tc>
                    <w:tc>
                      <w:tcPr>
                        <w:tcW w:w="850" w:type="dxa"/>
                        <w:tcBorders>
                          <w:top w:val="outset" w:color="AAAAAA" w:sz="6" w:space="0"/>
                          <w:left w:val="outset" w:color="AAAAAA" w:sz="6" w:space="0"/>
                          <w:bottom w:val="outset" w:color="AAAAAA" w:sz="6" w:space="0"/>
                          <w:right w:val="outset" w:color="AAAAAA" w:sz="6"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1</w:t>
                        </w:r>
                      </w:p>
                    </w:tc>
                    <w:tc>
                      <w:tcPr>
                        <w:tcW w:w="740" w:type="dxa"/>
                        <w:tcBorders>
                          <w:top w:val="outset" w:color="AAAAAA" w:sz="6" w:space="0"/>
                          <w:left w:val="outset" w:color="AAAAAA" w:sz="6" w:space="0"/>
                          <w:bottom w:val="outset" w:color="AAAAAA" w:sz="6" w:space="0"/>
                          <w:right w:val="outset" w:color="AAAAAA" w:sz="6"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项</w:t>
                        </w:r>
                      </w:p>
                    </w:tc>
                  </w:tr>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8579" w:type="dxa"/>
                        <w:gridSpan w:val="5"/>
                        <w:tcBorders>
                          <w:top w:val="outset" w:color="AAAAAA" w:sz="6" w:space="0"/>
                          <w:left w:val="outset" w:color="AAAAAA" w:sz="6" w:space="0"/>
                          <w:bottom w:val="outset" w:color="AAAAAA" w:sz="6" w:space="0"/>
                          <w:right w:val="outset" w:color="AAAAAA" w:sz="6" w:space="0"/>
                        </w:tcBorders>
                        <w:vAlign w:val="center"/>
                      </w:tcPr>
                      <w:p>
                        <w:pPr>
                          <w:spacing w:line="360" w:lineRule="auto"/>
                          <w:rPr>
                            <w:rFonts w:ascii="新宋体" w:hAnsi="新宋体" w:eastAsia="新宋体" w:cs="宋体"/>
                            <w:szCs w:val="21"/>
                          </w:rPr>
                        </w:pPr>
                        <w:r>
                          <w:rPr>
                            <w:rFonts w:ascii="新宋体" w:hAnsi="新宋体" w:eastAsia="新宋体"/>
                            <w:szCs w:val="21"/>
                          </w:rPr>
                          <w:t>合计（单位：</w:t>
                        </w:r>
                        <w:r>
                          <w:rPr>
                            <w:rFonts w:hint="eastAsia" w:ascii="新宋体" w:hAnsi="新宋体" w:eastAsia="新宋体"/>
                            <w:szCs w:val="21"/>
                          </w:rPr>
                          <w:t>30</w:t>
                        </w:r>
                        <w:r>
                          <w:rPr>
                            <w:rFonts w:ascii="新宋体" w:hAnsi="新宋体" w:eastAsia="新宋体"/>
                            <w:szCs w:val="21"/>
                          </w:rPr>
                          <w:t>0</w:t>
                        </w:r>
                        <w:r>
                          <w:rPr>
                            <w:rFonts w:hint="eastAsia" w:ascii="新宋体" w:hAnsi="新宋体" w:eastAsia="新宋体"/>
                            <w:szCs w:val="21"/>
                          </w:rPr>
                          <w:t>,</w:t>
                        </w:r>
                        <w:r>
                          <w:rPr>
                            <w:rFonts w:ascii="新宋体" w:hAnsi="新宋体" w:eastAsia="新宋体"/>
                            <w:szCs w:val="21"/>
                          </w:rPr>
                          <w:t>000</w:t>
                        </w:r>
                        <w:r>
                          <w:rPr>
                            <w:rFonts w:hint="eastAsia" w:ascii="新宋体" w:hAnsi="新宋体" w:eastAsia="新宋体"/>
                            <w:szCs w:val="21"/>
                          </w:rPr>
                          <w:t>.00</w:t>
                        </w:r>
                        <w:r>
                          <w:rPr>
                            <w:rFonts w:ascii="新宋体" w:hAnsi="新宋体" w:eastAsia="新宋体"/>
                            <w:szCs w:val="21"/>
                          </w:rPr>
                          <w:t>元）</w:t>
                        </w:r>
                        <w:r>
                          <w:rPr>
                            <w:rFonts w:hint="eastAsia" w:ascii="新宋体" w:hAnsi="新宋体" w:eastAsia="新宋体"/>
                            <w:szCs w:val="21"/>
                          </w:rPr>
                          <w:t>；500元/每套</w:t>
                        </w:r>
                      </w:p>
                    </w:tc>
                  </w:tr>
                </w:tbl>
                <w:p>
                  <w:pPr>
                    <w:keepNext/>
                    <w:keepLines/>
                    <w:spacing w:before="260" w:after="260" w:line="360" w:lineRule="auto"/>
                    <w:outlineLvl w:val="2"/>
                    <w:rPr>
                      <w:rFonts w:ascii="新宋体" w:hAnsi="新宋体" w:eastAsia="新宋体"/>
                      <w:b/>
                      <w:bCs/>
                      <w:szCs w:val="21"/>
                    </w:rPr>
                  </w:pPr>
                  <w:r>
                    <w:rPr>
                      <w:rFonts w:ascii="新宋体" w:hAnsi="新宋体" w:eastAsia="新宋体"/>
                      <w:b/>
                      <w:bCs/>
                      <w:szCs w:val="21"/>
                    </w:rPr>
                    <w:t>六、采购项目需要落实的政府采购政策：</w:t>
                  </w:r>
                  <w:r>
                    <w:rPr>
                      <w:rFonts w:hint="eastAsia" w:ascii="新宋体" w:hAnsi="新宋体" w:eastAsia="新宋体"/>
                      <w:bCs/>
                      <w:szCs w:val="21"/>
                    </w:rPr>
                    <w:t>根据《政府采购促进中小企业发展管理办法》（财库﹝2020﹞46 号）《关于政府采购支持监狱企业发展有关问题的通知》(财库〔2014〕68号)《关于促进残疾人就业政府采购政策的通知》（财库〔2017〕141号)《关于环境标志产品政府采购实施的意见》（财库〔2006〕90号）《国务院办公厅关于建立政府强制采购节能产品制度的通知》（国办发〔2007〕51号）《节能产品政府采购实施意见》的通知（财库〔2004〕185号）《关于印发节能产品政府采购品目清单的通知》（财库〔2019〕19号）《关于印发环境标志产品政府采购品目清单的通知》（财库〔2019〕18号）《财政部 发展改革委 生态环境部 市场监管总局 关于调整优化节能产品、环境标志产品政府采购机制的通知》（财库〔2019〕9号）。</w:t>
                  </w:r>
                </w:p>
                <w:p>
                  <w:pPr>
                    <w:keepNext/>
                    <w:keepLines/>
                    <w:spacing w:before="260" w:after="260" w:line="360" w:lineRule="auto"/>
                    <w:outlineLvl w:val="2"/>
                    <w:rPr>
                      <w:rFonts w:ascii="新宋体" w:hAnsi="新宋体" w:eastAsia="新宋体"/>
                      <w:b/>
                      <w:bCs/>
                      <w:szCs w:val="21"/>
                    </w:rPr>
                  </w:pPr>
                  <w:r>
                    <w:rPr>
                      <w:rFonts w:ascii="新宋体" w:hAnsi="新宋体" w:eastAsia="新宋体"/>
                      <w:b/>
                      <w:bCs/>
                      <w:szCs w:val="21"/>
                    </w:rPr>
                    <w:t>七、投标与开标注意事项：</w:t>
                  </w:r>
                </w:p>
                <w:p>
                  <w:pPr>
                    <w:widowControl/>
                    <w:numPr>
                      <w:ilvl w:val="0"/>
                      <w:numId w:val="7"/>
                    </w:numPr>
                    <w:tabs>
                      <w:tab w:val="left" w:pos="360"/>
                    </w:tabs>
                    <w:spacing w:before="100" w:beforeAutospacing="1" w:after="100" w:afterAutospacing="1" w:line="360" w:lineRule="auto"/>
                    <w:ind w:left="0" w:firstLine="32"/>
                    <w:jc w:val="left"/>
                    <w:rPr>
                      <w:rFonts w:ascii="新宋体" w:hAnsi="新宋体" w:eastAsia="新宋体"/>
                      <w:szCs w:val="21"/>
                    </w:rPr>
                  </w:pPr>
                  <w:r>
                    <w:rPr>
                      <w:rFonts w:ascii="新宋体" w:hAnsi="新宋体" w:eastAsia="新宋体"/>
                      <w:szCs w:val="21"/>
                    </w:rPr>
                    <w:t xml:space="preserve">本项目实行网上投标，采用电子投标文件。 </w:t>
                  </w:r>
                </w:p>
                <w:p>
                  <w:pPr>
                    <w:widowControl/>
                    <w:numPr>
                      <w:ilvl w:val="0"/>
                      <w:numId w:val="7"/>
                    </w:numPr>
                    <w:tabs>
                      <w:tab w:val="left" w:pos="360"/>
                    </w:tabs>
                    <w:spacing w:before="100" w:beforeAutospacing="1" w:after="100" w:afterAutospacing="1" w:line="360" w:lineRule="auto"/>
                    <w:ind w:left="426"/>
                    <w:jc w:val="left"/>
                    <w:rPr>
                      <w:rFonts w:ascii="新宋体" w:hAnsi="新宋体" w:eastAsia="新宋体"/>
                      <w:szCs w:val="21"/>
                    </w:rPr>
                  </w:pPr>
                  <w:r>
                    <w:rPr>
                      <w:rFonts w:ascii="新宋体" w:hAnsi="新宋体" w:eastAsia="新宋体"/>
                      <w:szCs w:val="21"/>
                    </w:rPr>
                    <w:t xml:space="preserve">标书获得方法 </w:t>
                  </w:r>
                  <w:r>
                    <w:rPr>
                      <w:rFonts w:hint="eastAsia" w:ascii="新宋体" w:hAnsi="新宋体" w:eastAsia="新宋体"/>
                      <w:szCs w:val="21"/>
                    </w:rPr>
                    <w:t>：凡已注册的深圳市网上政府采购供应商，按照授予的操作权限，可于2021年</w:t>
                  </w:r>
                  <w:r>
                    <w:rPr>
                      <w:rFonts w:hint="eastAsia" w:ascii="新宋体" w:hAnsi="新宋体" w:eastAsia="新宋体"/>
                      <w:szCs w:val="21"/>
                      <w:lang w:val="en-US" w:eastAsia="zh-CN"/>
                    </w:rPr>
                    <w:t>07</w:t>
                  </w:r>
                  <w:r>
                    <w:rPr>
                      <w:rFonts w:hint="eastAsia" w:ascii="新宋体" w:hAnsi="新宋体" w:eastAsia="新宋体"/>
                      <w:szCs w:val="21"/>
                    </w:rPr>
                    <w:t>月</w:t>
                  </w:r>
                  <w:r>
                    <w:rPr>
                      <w:rFonts w:hint="eastAsia" w:ascii="新宋体" w:hAnsi="新宋体" w:eastAsia="新宋体"/>
                      <w:szCs w:val="21"/>
                      <w:lang w:val="en-US" w:eastAsia="zh-CN"/>
                    </w:rPr>
                    <w:t>16</w:t>
                  </w:r>
                  <w:r>
                    <w:rPr>
                      <w:rFonts w:hint="eastAsia" w:ascii="新宋体" w:hAnsi="新宋体" w:eastAsia="新宋体"/>
                      <w:szCs w:val="21"/>
                    </w:rPr>
                    <w:t>日 09:00至2021年</w:t>
                  </w:r>
                  <w:r>
                    <w:rPr>
                      <w:rFonts w:hint="eastAsia" w:ascii="新宋体" w:hAnsi="新宋体" w:eastAsia="新宋体"/>
                      <w:szCs w:val="21"/>
                      <w:lang w:val="en-US" w:eastAsia="zh-CN"/>
                    </w:rPr>
                    <w:t>07</w:t>
                  </w:r>
                  <w:r>
                    <w:rPr>
                      <w:rFonts w:hint="eastAsia" w:ascii="新宋体" w:hAnsi="新宋体" w:eastAsia="新宋体"/>
                      <w:szCs w:val="21"/>
                    </w:rPr>
                    <w:t>月</w:t>
                  </w:r>
                  <w:r>
                    <w:rPr>
                      <w:rFonts w:hint="eastAsia" w:ascii="新宋体" w:hAnsi="新宋体" w:eastAsia="新宋体"/>
                      <w:szCs w:val="21"/>
                      <w:lang w:val="en-US" w:eastAsia="zh-CN"/>
                    </w:rPr>
                    <w:t>25</w:t>
                  </w:r>
                  <w:r>
                    <w:rPr>
                      <w:rFonts w:hint="eastAsia" w:ascii="新宋体" w:hAnsi="新宋体" w:eastAsia="新宋体"/>
                      <w:szCs w:val="21"/>
                    </w:rPr>
                    <w:t>日 17:30 时期间登录深圳公共资源交易中心市区政府采购统一平台（www.szzfcg.cn）下载本项目的招标文件。投标人如确定参加投标，首先要在深圳公共资源交易中心网上报名投标，方法为登录深圳公共资源交易中心网后在右上角进入“深圳社会代理机构系统”，点击“应标管理→投标响应”或“应标管理→确认邀请”；如果网上报名后又不参加投标，应再到【应标管理】→【投标响应】功能点中点击“撤销响应”；如果网上报名后上传了投标文件，又不参加投标，应再到【应标管理】→【上传投标文件】功能点中进行“撤标”操作；如果是未注册为深圳政府采购的供应商，请访问深圳公共资源交易中心网站,先办理注册手续，再进行投标报名。在网上报名后，点击“应标管理→下载招标文件”进行招标文件的下载。</w:t>
                  </w:r>
                </w:p>
                <w:p>
                  <w:pPr>
                    <w:widowControl/>
                    <w:numPr>
                      <w:ilvl w:val="0"/>
                      <w:numId w:val="7"/>
                    </w:numPr>
                    <w:tabs>
                      <w:tab w:val="left" w:pos="360"/>
                    </w:tabs>
                    <w:spacing w:before="100" w:beforeAutospacing="1" w:after="100" w:afterAutospacing="1" w:line="360" w:lineRule="auto"/>
                    <w:ind w:left="426"/>
                    <w:jc w:val="left"/>
                    <w:rPr>
                      <w:rFonts w:ascii="新宋体" w:hAnsi="新宋体" w:eastAsia="新宋体"/>
                      <w:szCs w:val="21"/>
                    </w:rPr>
                  </w:pPr>
                  <w:r>
                    <w:rPr>
                      <w:rFonts w:ascii="新宋体" w:hAnsi="新宋体" w:eastAsia="新宋体"/>
                      <w:szCs w:val="21"/>
                    </w:rPr>
                    <w:t>答疑事项</w:t>
                  </w:r>
                  <w:r>
                    <w:rPr>
                      <w:rFonts w:hint="eastAsia" w:ascii="新宋体" w:hAnsi="新宋体" w:eastAsia="新宋体"/>
                      <w:szCs w:val="21"/>
                    </w:rPr>
                    <w:t>：2021年</w:t>
                  </w:r>
                  <w:r>
                    <w:rPr>
                      <w:rFonts w:hint="eastAsia" w:ascii="新宋体" w:hAnsi="新宋体" w:eastAsia="新宋体"/>
                      <w:szCs w:val="21"/>
                      <w:lang w:val="en-US" w:eastAsia="zh-CN"/>
                    </w:rPr>
                    <w:t>07</w:t>
                  </w:r>
                  <w:r>
                    <w:rPr>
                      <w:rFonts w:hint="eastAsia" w:ascii="新宋体" w:hAnsi="新宋体" w:eastAsia="新宋体"/>
                      <w:szCs w:val="21"/>
                    </w:rPr>
                    <w:t>月</w:t>
                  </w:r>
                  <w:r>
                    <w:rPr>
                      <w:rFonts w:hint="eastAsia" w:ascii="新宋体" w:hAnsi="新宋体" w:eastAsia="新宋体"/>
                      <w:szCs w:val="21"/>
                      <w:lang w:val="en-US" w:eastAsia="zh-CN"/>
                    </w:rPr>
                    <w:t>22</w:t>
                  </w:r>
                  <w:r>
                    <w:rPr>
                      <w:rFonts w:hint="eastAsia" w:ascii="新宋体" w:hAnsi="新宋体" w:eastAsia="新宋体"/>
                      <w:szCs w:val="21"/>
                    </w:rPr>
                    <w:t>日 00:00时前凡对招标文件有任何疑问的（包括认为招标文件的技术指标或参数存在倾向性或不公正性条款），登录“深圳公共资源交易中心网”后进入“深圳社会代理机构系统”，在“应标管理→提出采购文件澄清要求”中填写疑问，逾期不予受理。2021年</w:t>
                  </w:r>
                  <w:r>
                    <w:rPr>
                      <w:rFonts w:hint="eastAsia" w:ascii="新宋体" w:hAnsi="新宋体" w:eastAsia="新宋体"/>
                      <w:szCs w:val="21"/>
                      <w:lang w:val="en-US" w:eastAsia="zh-CN"/>
                    </w:rPr>
                    <w:t>07</w:t>
                  </w:r>
                  <w:r>
                    <w:rPr>
                      <w:rFonts w:hint="eastAsia" w:ascii="新宋体" w:hAnsi="新宋体" w:eastAsia="新宋体"/>
                      <w:szCs w:val="21"/>
                    </w:rPr>
                    <w:t>月</w:t>
                  </w:r>
                  <w:r>
                    <w:rPr>
                      <w:rFonts w:hint="eastAsia" w:ascii="新宋体" w:hAnsi="新宋体" w:eastAsia="新宋体"/>
                      <w:szCs w:val="21"/>
                      <w:lang w:val="en-US" w:eastAsia="zh-CN"/>
                    </w:rPr>
                    <w:t>25</w:t>
                  </w:r>
                  <w:r>
                    <w:rPr>
                      <w:rFonts w:hint="eastAsia" w:ascii="新宋体" w:hAnsi="新宋体" w:eastAsia="新宋体"/>
                      <w:szCs w:val="21"/>
                    </w:rPr>
                    <w:t xml:space="preserve">日 17:30 将采购文件澄清/修改情况在“应标管理→采购文件澄清/修改查询”中公布 ，望投标人予以关注。 </w:t>
                  </w:r>
                </w:p>
                <w:p>
                  <w:pPr>
                    <w:widowControl/>
                    <w:numPr>
                      <w:ilvl w:val="0"/>
                      <w:numId w:val="7"/>
                    </w:numPr>
                    <w:tabs>
                      <w:tab w:val="left" w:pos="360"/>
                    </w:tabs>
                    <w:spacing w:before="100" w:beforeAutospacing="1" w:after="100" w:afterAutospacing="1" w:line="360" w:lineRule="auto"/>
                    <w:ind w:left="426"/>
                    <w:jc w:val="left"/>
                    <w:rPr>
                      <w:rFonts w:ascii="新宋体" w:hAnsi="新宋体" w:eastAsia="新宋体"/>
                      <w:szCs w:val="21"/>
                    </w:rPr>
                  </w:pPr>
                  <w:r>
                    <w:rPr>
                      <w:rFonts w:ascii="新宋体" w:hAnsi="新宋体" w:eastAsia="新宋体"/>
                      <w:szCs w:val="21"/>
                    </w:rPr>
                    <w:t xml:space="preserve">投标截止时间 </w:t>
                  </w:r>
                  <w:r>
                    <w:rPr>
                      <w:rFonts w:hint="eastAsia" w:ascii="新宋体" w:hAnsi="新宋体" w:eastAsia="新宋体"/>
                      <w:szCs w:val="21"/>
                    </w:rPr>
                    <w:t>：所有投标文件应于2021年</w:t>
                  </w:r>
                  <w:r>
                    <w:rPr>
                      <w:rFonts w:hint="eastAsia" w:ascii="新宋体" w:hAnsi="新宋体" w:eastAsia="新宋体"/>
                      <w:szCs w:val="21"/>
                      <w:lang w:val="en-US" w:eastAsia="zh-CN"/>
                    </w:rPr>
                    <w:t>07</w:t>
                  </w:r>
                  <w:r>
                    <w:rPr>
                      <w:rFonts w:hint="eastAsia" w:ascii="新宋体" w:hAnsi="新宋体" w:eastAsia="新宋体"/>
                      <w:szCs w:val="21"/>
                    </w:rPr>
                    <w:t>月</w:t>
                  </w:r>
                  <w:r>
                    <w:rPr>
                      <w:rFonts w:hint="eastAsia" w:ascii="新宋体" w:hAnsi="新宋体" w:eastAsia="新宋体"/>
                      <w:szCs w:val="21"/>
                      <w:lang w:val="en-US" w:eastAsia="zh-CN"/>
                    </w:rPr>
                    <w:t>26</w:t>
                  </w:r>
                  <w:r>
                    <w:rPr>
                      <w:rFonts w:hint="eastAsia" w:ascii="新宋体" w:hAnsi="新宋体" w:eastAsia="新宋体"/>
                      <w:szCs w:val="21"/>
                    </w:rPr>
                    <w:t xml:space="preserve">日 </w:t>
                  </w:r>
                  <w:r>
                    <w:rPr>
                      <w:rFonts w:hint="eastAsia" w:ascii="新宋体" w:hAnsi="新宋体" w:eastAsia="新宋体"/>
                      <w:szCs w:val="21"/>
                      <w:lang w:val="en-US" w:eastAsia="zh-CN"/>
                    </w:rPr>
                    <w:t>14</w:t>
                  </w:r>
                  <w:r>
                    <w:rPr>
                      <w:rFonts w:hint="eastAsia" w:ascii="新宋体" w:hAnsi="新宋体" w:eastAsia="新宋体"/>
                      <w:szCs w:val="21"/>
                    </w:rPr>
                    <w:t>:30时之前上传到深圳公共资源交易中心网站。具体操作为登录“深圳公共资源交易中心网”后进入“深圳社会代理机构系统”，用“应标管理→上传投标文件”功能点上传投标文件。本项目电子投标文件最大容量为100MB，超过此容量的文件将被拒绝</w:t>
                  </w:r>
                  <w:r>
                    <w:rPr>
                      <w:rFonts w:ascii="新宋体" w:hAnsi="新宋体" w:eastAsia="新宋体"/>
                      <w:szCs w:val="21"/>
                    </w:rPr>
                    <w:t xml:space="preserve">。 </w:t>
                  </w:r>
                </w:p>
                <w:p>
                  <w:pPr>
                    <w:widowControl/>
                    <w:numPr>
                      <w:ilvl w:val="0"/>
                      <w:numId w:val="7"/>
                    </w:numPr>
                    <w:tabs>
                      <w:tab w:val="left" w:pos="360"/>
                      <w:tab w:val="left" w:pos="426"/>
                    </w:tabs>
                    <w:spacing w:before="100" w:beforeAutospacing="1" w:after="100" w:afterAutospacing="1" w:line="360" w:lineRule="auto"/>
                    <w:ind w:left="426"/>
                    <w:jc w:val="left"/>
                    <w:rPr>
                      <w:rFonts w:ascii="新宋体" w:hAnsi="新宋体" w:eastAsia="新宋体"/>
                      <w:szCs w:val="21"/>
                    </w:rPr>
                  </w:pPr>
                  <w:r>
                    <w:rPr>
                      <w:rFonts w:ascii="新宋体" w:hAnsi="新宋体" w:eastAsia="新宋体"/>
                      <w:szCs w:val="21"/>
                    </w:rPr>
                    <w:t xml:space="preserve">开标时间和地点 </w:t>
                  </w:r>
                  <w:r>
                    <w:rPr>
                      <w:rFonts w:hint="eastAsia" w:ascii="新宋体" w:hAnsi="新宋体" w:eastAsia="新宋体"/>
                      <w:szCs w:val="21"/>
                    </w:rPr>
                    <w:t>：定于2021年</w:t>
                  </w:r>
                  <w:r>
                    <w:rPr>
                      <w:rFonts w:hint="eastAsia" w:ascii="新宋体" w:hAnsi="新宋体" w:eastAsia="新宋体"/>
                      <w:szCs w:val="21"/>
                      <w:lang w:val="en-US" w:eastAsia="zh-CN"/>
                    </w:rPr>
                    <w:t>07</w:t>
                  </w:r>
                  <w:r>
                    <w:rPr>
                      <w:rFonts w:hint="eastAsia" w:ascii="新宋体" w:hAnsi="新宋体" w:eastAsia="新宋体"/>
                      <w:szCs w:val="21"/>
                    </w:rPr>
                    <w:t>月</w:t>
                  </w:r>
                  <w:r>
                    <w:rPr>
                      <w:rFonts w:hint="eastAsia" w:ascii="新宋体" w:hAnsi="新宋体" w:eastAsia="新宋体"/>
                      <w:szCs w:val="21"/>
                      <w:lang w:val="en-US" w:eastAsia="zh-CN"/>
                    </w:rPr>
                    <w:t>26</w:t>
                  </w:r>
                  <w:r>
                    <w:rPr>
                      <w:rFonts w:hint="eastAsia" w:ascii="新宋体" w:hAnsi="新宋体" w:eastAsia="新宋体"/>
                      <w:szCs w:val="21"/>
                    </w:rPr>
                    <w:t xml:space="preserve">日 </w:t>
                  </w:r>
                  <w:r>
                    <w:rPr>
                      <w:rFonts w:hint="eastAsia" w:ascii="新宋体" w:hAnsi="新宋体" w:eastAsia="新宋体"/>
                      <w:szCs w:val="21"/>
                      <w:lang w:val="en-US" w:eastAsia="zh-CN"/>
                    </w:rPr>
                    <w:t>14</w:t>
                  </w:r>
                  <w:r>
                    <w:rPr>
                      <w:rFonts w:hint="eastAsia" w:ascii="新宋体" w:hAnsi="新宋体" w:eastAsia="新宋体"/>
                      <w:szCs w:val="21"/>
                    </w:rPr>
                    <w:t>:30时，在深圳市瑞凝信招标咨询有限公司公开开标。供应商可以登录“深圳公共资源交易中心”后进入“深圳社会代理机构系统”，用“采购实施→查看开标一览表”功能点查询开标情况。</w:t>
                  </w:r>
                  <w:r>
                    <w:rPr>
                      <w:rFonts w:ascii="新宋体" w:hAnsi="新宋体" w:eastAsia="新宋体"/>
                      <w:szCs w:val="21"/>
                    </w:rPr>
                    <w:t xml:space="preserve">。 </w:t>
                  </w:r>
                </w:p>
                <w:p>
                  <w:pPr>
                    <w:keepNext/>
                    <w:keepLines/>
                    <w:spacing w:before="260" w:after="260" w:line="360" w:lineRule="auto"/>
                    <w:outlineLvl w:val="2"/>
                    <w:rPr>
                      <w:rFonts w:ascii="新宋体" w:hAnsi="新宋体" w:eastAsia="新宋体"/>
                      <w:b/>
                      <w:bCs/>
                      <w:szCs w:val="21"/>
                    </w:rPr>
                  </w:pPr>
                  <w:r>
                    <w:rPr>
                      <w:rFonts w:ascii="新宋体" w:hAnsi="新宋体" w:eastAsia="新宋体"/>
                      <w:b/>
                      <w:bCs/>
                      <w:szCs w:val="21"/>
                    </w:rPr>
                    <w:t>八、重要提示：</w:t>
                  </w:r>
                </w:p>
                <w:p>
                  <w:pPr>
                    <w:widowControl/>
                    <w:numPr>
                      <w:ilvl w:val="0"/>
                      <w:numId w:val="8"/>
                    </w:numPr>
                    <w:tabs>
                      <w:tab w:val="left" w:pos="360"/>
                    </w:tabs>
                    <w:spacing w:before="100" w:beforeAutospacing="1" w:after="100" w:afterAutospacing="1" w:line="360" w:lineRule="auto"/>
                    <w:ind w:left="32" w:hanging="32"/>
                    <w:jc w:val="left"/>
                    <w:rPr>
                      <w:rFonts w:ascii="新宋体" w:hAnsi="新宋体" w:eastAsia="新宋体"/>
                      <w:szCs w:val="21"/>
                    </w:rPr>
                  </w:pPr>
                  <w:r>
                    <w:rPr>
                      <w:rFonts w:ascii="新宋体" w:hAnsi="新宋体" w:eastAsia="新宋体"/>
                      <w:szCs w:val="21"/>
                    </w:rPr>
                    <w:t xml:space="preserve">深圳市瑞凝信招标咨询有限公司有权对中标供应商就本项目资格条款要求提供的相关证明资料（原件）进行审查。供应商提供虚假资料被查实的，则可能面临被取消本项目中标资格、列入不良行为记录名单和三年内禁止参与深圳市政府采购活动的风险。 </w:t>
                  </w:r>
                </w:p>
                <w:p>
                  <w:pPr>
                    <w:widowControl/>
                    <w:numPr>
                      <w:ilvl w:val="0"/>
                      <w:numId w:val="8"/>
                    </w:numPr>
                    <w:tabs>
                      <w:tab w:val="left" w:pos="360"/>
                    </w:tabs>
                    <w:spacing w:before="100" w:beforeAutospacing="1" w:after="100" w:afterAutospacing="1" w:line="360" w:lineRule="auto"/>
                    <w:ind w:left="32" w:hanging="32"/>
                    <w:jc w:val="left"/>
                    <w:rPr>
                      <w:rFonts w:ascii="新宋体" w:hAnsi="新宋体" w:eastAsia="新宋体"/>
                      <w:szCs w:val="21"/>
                    </w:rPr>
                  </w:pPr>
                  <w:r>
                    <w:rPr>
                      <w:rFonts w:ascii="新宋体" w:hAnsi="新宋体" w:eastAsia="新宋体"/>
                      <w:szCs w:val="21"/>
                    </w:rPr>
                    <w:t>本招标公告及本项目招标文件所涉及的时间一律为北京时间。投标人有义务在招标活动期间浏览</w:t>
                  </w:r>
                  <w:r>
                    <w:rPr>
                      <w:rFonts w:hint="eastAsia" w:ascii="新宋体" w:hAnsi="新宋体" w:eastAsia="新宋体"/>
                      <w:szCs w:val="21"/>
                    </w:rPr>
                    <w:t>深圳公共资源交易中心</w:t>
                  </w:r>
                  <w:r>
                    <w:rPr>
                      <w:rFonts w:ascii="新宋体" w:hAnsi="新宋体" w:eastAsia="新宋体"/>
                      <w:szCs w:val="21"/>
                    </w:rPr>
                    <w:t>（</w:t>
                  </w:r>
                  <w:r>
                    <w:rPr>
                      <w:rFonts w:hint="eastAsia" w:ascii="新宋体" w:hAnsi="新宋体" w:eastAsia="新宋体" w:cs="新宋体"/>
                      <w:szCs w:val="21"/>
                    </w:rPr>
                    <w:t>www.szzfcg.cn</w:t>
                  </w:r>
                  <w:r>
                    <w:rPr>
                      <w:rFonts w:ascii="新宋体" w:hAnsi="新宋体" w:eastAsia="新宋体"/>
                      <w:szCs w:val="21"/>
                    </w:rPr>
                    <w:t>），在</w:t>
                  </w:r>
                  <w:r>
                    <w:rPr>
                      <w:rFonts w:hint="eastAsia" w:ascii="新宋体" w:hAnsi="新宋体" w:eastAsia="新宋体"/>
                      <w:szCs w:val="21"/>
                    </w:rPr>
                    <w:t>深圳公共资源交易中心</w:t>
                  </w:r>
                  <w:r>
                    <w:rPr>
                      <w:rFonts w:ascii="新宋体" w:hAnsi="新宋体" w:eastAsia="新宋体"/>
                      <w:szCs w:val="21"/>
                    </w:rPr>
                    <w:t xml:space="preserve">网上公布的与本次招标项目有关的信息视为已送达各投标人。 </w:t>
                  </w:r>
                </w:p>
                <w:p>
                  <w:pPr>
                    <w:widowControl/>
                    <w:numPr>
                      <w:ilvl w:val="0"/>
                      <w:numId w:val="8"/>
                    </w:numPr>
                    <w:tabs>
                      <w:tab w:val="left" w:pos="360"/>
                    </w:tabs>
                    <w:spacing w:before="100" w:beforeAutospacing="1" w:after="100" w:afterAutospacing="1" w:line="360" w:lineRule="auto"/>
                    <w:ind w:left="32" w:hanging="32"/>
                    <w:jc w:val="left"/>
                    <w:rPr>
                      <w:rFonts w:ascii="新宋体" w:hAnsi="新宋体" w:eastAsia="新宋体"/>
                      <w:szCs w:val="21"/>
                    </w:rPr>
                  </w:pPr>
                  <w:r>
                    <w:rPr>
                      <w:rFonts w:hint="eastAsia" w:ascii="新宋体" w:hAnsi="新宋体" w:eastAsia="新宋体"/>
                      <w:szCs w:val="21"/>
                    </w:rPr>
                    <w:t>关于</w:t>
                  </w:r>
                  <w:r>
                    <w:rPr>
                      <w:rFonts w:ascii="新宋体" w:hAnsi="新宋体" w:eastAsia="新宋体"/>
                      <w:szCs w:val="21"/>
                    </w:rPr>
                    <w:t xml:space="preserve">投标保证金： </w:t>
                  </w:r>
                  <w:r>
                    <w:rPr>
                      <w:rFonts w:ascii="新宋体" w:hAnsi="新宋体" w:eastAsia="新宋体"/>
                      <w:szCs w:val="21"/>
                    </w:rPr>
                    <w:br w:type="textWrapping"/>
                  </w:r>
                  <w:r>
                    <w:rPr>
                      <w:rFonts w:ascii="新宋体" w:hAnsi="新宋体" w:eastAsia="新宋体"/>
                      <w:szCs w:val="21"/>
                    </w:rPr>
                    <w:t>（1）</w:t>
                  </w:r>
                  <w:r>
                    <w:rPr>
                      <w:rFonts w:hint="eastAsia" w:ascii="新宋体" w:hAnsi="新宋体" w:eastAsia="新宋体"/>
                      <w:szCs w:val="21"/>
                    </w:rPr>
                    <w:t>自2019年8月15日起，市政府采购中心所有采购项目停止收取投标保证金，同时将为所有注册供应商（因受到处罚被锁定权限的注册供应商除外）开放投标权限；</w:t>
                  </w:r>
                  <w:r>
                    <w:rPr>
                      <w:rFonts w:ascii="新宋体" w:hAnsi="新宋体" w:eastAsia="新宋体"/>
                      <w:szCs w:val="21"/>
                    </w:rPr>
                    <w:br w:type="textWrapping"/>
                  </w:r>
                  <w:r>
                    <w:rPr>
                      <w:rFonts w:ascii="新宋体" w:hAnsi="新宋体" w:eastAsia="新宋体"/>
                      <w:szCs w:val="21"/>
                    </w:rPr>
                    <w:t>（</w:t>
                  </w:r>
                  <w:r>
                    <w:rPr>
                      <w:rFonts w:hint="eastAsia" w:ascii="新宋体" w:hAnsi="新宋体" w:eastAsia="新宋体"/>
                      <w:szCs w:val="21"/>
                    </w:rPr>
                    <w:t>2</w:t>
                  </w:r>
                  <w:r>
                    <w:rPr>
                      <w:rFonts w:ascii="新宋体" w:hAnsi="新宋体" w:eastAsia="新宋体"/>
                      <w:szCs w:val="21"/>
                    </w:rPr>
                    <w:t xml:space="preserve">）保证金咨询电话：0755-83948155。 </w:t>
                  </w:r>
                </w:p>
                <w:p>
                  <w:pPr>
                    <w:keepNext/>
                    <w:keepLines/>
                    <w:spacing w:before="260" w:after="260" w:line="360" w:lineRule="auto"/>
                    <w:outlineLvl w:val="2"/>
                    <w:rPr>
                      <w:rFonts w:ascii="新宋体" w:hAnsi="新宋体" w:eastAsia="新宋体"/>
                      <w:b/>
                      <w:bCs/>
                      <w:szCs w:val="21"/>
                    </w:rPr>
                  </w:pPr>
                  <w:r>
                    <w:rPr>
                      <w:rFonts w:ascii="新宋体" w:hAnsi="新宋体" w:eastAsia="新宋体"/>
                      <w:b/>
                      <w:bCs/>
                      <w:szCs w:val="21"/>
                    </w:rPr>
                    <w:t>九、联系方式</w:t>
                  </w:r>
                </w:p>
                <w:p>
                  <w:pPr>
                    <w:spacing w:line="360" w:lineRule="auto"/>
                  </w:pPr>
                  <w:r>
                    <w:rPr>
                      <w:rFonts w:hint="eastAsia"/>
                    </w:rPr>
                    <w:t>1、招标组织机构</w:t>
                  </w:r>
                </w:p>
                <w:p>
                  <w:pPr>
                    <w:spacing w:line="360" w:lineRule="auto"/>
                  </w:pPr>
                  <w:r>
                    <w:rPr>
                      <w:rFonts w:hint="eastAsia"/>
                    </w:rPr>
                    <w:t>招标代理机构名称：深圳市瑞凝信招标咨询有限公司</w:t>
                  </w:r>
                </w:p>
                <w:p>
                  <w:pPr>
                    <w:spacing w:line="360" w:lineRule="auto"/>
                  </w:pPr>
                  <w:r>
                    <w:rPr>
                      <w:rFonts w:hint="eastAsia"/>
                    </w:rPr>
                    <w:t xml:space="preserve">招标代理机构地址：深圳市福田区天安数码城创新科技广场一期B座1210 </w:t>
                  </w:r>
                </w:p>
                <w:p>
                  <w:pPr>
                    <w:spacing w:line="360" w:lineRule="auto"/>
                  </w:pPr>
                  <w:r>
                    <w:rPr>
                      <w:rFonts w:hint="eastAsia"/>
                    </w:rPr>
                    <w:t>联系人：吴小姐   陈先生</w:t>
                  </w:r>
                </w:p>
                <w:p>
                  <w:pPr>
                    <w:spacing w:line="360" w:lineRule="auto"/>
                  </w:pPr>
                  <w:r>
                    <w:rPr>
                      <w:rFonts w:hint="eastAsia"/>
                    </w:rPr>
                    <w:t xml:space="preserve">联系电话：0755-83232102  </w:t>
                  </w:r>
                </w:p>
                <w:p>
                  <w:pPr>
                    <w:spacing w:line="360" w:lineRule="auto"/>
                  </w:pPr>
                  <w:r>
                    <w:rPr>
                      <w:rFonts w:hint="eastAsia"/>
                    </w:rPr>
                    <w:t>网上操作咨询：</w:t>
                  </w:r>
                </w:p>
                <w:p>
                  <w:pPr>
                    <w:spacing w:line="360" w:lineRule="auto"/>
                  </w:pPr>
                  <w:r>
                    <w:rPr>
                      <w:rFonts w:hint="eastAsia"/>
                    </w:rPr>
                    <w:t xml:space="preserve">采购系统、招投标软件技术支持：张工 / 0755-83203022-805 / 工作QQ：1272422942 </w:t>
                  </w:r>
                </w:p>
                <w:p>
                  <w:pPr>
                    <w:spacing w:line="360" w:lineRule="auto"/>
                  </w:pPr>
                  <w:r>
                    <w:rPr>
                      <w:rFonts w:hint="eastAsia"/>
                    </w:rPr>
                    <w:t xml:space="preserve">代理机构系统技术支持：温工 / 0755-83203022-808 / 技术支持QQ群：673471913 </w:t>
                  </w:r>
                </w:p>
                <w:p>
                  <w:pPr>
                    <w:spacing w:line="360" w:lineRule="auto"/>
                  </w:pPr>
                  <w:r>
                    <w:rPr>
                      <w:rFonts w:hint="eastAsia"/>
                    </w:rPr>
                    <w:t xml:space="preserve">注册咨询：83938966 </w:t>
                  </w:r>
                </w:p>
                <w:p>
                  <w:pPr>
                    <w:spacing w:line="360" w:lineRule="auto"/>
                  </w:pPr>
                  <w:r>
                    <w:rPr>
                      <w:rFonts w:hint="eastAsia"/>
                    </w:rPr>
                    <w:t xml:space="preserve">电子密钥咨询：83948165 4008301330 </w:t>
                  </w:r>
                </w:p>
                <w:p>
                  <w:pPr>
                    <w:spacing w:line="360" w:lineRule="auto"/>
                  </w:pPr>
                </w:p>
                <w:p>
                  <w:pPr>
                    <w:spacing w:line="360" w:lineRule="auto"/>
                    <w:rPr>
                      <w:rFonts w:ascii="新宋体" w:hAnsi="新宋体" w:eastAsia="新宋体" w:cs="新宋体"/>
                    </w:rPr>
                  </w:pPr>
                  <w:r>
                    <w:rPr>
                      <w:rFonts w:hint="eastAsia" w:ascii="新宋体" w:hAnsi="新宋体" w:eastAsia="新宋体" w:cs="新宋体"/>
                    </w:rPr>
                    <w:t>2、采购单位</w:t>
                  </w:r>
                </w:p>
                <w:p>
                  <w:pPr>
                    <w:spacing w:line="360" w:lineRule="auto"/>
                    <w:rPr>
                      <w:rFonts w:ascii="新宋体" w:hAnsi="新宋体" w:eastAsia="新宋体" w:cs="新宋体"/>
                    </w:rPr>
                  </w:pPr>
                  <w:r>
                    <w:rPr>
                      <w:rFonts w:hint="eastAsia" w:ascii="新宋体" w:hAnsi="新宋体" w:eastAsia="新宋体" w:cs="新宋体"/>
                    </w:rPr>
                    <w:t xml:space="preserve">单位名称：深圳市南山区前海学校 </w:t>
                  </w:r>
                </w:p>
                <w:p>
                  <w:pPr>
                    <w:spacing w:line="360" w:lineRule="auto"/>
                    <w:rPr>
                      <w:rFonts w:ascii="新宋体" w:hAnsi="新宋体" w:eastAsia="新宋体" w:cs="新宋体"/>
                    </w:rPr>
                  </w:pPr>
                  <w:r>
                    <w:rPr>
                      <w:rFonts w:hint="eastAsia" w:ascii="新宋体" w:hAnsi="新宋体" w:eastAsia="新宋体" w:cs="新宋体"/>
                    </w:rPr>
                    <w:t>详细地址：深圳市南山区桃李路1号</w:t>
                  </w:r>
                </w:p>
                <w:p>
                  <w:pPr>
                    <w:spacing w:line="360" w:lineRule="auto"/>
                  </w:pPr>
                  <w:r>
                    <w:rPr>
                      <w:rFonts w:hint="eastAsia" w:ascii="新宋体" w:hAnsi="新宋体" w:eastAsia="新宋体" w:cs="新宋体"/>
                    </w:rPr>
                    <w:t>联系方</w:t>
                  </w:r>
                  <w:r>
                    <w:rPr>
                      <w:rFonts w:hint="eastAsia" w:ascii="新宋体" w:hAnsi="新宋体" w:eastAsia="新宋体" w:cs="新宋体"/>
                      <w:szCs w:val="21"/>
                    </w:rPr>
                    <w:t>式：韩老师 0755-26470861</w:t>
                  </w:r>
                </w:p>
              </w:tc>
            </w:tr>
          </w:tbl>
          <w:p>
            <w:pPr>
              <w:rPr>
                <w:rFonts w:ascii="宋体" w:hAnsi="宋体" w:cs="宋体"/>
                <w:sz w:val="24"/>
              </w:rPr>
            </w:pPr>
          </w:p>
        </w:tc>
      </w:tr>
    </w:tbl>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jc w:val="right"/>
        <w:rPr>
          <w:rFonts w:ascii="宋体" w:hAnsi="宋体"/>
          <w:szCs w:val="21"/>
        </w:rPr>
      </w:pPr>
    </w:p>
    <w:p>
      <w:pPr>
        <w:ind w:firstLine="7200" w:firstLineChars="3000"/>
        <w:rPr>
          <w:sz w:val="24"/>
        </w:rPr>
      </w:pPr>
      <w:r>
        <w:rPr>
          <w:sz w:val="24"/>
        </w:rPr>
        <w:br w:type="page"/>
      </w:r>
    </w:p>
    <w:p>
      <w:pPr>
        <w:pStyle w:val="3"/>
      </w:pPr>
      <w:r>
        <w:rPr>
          <w:rFonts w:hint="eastAsia"/>
        </w:rPr>
        <w:t>第二章  招标项目需求</w:t>
      </w:r>
    </w:p>
    <w:p>
      <w:pPr>
        <w:pStyle w:val="3"/>
        <w:spacing w:before="120" w:beforeLines="50" w:after="120" w:afterLines="50"/>
        <w:rPr>
          <w:sz w:val="28"/>
          <w:szCs w:val="28"/>
        </w:rPr>
      </w:pPr>
      <w:bookmarkStart w:id="17" w:name="_Toc73518117"/>
      <w:bookmarkStart w:id="18" w:name="_Toc101074876"/>
      <w:bookmarkStart w:id="19" w:name="_Toc73517639"/>
      <w:bookmarkStart w:id="20" w:name="_Toc60560625"/>
      <w:bookmarkStart w:id="21" w:name="_Toc73521547"/>
      <w:bookmarkStart w:id="22" w:name="_Toc60631620"/>
      <w:bookmarkStart w:id="23" w:name="_Toc73521635"/>
      <w:bookmarkStart w:id="24" w:name="_Toc100052364"/>
      <w:r>
        <w:rPr>
          <w:rFonts w:hint="eastAsia"/>
          <w:sz w:val="28"/>
          <w:szCs w:val="28"/>
        </w:rPr>
        <w:t>一、对通用条款的补充内容</w:t>
      </w:r>
    </w:p>
    <w:bookmarkEnd w:id="17"/>
    <w:bookmarkEnd w:id="18"/>
    <w:bookmarkEnd w:id="19"/>
    <w:bookmarkEnd w:id="20"/>
    <w:bookmarkEnd w:id="21"/>
    <w:bookmarkEnd w:id="22"/>
    <w:bookmarkEnd w:id="23"/>
    <w:bookmarkEnd w:id="24"/>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投标文件的投递</w:t>
            </w:r>
          </w:p>
        </w:tc>
        <w:tc>
          <w:tcPr>
            <w:tcW w:w="5400" w:type="dxa"/>
            <w:vAlign w:val="center"/>
          </w:tcPr>
          <w:p>
            <w:pPr>
              <w:rPr>
                <w:rFonts w:ascii="宋体" w:hAnsi="宋体"/>
              </w:rPr>
            </w:pPr>
            <w:r>
              <w:rPr>
                <w:rFonts w:hint="eastAsia" w:ascii="宋体" w:hAnsi="宋体"/>
              </w:rPr>
              <w:t>本项目实行网上投标，投标人必须在招标文件规定的投标截止时间前登录“深圳市政府采购网”，使用“应标管理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履约保证金</w:t>
            </w:r>
          </w:p>
        </w:tc>
        <w:tc>
          <w:tcPr>
            <w:tcW w:w="5400" w:type="dxa"/>
            <w:vAlign w:val="center"/>
          </w:tcPr>
          <w:p>
            <w:pPr>
              <w:rPr>
                <w:rFonts w:ascii="宋体" w:hAnsi="宋体"/>
                <w:color w:val="FF0000"/>
              </w:rPr>
            </w:pPr>
            <w:r>
              <w:rPr>
                <w:rFonts w:hint="eastAsia"/>
              </w:rPr>
              <w:t>_____万元或合同金额的_____%</w:t>
            </w:r>
            <w:r>
              <w:rPr>
                <w:rFonts w:hint="eastAsia"/>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6</w:t>
            </w:r>
          </w:p>
        </w:tc>
        <w:tc>
          <w:tcPr>
            <w:tcW w:w="2160" w:type="dxa"/>
            <w:vAlign w:val="center"/>
          </w:tcPr>
          <w:p>
            <w:pPr>
              <w:rPr>
                <w:rFonts w:ascii="宋体" w:hAnsi="宋体"/>
              </w:rPr>
            </w:pPr>
            <w:r>
              <w:rPr>
                <w:rFonts w:hint="eastAsia" w:ascii="新宋体" w:hAnsi="新宋体" w:eastAsia="新宋体"/>
                <w:szCs w:val="21"/>
              </w:rPr>
              <w:t>中标服务费</w:t>
            </w:r>
          </w:p>
        </w:tc>
        <w:tc>
          <w:tcPr>
            <w:tcW w:w="5400" w:type="dxa"/>
            <w:vAlign w:val="center"/>
          </w:tcPr>
          <w:p>
            <w:pPr>
              <w:spacing w:line="276" w:lineRule="auto"/>
            </w:pPr>
            <w:r>
              <w:rPr>
                <w:rFonts w:hint="eastAsia"/>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p>
            <w:pPr>
              <w:spacing w:line="276" w:lineRule="auto"/>
            </w:pPr>
            <w:r>
              <w:rPr>
                <w:rFonts w:hint="eastAsia"/>
              </w:rPr>
              <w:t>1、招标代理服务收费按差额定率累进法计算；</w:t>
            </w:r>
          </w:p>
          <w:p>
            <w:r>
              <w:rPr>
                <w:rFonts w:hint="eastAsia"/>
              </w:rPr>
              <w:t>2、中标服务费的缴纳形式：向招标代理机构直接缴纳，可用支票、电汇等付款方式；</w:t>
            </w:r>
            <w:r>
              <w:rPr>
                <w:rFonts w:hint="eastAsia"/>
              </w:rPr>
              <w:br w:type="textWrapping"/>
            </w:r>
            <w:r>
              <w:rPr>
                <w:rFonts w:hint="eastAsia"/>
              </w:rPr>
              <w:t>3.</w:t>
            </w:r>
            <w:bookmarkStart w:id="25" w:name="_Hlk74670769"/>
            <w:r>
              <w:rPr>
                <w:rFonts w:hint="eastAsia"/>
              </w:rPr>
              <w:t>不足陆仟元的按陆仟元收取</w:t>
            </w:r>
            <w:bookmarkEnd w:id="25"/>
            <w:r>
              <w:rPr>
                <w:rFonts w:hint="eastAsia"/>
              </w:rPr>
              <w:t>。</w:t>
            </w:r>
          </w:p>
        </w:tc>
      </w:tr>
    </w:tbl>
    <w:p>
      <w:pPr>
        <w:rPr>
          <w:b/>
        </w:rPr>
      </w:pPr>
      <w:r>
        <w:rPr>
          <w:rFonts w:hint="eastAsia"/>
          <w:szCs w:val="21"/>
        </w:rPr>
        <w:t>备注：本表为通用条款相关内容的补充和明确，如与通用条款相冲突的以本表为准。</w:t>
      </w:r>
    </w:p>
    <w:p>
      <w:pPr>
        <w:rPr>
          <w:b/>
        </w:rPr>
      </w:pPr>
    </w:p>
    <w:p/>
    <w:p>
      <w:pPr>
        <w:pStyle w:val="3"/>
        <w:spacing w:before="120" w:beforeLines="50" w:after="120" w:afterLines="50"/>
        <w:rPr>
          <w:sz w:val="28"/>
          <w:szCs w:val="28"/>
        </w:rPr>
      </w:pPr>
      <w:r>
        <w:rPr>
          <w:rFonts w:hint="eastAsia"/>
          <w:sz w:val="28"/>
          <w:szCs w:val="28"/>
        </w:rPr>
        <w:t>二、货物清单</w:t>
      </w:r>
    </w:p>
    <w:p>
      <w:pPr>
        <w:rPr>
          <w:rFonts w:ascii="宋体" w:hAnsi="宋体"/>
          <w:b/>
          <w:szCs w:val="21"/>
        </w:rPr>
      </w:pPr>
      <w:r>
        <w:rPr>
          <w:rFonts w:hint="eastAsia" w:ascii="宋体" w:hAnsi="宋体"/>
          <w:b/>
          <w:szCs w:val="21"/>
        </w:rPr>
        <w:t>（一）货物总清单</w:t>
      </w:r>
    </w:p>
    <w:p>
      <w:pPr>
        <w:rPr>
          <w:rFonts w:ascii="宋体" w:hAnsi="宋体"/>
          <w:b/>
          <w:szCs w:val="21"/>
        </w:rPr>
      </w:pPr>
    </w:p>
    <w:tbl>
      <w:tblPr>
        <w:tblStyle w:val="43"/>
        <w:tblpPr w:leftFromText="180" w:rightFromText="180" w:topFromText="100" w:bottomFromText="100" w:vertAnchor="text"/>
        <w:tblW w:w="8160" w:type="dxa"/>
        <w:tblInd w:w="0" w:type="dxa"/>
        <w:tblLayout w:type="fixed"/>
        <w:tblCellMar>
          <w:top w:w="0" w:type="dxa"/>
          <w:left w:w="0" w:type="dxa"/>
          <w:bottom w:w="0" w:type="dxa"/>
          <w:right w:w="0" w:type="dxa"/>
        </w:tblCellMar>
      </w:tblPr>
      <w:tblGrid>
        <w:gridCol w:w="694"/>
        <w:gridCol w:w="1706"/>
        <w:gridCol w:w="1383"/>
        <w:gridCol w:w="705"/>
        <w:gridCol w:w="705"/>
        <w:gridCol w:w="2145"/>
        <w:gridCol w:w="822"/>
      </w:tblGrid>
      <w:tr>
        <w:tblPrEx>
          <w:tblCellMar>
            <w:top w:w="0" w:type="dxa"/>
            <w:left w:w="0" w:type="dxa"/>
            <w:bottom w:w="0" w:type="dxa"/>
            <w:right w:w="0" w:type="dxa"/>
          </w:tblCellMar>
        </w:tblPrEx>
        <w:trPr>
          <w:trHeight w:val="905" w:hRule="atLeast"/>
        </w:trPr>
        <w:tc>
          <w:tcPr>
            <w:tcW w:w="694"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70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采购计划编号</w:t>
            </w:r>
          </w:p>
        </w:tc>
        <w:tc>
          <w:tcPr>
            <w:tcW w:w="138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货物名称</w:t>
            </w:r>
          </w:p>
        </w:tc>
        <w:tc>
          <w:tcPr>
            <w:tcW w:w="70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70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单位</w:t>
            </w:r>
          </w:p>
        </w:tc>
        <w:tc>
          <w:tcPr>
            <w:tcW w:w="214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财政预算限额（元）</w:t>
            </w:r>
          </w:p>
        </w:tc>
        <w:tc>
          <w:tcPr>
            <w:tcW w:w="822"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0" w:type="dxa"/>
            <w:bottom w:w="0" w:type="dxa"/>
            <w:right w:w="0" w:type="dxa"/>
          </w:tblCellMar>
        </w:tblPrEx>
        <w:trPr>
          <w:trHeight w:val="333" w:hRule="atLeast"/>
        </w:trPr>
        <w:tc>
          <w:tcPr>
            <w:tcW w:w="6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706"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HYPERLINK "http://www.szzfcg.cn/blaster/query/budgetdeDetails.do?id=949504243" \t "http://www.szzfcg.cn/stock/_blank" </w:instrText>
            </w:r>
            <w:r>
              <w:rPr>
                <w:rFonts w:hint="eastAsia" w:ascii="宋体" w:hAnsi="宋体" w:cs="宋体"/>
                <w:kern w:val="0"/>
                <w:szCs w:val="21"/>
              </w:rPr>
              <w:fldChar w:fldCharType="separate"/>
            </w:r>
            <w:r>
              <w:rPr>
                <w:rFonts w:hint="eastAsia" w:ascii="宋体" w:hAnsi="宋体" w:cs="宋体"/>
                <w:kern w:val="0"/>
                <w:szCs w:val="21"/>
              </w:rPr>
              <w:t>PLAN-2021-440305-0502020048-01010</w:t>
            </w:r>
            <w:r>
              <w:rPr>
                <w:rFonts w:hint="eastAsia" w:ascii="宋体" w:hAnsi="宋体" w:cs="宋体"/>
                <w:kern w:val="0"/>
                <w:szCs w:val="21"/>
              </w:rPr>
              <w:fldChar w:fldCharType="end"/>
            </w:r>
            <w:bookmarkStart w:id="34" w:name="_GoBack"/>
            <w:bookmarkEnd w:id="34"/>
          </w:p>
        </w:tc>
        <w:tc>
          <w:tcPr>
            <w:tcW w:w="13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60"/>
              <w:jc w:val="center"/>
              <w:rPr>
                <w:szCs w:val="21"/>
              </w:rPr>
            </w:pPr>
            <w:r>
              <w:rPr>
                <w:rFonts w:hint="eastAsia"/>
                <w:bCs/>
                <w:szCs w:val="21"/>
              </w:rPr>
              <w:t>课桌椅</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600</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ascii="宋体" w:hAnsi="宋体" w:cs="宋体"/>
                <w:kern w:val="0"/>
                <w:szCs w:val="21"/>
              </w:rPr>
              <w:t>套</w:t>
            </w:r>
          </w:p>
        </w:tc>
        <w:tc>
          <w:tcPr>
            <w:tcW w:w="214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300000.00</w:t>
            </w:r>
          </w:p>
        </w:tc>
        <w:tc>
          <w:tcPr>
            <w:tcW w:w="8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p>
        </w:tc>
      </w:tr>
      <w:tr>
        <w:tblPrEx>
          <w:tblCellMar>
            <w:top w:w="0" w:type="dxa"/>
            <w:left w:w="0" w:type="dxa"/>
            <w:bottom w:w="0" w:type="dxa"/>
            <w:right w:w="0" w:type="dxa"/>
          </w:tblCellMar>
        </w:tblPrEx>
        <w:trPr>
          <w:trHeight w:val="333" w:hRule="atLeast"/>
        </w:trPr>
        <w:tc>
          <w:tcPr>
            <w:tcW w:w="6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706"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p>
        </w:tc>
        <w:tc>
          <w:tcPr>
            <w:tcW w:w="13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szCs w:val="21"/>
              </w:rPr>
            </w:pPr>
            <w:r>
              <w:rPr>
                <w:rFonts w:hint="eastAsia"/>
                <w:szCs w:val="21"/>
              </w:rPr>
              <w:t>原班级课桌椅的清理</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600</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ascii="宋体" w:hAnsi="宋体" w:cs="宋体"/>
                <w:kern w:val="0"/>
                <w:szCs w:val="21"/>
              </w:rPr>
              <w:t>套</w:t>
            </w:r>
          </w:p>
        </w:tc>
        <w:tc>
          <w:tcPr>
            <w:tcW w:w="214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p>
        </w:tc>
        <w:tc>
          <w:tcPr>
            <w:tcW w:w="8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p>
        </w:tc>
      </w:tr>
      <w:tr>
        <w:tblPrEx>
          <w:tblCellMar>
            <w:top w:w="0" w:type="dxa"/>
            <w:left w:w="0" w:type="dxa"/>
            <w:bottom w:w="0" w:type="dxa"/>
            <w:right w:w="0" w:type="dxa"/>
          </w:tblCellMar>
        </w:tblPrEx>
        <w:trPr>
          <w:trHeight w:val="333" w:hRule="atLeast"/>
        </w:trPr>
        <w:tc>
          <w:tcPr>
            <w:tcW w:w="6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706"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p>
        </w:tc>
        <w:tc>
          <w:tcPr>
            <w:tcW w:w="13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szCs w:val="21"/>
              </w:rPr>
            </w:pPr>
            <w:r>
              <w:rPr>
                <w:rFonts w:hint="eastAsia"/>
                <w:szCs w:val="21"/>
              </w:rPr>
              <w:t>教师椅</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ascii="宋体" w:hAnsi="宋体" w:cs="宋体"/>
                <w:kern w:val="0"/>
                <w:szCs w:val="21"/>
              </w:rPr>
              <w:t>套</w:t>
            </w:r>
          </w:p>
        </w:tc>
        <w:tc>
          <w:tcPr>
            <w:tcW w:w="214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szCs w:val="21"/>
              </w:rPr>
            </w:pPr>
          </w:p>
        </w:tc>
        <w:tc>
          <w:tcPr>
            <w:tcW w:w="8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p>
        </w:tc>
      </w:tr>
      <w:tr>
        <w:tblPrEx>
          <w:tblCellMar>
            <w:top w:w="0" w:type="dxa"/>
            <w:left w:w="0" w:type="dxa"/>
            <w:bottom w:w="0" w:type="dxa"/>
            <w:right w:w="0" w:type="dxa"/>
          </w:tblCellMar>
        </w:tblPrEx>
        <w:trPr>
          <w:trHeight w:val="333" w:hRule="atLeast"/>
        </w:trPr>
        <w:tc>
          <w:tcPr>
            <w:tcW w:w="6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706"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p>
        </w:tc>
        <w:tc>
          <w:tcPr>
            <w:tcW w:w="13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szCs w:val="21"/>
              </w:rPr>
            </w:pPr>
            <w:r>
              <w:rPr>
                <w:rFonts w:hint="eastAsia"/>
                <w:szCs w:val="21"/>
              </w:rPr>
              <w:t>教师演示书写板</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ascii="宋体" w:hAnsi="宋体" w:cs="宋体"/>
                <w:kern w:val="0"/>
                <w:szCs w:val="21"/>
              </w:rPr>
              <w:t>套</w:t>
            </w:r>
          </w:p>
        </w:tc>
        <w:tc>
          <w:tcPr>
            <w:tcW w:w="214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p>
        </w:tc>
        <w:tc>
          <w:tcPr>
            <w:tcW w:w="8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Cs w:val="21"/>
              </w:rPr>
            </w:pPr>
          </w:p>
        </w:tc>
      </w:tr>
    </w:tbl>
    <w:p>
      <w:pPr>
        <w:rPr>
          <w:rFonts w:ascii="宋体" w:hAnsi="宋体"/>
          <w:b/>
          <w:szCs w:val="21"/>
        </w:rPr>
      </w:pPr>
    </w:p>
    <w:p>
      <w:pPr>
        <w:rPr>
          <w:rFonts w:ascii="宋体" w:hAnsi="宋体"/>
          <w:b/>
          <w:szCs w:val="21"/>
        </w:rPr>
      </w:pPr>
      <w:r>
        <w:rPr>
          <w:rFonts w:hint="eastAsia" w:ascii="宋体" w:hAnsi="宋体"/>
          <w:b/>
          <w:szCs w:val="21"/>
        </w:rPr>
        <w:t>（二）货物清单明细</w:t>
      </w:r>
    </w:p>
    <w:tbl>
      <w:tblPr>
        <w:tblStyle w:val="43"/>
        <w:tblpPr w:leftFromText="180" w:rightFromText="180" w:vertAnchor="text" w:horzAnchor="margin" w:tblpY="173"/>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2"/>
        <w:gridCol w:w="2268"/>
        <w:gridCol w:w="709"/>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序号</w:t>
            </w:r>
          </w:p>
        </w:tc>
        <w:tc>
          <w:tcPr>
            <w:tcW w:w="2172" w:type="dxa"/>
            <w:vAlign w:val="center"/>
          </w:tcPr>
          <w:p>
            <w:pPr>
              <w:jc w:val="center"/>
              <w:rPr>
                <w:bCs/>
                <w:szCs w:val="21"/>
              </w:rPr>
            </w:pPr>
            <w:r>
              <w:rPr>
                <w:rFonts w:hint="eastAsia"/>
                <w:szCs w:val="21"/>
              </w:rPr>
              <w:t>采购计划编号</w:t>
            </w:r>
          </w:p>
        </w:tc>
        <w:tc>
          <w:tcPr>
            <w:tcW w:w="2268" w:type="dxa"/>
            <w:vAlign w:val="center"/>
          </w:tcPr>
          <w:p>
            <w:pPr>
              <w:jc w:val="center"/>
              <w:rPr>
                <w:bCs/>
                <w:szCs w:val="21"/>
              </w:rPr>
            </w:pPr>
            <w:r>
              <w:rPr>
                <w:rFonts w:hint="eastAsia"/>
                <w:bCs/>
                <w:szCs w:val="21"/>
              </w:rPr>
              <w:t>货物名称</w:t>
            </w:r>
          </w:p>
        </w:tc>
        <w:tc>
          <w:tcPr>
            <w:tcW w:w="709" w:type="dxa"/>
            <w:vAlign w:val="center"/>
          </w:tcPr>
          <w:p>
            <w:pPr>
              <w:jc w:val="center"/>
              <w:rPr>
                <w:bCs/>
                <w:szCs w:val="21"/>
              </w:rPr>
            </w:pPr>
            <w:r>
              <w:rPr>
                <w:rFonts w:hint="eastAsia"/>
                <w:bCs/>
                <w:szCs w:val="21"/>
              </w:rPr>
              <w:t>数量</w:t>
            </w:r>
          </w:p>
        </w:tc>
        <w:tc>
          <w:tcPr>
            <w:tcW w:w="709" w:type="dxa"/>
            <w:vAlign w:val="center"/>
          </w:tcPr>
          <w:p>
            <w:pPr>
              <w:jc w:val="center"/>
              <w:rPr>
                <w:bCs/>
                <w:szCs w:val="21"/>
              </w:rPr>
            </w:pPr>
            <w:r>
              <w:rPr>
                <w:rFonts w:hint="eastAsia"/>
                <w:bCs/>
                <w:szCs w:val="21"/>
              </w:rPr>
              <w:t>单位</w:t>
            </w:r>
          </w:p>
        </w:tc>
        <w:tc>
          <w:tcPr>
            <w:tcW w:w="1417" w:type="dxa"/>
            <w:vAlign w:val="center"/>
          </w:tcPr>
          <w:p>
            <w:pPr>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szCs w:val="21"/>
              </w:rPr>
            </w:pPr>
            <w:r>
              <w:rPr>
                <w:rFonts w:hint="eastAsia"/>
                <w:bCs/>
                <w:szCs w:val="21"/>
              </w:rPr>
              <w:t>1</w:t>
            </w:r>
          </w:p>
        </w:tc>
        <w:tc>
          <w:tcPr>
            <w:tcW w:w="2172" w:type="dxa"/>
            <w:vMerge w:val="restart"/>
          </w:tcPr>
          <w:p>
            <w:pPr>
              <w:jc w:val="center"/>
              <w:rPr>
                <w:bCs/>
                <w:szCs w:val="21"/>
              </w:rPr>
            </w:pPr>
          </w:p>
        </w:tc>
        <w:tc>
          <w:tcPr>
            <w:tcW w:w="2268" w:type="dxa"/>
          </w:tcPr>
          <w:p>
            <w:pPr>
              <w:jc w:val="center"/>
              <w:rPr>
                <w:bCs/>
                <w:szCs w:val="21"/>
              </w:rPr>
            </w:pPr>
          </w:p>
        </w:tc>
        <w:tc>
          <w:tcPr>
            <w:tcW w:w="709" w:type="dxa"/>
          </w:tcPr>
          <w:p>
            <w:pPr>
              <w:jc w:val="center"/>
              <w:rPr>
                <w:bCs/>
                <w:szCs w:val="21"/>
              </w:rPr>
            </w:pPr>
          </w:p>
        </w:tc>
        <w:tc>
          <w:tcPr>
            <w:tcW w:w="709" w:type="dxa"/>
          </w:tcPr>
          <w:p>
            <w:pPr>
              <w:jc w:val="center"/>
              <w:rPr>
                <w:bCs/>
                <w:szCs w:val="21"/>
              </w:rPr>
            </w:pPr>
          </w:p>
        </w:tc>
        <w:tc>
          <w:tcPr>
            <w:tcW w:w="1417"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szCs w:val="21"/>
              </w:rPr>
            </w:pPr>
            <w:r>
              <w:rPr>
                <w:rFonts w:hint="eastAsia"/>
                <w:bCs/>
                <w:szCs w:val="21"/>
              </w:rPr>
              <w:t>2</w:t>
            </w:r>
          </w:p>
        </w:tc>
        <w:tc>
          <w:tcPr>
            <w:tcW w:w="2172" w:type="dxa"/>
            <w:vMerge w:val="continue"/>
          </w:tcPr>
          <w:p>
            <w:pPr>
              <w:jc w:val="center"/>
              <w:rPr>
                <w:bCs/>
                <w:szCs w:val="21"/>
              </w:rPr>
            </w:pPr>
          </w:p>
        </w:tc>
        <w:tc>
          <w:tcPr>
            <w:tcW w:w="2268" w:type="dxa"/>
          </w:tcPr>
          <w:p>
            <w:pPr>
              <w:jc w:val="center"/>
              <w:rPr>
                <w:bCs/>
                <w:szCs w:val="21"/>
              </w:rPr>
            </w:pPr>
          </w:p>
        </w:tc>
        <w:tc>
          <w:tcPr>
            <w:tcW w:w="709" w:type="dxa"/>
          </w:tcPr>
          <w:p>
            <w:pPr>
              <w:jc w:val="center"/>
              <w:rPr>
                <w:bCs/>
                <w:szCs w:val="21"/>
              </w:rPr>
            </w:pPr>
          </w:p>
        </w:tc>
        <w:tc>
          <w:tcPr>
            <w:tcW w:w="709" w:type="dxa"/>
          </w:tcPr>
          <w:p>
            <w:pPr>
              <w:jc w:val="center"/>
              <w:rPr>
                <w:bCs/>
                <w:szCs w:val="21"/>
              </w:rPr>
            </w:pPr>
          </w:p>
        </w:tc>
        <w:tc>
          <w:tcPr>
            <w:tcW w:w="1417"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szCs w:val="21"/>
              </w:rPr>
            </w:pPr>
            <w:r>
              <w:rPr>
                <w:rFonts w:hint="eastAsia"/>
                <w:bCs/>
                <w:szCs w:val="21"/>
              </w:rPr>
              <w:t>3</w:t>
            </w:r>
          </w:p>
        </w:tc>
        <w:tc>
          <w:tcPr>
            <w:tcW w:w="2172" w:type="dxa"/>
            <w:vMerge w:val="continue"/>
          </w:tcPr>
          <w:p>
            <w:pPr>
              <w:jc w:val="center"/>
              <w:rPr>
                <w:bCs/>
                <w:szCs w:val="21"/>
              </w:rPr>
            </w:pPr>
          </w:p>
        </w:tc>
        <w:tc>
          <w:tcPr>
            <w:tcW w:w="2268" w:type="dxa"/>
          </w:tcPr>
          <w:p>
            <w:pPr>
              <w:jc w:val="center"/>
              <w:rPr>
                <w:bCs/>
                <w:szCs w:val="21"/>
              </w:rPr>
            </w:pPr>
          </w:p>
        </w:tc>
        <w:tc>
          <w:tcPr>
            <w:tcW w:w="709" w:type="dxa"/>
          </w:tcPr>
          <w:p>
            <w:pPr>
              <w:jc w:val="center"/>
              <w:rPr>
                <w:bCs/>
                <w:szCs w:val="21"/>
              </w:rPr>
            </w:pPr>
          </w:p>
        </w:tc>
        <w:tc>
          <w:tcPr>
            <w:tcW w:w="709" w:type="dxa"/>
          </w:tcPr>
          <w:p>
            <w:pPr>
              <w:jc w:val="center"/>
              <w:rPr>
                <w:bCs/>
                <w:szCs w:val="21"/>
              </w:rPr>
            </w:pPr>
          </w:p>
        </w:tc>
        <w:tc>
          <w:tcPr>
            <w:tcW w:w="1417" w:type="dxa"/>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szCs w:val="21"/>
              </w:rPr>
            </w:pPr>
            <w:r>
              <w:rPr>
                <w:rFonts w:hint="eastAsia"/>
                <w:bCs/>
                <w:szCs w:val="21"/>
              </w:rPr>
              <w:t>4</w:t>
            </w:r>
          </w:p>
        </w:tc>
        <w:tc>
          <w:tcPr>
            <w:tcW w:w="2172" w:type="dxa"/>
          </w:tcPr>
          <w:p>
            <w:pPr>
              <w:jc w:val="center"/>
              <w:rPr>
                <w:bCs/>
                <w:szCs w:val="21"/>
              </w:rPr>
            </w:pPr>
          </w:p>
        </w:tc>
        <w:tc>
          <w:tcPr>
            <w:tcW w:w="2268" w:type="dxa"/>
          </w:tcPr>
          <w:p>
            <w:pPr>
              <w:jc w:val="center"/>
              <w:rPr>
                <w:bCs/>
                <w:szCs w:val="21"/>
              </w:rPr>
            </w:pPr>
          </w:p>
        </w:tc>
        <w:tc>
          <w:tcPr>
            <w:tcW w:w="709" w:type="dxa"/>
          </w:tcPr>
          <w:p>
            <w:pPr>
              <w:jc w:val="center"/>
              <w:rPr>
                <w:bCs/>
                <w:szCs w:val="21"/>
              </w:rPr>
            </w:pPr>
          </w:p>
        </w:tc>
        <w:tc>
          <w:tcPr>
            <w:tcW w:w="709" w:type="dxa"/>
          </w:tcPr>
          <w:p>
            <w:pPr>
              <w:jc w:val="center"/>
              <w:rPr>
                <w:bCs/>
                <w:szCs w:val="21"/>
              </w:rPr>
            </w:pPr>
          </w:p>
        </w:tc>
        <w:tc>
          <w:tcPr>
            <w:tcW w:w="1417" w:type="dxa"/>
          </w:tcPr>
          <w:p>
            <w:pPr>
              <w:jc w:val="center"/>
              <w:rPr>
                <w:bCs/>
                <w:szCs w:val="21"/>
              </w:rPr>
            </w:pPr>
          </w:p>
        </w:tc>
      </w:tr>
    </w:tbl>
    <w:p>
      <w:pPr>
        <w:rPr>
          <w:rFonts w:ascii="宋体" w:hAnsi="宋体"/>
          <w:b/>
          <w:szCs w:val="21"/>
        </w:rPr>
      </w:pPr>
    </w:p>
    <w:p>
      <w:pPr>
        <w:rPr>
          <w:rFonts w:ascii="宋体" w:hAnsi="宋体"/>
          <w:b/>
          <w:szCs w:val="21"/>
        </w:rPr>
      </w:pPr>
    </w:p>
    <w:p>
      <w:pPr>
        <w:rPr>
          <w:rFonts w:ascii="宋体" w:hAnsi="宋体"/>
          <w:b/>
          <w:szCs w:val="21"/>
        </w:rPr>
      </w:pPr>
      <w:r>
        <w:rPr>
          <w:rFonts w:hint="eastAsia" w:ascii="宋体" w:hAnsi="宋体"/>
          <w:b/>
          <w:szCs w:val="21"/>
        </w:rPr>
        <w:t xml:space="preserve">备注：1.备注栏注明“拒绝进口”的产品不接受投标人选用进口产品参与投标；注明“接受进口”的产品允许投标人选用进口产品参与投标，但不排斥国内产品。 </w:t>
      </w:r>
    </w:p>
    <w:p>
      <w:pPr>
        <w:rPr>
          <w:rFonts w:ascii="宋体" w:hAnsi="宋体"/>
          <w:b/>
          <w:szCs w:val="21"/>
        </w:rPr>
      </w:pPr>
      <w:r>
        <w:rPr>
          <w:rFonts w:hint="eastAsia" w:ascii="宋体" w:hAnsi="宋体"/>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rPr>
          <w:rFonts w:ascii="宋体" w:hAnsi="宋体"/>
          <w:b/>
          <w:szCs w:val="21"/>
        </w:rPr>
      </w:pPr>
      <w:r>
        <w:rPr>
          <w:rFonts w:hint="eastAsia" w:ascii="宋体" w:hAnsi="宋体"/>
          <w:b/>
          <w:szCs w:val="21"/>
        </w:rPr>
        <w:t>3、本项目核心产品为：</w:t>
      </w:r>
      <w:r>
        <w:rPr>
          <w:rFonts w:hint="eastAsia" w:ascii="宋体" w:hAnsi="宋体"/>
          <w:b/>
          <w:szCs w:val="21"/>
          <w:u w:val="single"/>
        </w:rPr>
        <w:t xml:space="preserve">      </w:t>
      </w:r>
      <w:r>
        <w:rPr>
          <w:rFonts w:hint="eastAsia" w:ascii="宋体" w:hAnsi="宋体"/>
          <w:b/>
          <w:szCs w:val="21"/>
        </w:rPr>
        <w:t>。</w:t>
      </w:r>
    </w:p>
    <w:p>
      <w:pPr>
        <w:rPr>
          <w:rFonts w:ascii="宋体" w:hAnsi="宋体"/>
          <w:b/>
          <w:color w:val="FF0000"/>
          <w:szCs w:val="21"/>
        </w:rPr>
      </w:pPr>
    </w:p>
    <w:p>
      <w:pPr>
        <w:pStyle w:val="3"/>
        <w:spacing w:before="120" w:beforeLines="50" w:after="120" w:afterLines="50"/>
        <w:rPr>
          <w:sz w:val="28"/>
          <w:szCs w:val="28"/>
        </w:rPr>
      </w:pPr>
      <w:bookmarkStart w:id="26"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pPr>
              <w:adjustRightInd w:val="0"/>
              <w:snapToGrid w:val="0"/>
              <w:spacing w:line="360" w:lineRule="auto"/>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7483" w:type="dxa"/>
          </w:tcPr>
          <w:p>
            <w:pPr>
              <w:adjustRightInd w:val="0"/>
              <w:snapToGrid w:val="0"/>
              <w:spacing w:line="360" w:lineRule="auto"/>
              <w:rPr>
                <w:rFonts w:hAnsi="宋体"/>
                <w:kern w:val="0"/>
                <w:szCs w:val="21"/>
              </w:rPr>
            </w:pPr>
            <w:r>
              <w:rPr>
                <w:rFonts w:hint="eastAsia" w:hAnsi="宋体"/>
                <w:kern w:val="0"/>
                <w:szCs w:val="21"/>
              </w:rPr>
              <w:t>具体技术要求、商务需求中带“★”要求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w:t>
            </w:r>
          </w:p>
        </w:tc>
        <w:tc>
          <w:tcPr>
            <w:tcW w:w="7483" w:type="dxa"/>
          </w:tcPr>
          <w:p>
            <w:pPr>
              <w:adjustRightInd w:val="0"/>
              <w:snapToGrid w:val="0"/>
              <w:spacing w:line="360" w:lineRule="auto"/>
              <w:rPr>
                <w:rFonts w:hAnsi="宋体"/>
                <w:kern w:val="0"/>
                <w:szCs w:val="21"/>
              </w:rPr>
            </w:pPr>
            <w:r>
              <w:rPr>
                <w:rFonts w:hint="eastAsia" w:ascii="宋体" w:hAnsi="宋体"/>
                <w:kern w:val="0"/>
                <w:szCs w:val="21"/>
              </w:rPr>
              <w:t>……</w:t>
            </w:r>
          </w:p>
        </w:tc>
      </w:tr>
    </w:tbl>
    <w:p>
      <w:pPr>
        <w:pStyle w:val="5"/>
        <w:tabs>
          <w:tab w:val="left" w:pos="765"/>
        </w:tabs>
        <w:rPr>
          <w:rFonts w:ascii="黑体"/>
          <w:b w:val="0"/>
          <w:kern w:val="0"/>
          <w:sz w:val="24"/>
          <w:szCs w:val="24"/>
        </w:rPr>
      </w:pPr>
      <w:r>
        <w:rPr>
          <w:rFonts w:hint="eastAsia" w:ascii="黑体"/>
          <w:b w:val="0"/>
          <w:kern w:val="0"/>
          <w:sz w:val="24"/>
          <w:szCs w:val="24"/>
        </w:rPr>
        <w:t>注：上表所列内容为不可负偏离条款</w:t>
      </w:r>
      <w:bookmarkEnd w:id="26"/>
    </w:p>
    <w:p>
      <w:pPr>
        <w:rPr>
          <w:b/>
          <w:szCs w:val="21"/>
        </w:rPr>
      </w:pPr>
    </w:p>
    <w:p>
      <w:pPr>
        <w:pStyle w:val="3"/>
        <w:spacing w:before="120" w:beforeLines="50" w:after="120" w:afterLines="50"/>
        <w:rPr>
          <w:sz w:val="28"/>
          <w:szCs w:val="28"/>
        </w:rPr>
      </w:pPr>
      <w:r>
        <w:rPr>
          <w:rFonts w:hint="eastAsia"/>
          <w:sz w:val="28"/>
          <w:szCs w:val="28"/>
        </w:rPr>
        <w:t>四、具体技术要求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 xml:space="preserve">”指标项为重要参数，负偏离时依相关评分准则内容作重点扣分处理。 </w:t>
      </w:r>
    </w:p>
    <w:p>
      <w:pPr>
        <w:ind w:firstLine="422" w:firstLineChars="200"/>
        <w:rPr>
          <w:b/>
          <w:szCs w:val="21"/>
        </w:rPr>
      </w:pPr>
      <w:r>
        <w:rPr>
          <w:rFonts w:hint="eastAsia"/>
          <w:b/>
          <w:szCs w:val="21"/>
        </w:rPr>
        <w:t>2、招标技术要求中，用红色加粗字体标注的技术条款为要求提供证明资料的条款，</w:t>
      </w:r>
      <w:r>
        <w:rPr>
          <w:rFonts w:hint="eastAsia"/>
          <w:b/>
          <w:color w:val="FF0000"/>
          <w:szCs w:val="21"/>
        </w:rPr>
        <w:t>共</w:t>
      </w:r>
      <w:r>
        <w:rPr>
          <w:rFonts w:hint="eastAsia"/>
          <w:b/>
          <w:color w:val="FF0000"/>
          <w:szCs w:val="21"/>
          <w:u w:val="single"/>
        </w:rPr>
        <w:t xml:space="preserve"> 8 </w:t>
      </w:r>
      <w:r>
        <w:rPr>
          <w:rFonts w:hint="eastAsia"/>
          <w:b/>
          <w:color w:val="FF0000"/>
          <w:szCs w:val="21"/>
        </w:rPr>
        <w:t>项</w:t>
      </w:r>
      <w:r>
        <w:rPr>
          <w:rFonts w:hint="eastAsia"/>
          <w:b/>
          <w:szCs w:val="21"/>
        </w:rPr>
        <w:t>，其余为未要求提供证明资料的条款，无需提供相关证明资料。</w:t>
      </w:r>
    </w:p>
    <w:p>
      <w:pPr>
        <w:ind w:firstLine="422" w:firstLineChars="200"/>
        <w:rPr>
          <w:b/>
          <w:szCs w:val="21"/>
        </w:rPr>
      </w:pPr>
      <w:r>
        <w:rPr>
          <w:rFonts w:hint="eastAsia"/>
          <w:b/>
        </w:rPr>
        <w:t>3、评分时，如对一项招标技术要求（以划分框为准）中的内容存在两处（或以上）负偏离的，在评分时只作一项负偏离扣分。</w:t>
      </w:r>
    </w:p>
    <w:p>
      <w:pPr>
        <w:rPr>
          <w:b/>
          <w:szCs w:val="21"/>
        </w:rPr>
      </w:pPr>
    </w:p>
    <w:p>
      <w:pPr>
        <w:rPr>
          <w:b/>
          <w:szCs w:val="21"/>
        </w:rPr>
      </w:pPr>
    </w:p>
    <w:tbl>
      <w:tblPr>
        <w:tblStyle w:val="43"/>
        <w:tblW w:w="8420" w:type="dxa"/>
        <w:tblInd w:w="0" w:type="dxa"/>
        <w:tblLayout w:type="fixed"/>
        <w:tblCellMar>
          <w:top w:w="0" w:type="dxa"/>
          <w:left w:w="108" w:type="dxa"/>
          <w:bottom w:w="0" w:type="dxa"/>
          <w:right w:w="108" w:type="dxa"/>
        </w:tblCellMar>
      </w:tblPr>
      <w:tblGrid>
        <w:gridCol w:w="640"/>
        <w:gridCol w:w="1100"/>
        <w:gridCol w:w="6020"/>
        <w:gridCol w:w="660"/>
      </w:tblGrid>
      <w:tr>
        <w:tblPrEx>
          <w:tblCellMar>
            <w:top w:w="0" w:type="dxa"/>
            <w:left w:w="108" w:type="dxa"/>
            <w:bottom w:w="0" w:type="dxa"/>
            <w:right w:w="108" w:type="dxa"/>
          </w:tblCellMar>
        </w:tblPrEx>
        <w:trPr>
          <w:trHeight w:val="375" w:hRule="atLeast"/>
        </w:trPr>
        <w:tc>
          <w:tcPr>
            <w:tcW w:w="640" w:type="dxa"/>
            <w:tcBorders>
              <w:top w:val="single" w:color="auto" w:sz="4" w:space="0"/>
              <w:left w:val="single" w:color="auto" w:sz="4" w:space="0"/>
              <w:bottom w:val="single" w:color="auto" w:sz="4" w:space="0"/>
              <w:right w:val="single" w:color="auto" w:sz="4" w:space="0"/>
            </w:tcBorders>
            <w:shd w:val="clear" w:color="000000" w:fill="BEBEBE"/>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100" w:type="dxa"/>
            <w:tcBorders>
              <w:top w:val="single" w:color="auto" w:sz="4" w:space="0"/>
              <w:left w:val="nil"/>
              <w:bottom w:val="single" w:color="auto" w:sz="4" w:space="0"/>
              <w:right w:val="single" w:color="auto" w:sz="4" w:space="0"/>
            </w:tcBorders>
            <w:shd w:val="clear" w:color="000000" w:fill="BEBEBE"/>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6020" w:type="dxa"/>
            <w:tcBorders>
              <w:top w:val="single" w:color="auto" w:sz="4" w:space="0"/>
              <w:left w:val="nil"/>
              <w:bottom w:val="single" w:color="auto" w:sz="4" w:space="0"/>
              <w:right w:val="single" w:color="auto" w:sz="4" w:space="0"/>
            </w:tcBorders>
            <w:shd w:val="clear" w:color="000000" w:fill="BEBEBE"/>
            <w:vAlign w:val="center"/>
          </w:tcPr>
          <w:p>
            <w:pPr>
              <w:widowControl/>
              <w:jc w:val="center"/>
              <w:rPr>
                <w:rFonts w:ascii="宋体" w:hAnsi="宋体" w:cs="宋体"/>
                <w:b/>
                <w:bCs/>
                <w:kern w:val="0"/>
                <w:szCs w:val="21"/>
              </w:rPr>
            </w:pPr>
            <w:r>
              <w:rPr>
                <w:rFonts w:hint="eastAsia" w:ascii="宋体" w:hAnsi="宋体" w:cs="宋体"/>
                <w:b/>
                <w:bCs/>
                <w:kern w:val="0"/>
                <w:szCs w:val="21"/>
              </w:rPr>
              <w:t>具体技术要求</w:t>
            </w:r>
          </w:p>
        </w:tc>
        <w:tc>
          <w:tcPr>
            <w:tcW w:w="660" w:type="dxa"/>
            <w:tcBorders>
              <w:top w:val="single" w:color="auto" w:sz="4" w:space="0"/>
              <w:left w:val="nil"/>
              <w:bottom w:val="single" w:color="auto" w:sz="4" w:space="0"/>
              <w:right w:val="single" w:color="auto" w:sz="4" w:space="0"/>
            </w:tcBorders>
            <w:shd w:val="clear" w:color="000000" w:fill="BEBEBE"/>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523"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课桌椅</w:t>
            </w:r>
          </w:p>
        </w:tc>
        <w:tc>
          <w:tcPr>
            <w:tcW w:w="6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一、桌子</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kern w:val="0"/>
                <w:szCs w:val="21"/>
              </w:rPr>
            </w:pPr>
            <w:r>
              <w:rPr>
                <w:rFonts w:cs="Calibri"/>
                <w:kern w:val="0"/>
                <w:szCs w:val="21"/>
              </w:rPr>
              <w:t>　</w:t>
            </w:r>
          </w:p>
        </w:tc>
      </w:tr>
      <w:tr>
        <w:tblPrEx>
          <w:tblCellMar>
            <w:top w:w="0" w:type="dxa"/>
            <w:left w:w="108" w:type="dxa"/>
            <w:bottom w:w="0" w:type="dxa"/>
            <w:right w:w="108" w:type="dxa"/>
          </w:tblCellMar>
        </w:tblPrEx>
        <w:trPr>
          <w:trHeight w:val="49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1、规格：600*400*490～760mmH(长*宽*高）</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2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2、台面采用18mm厚橡木板制作，表面经过抛光打磨处理后，刷环保透明漆，四角倒小圆角。</w:t>
            </w:r>
          </w:p>
          <w:p>
            <w:pPr>
              <w:widowControl/>
              <w:rPr>
                <w:rFonts w:hint="eastAsia" w:ascii="宋体" w:hAnsi="宋体" w:cs="宋体"/>
                <w:b/>
                <w:color w:val="FF0000"/>
                <w:kern w:val="0"/>
                <w:szCs w:val="21"/>
              </w:rPr>
            </w:pPr>
            <w:r>
              <w:rPr>
                <w:rFonts w:hint="eastAsia" w:ascii="宋体" w:hAnsi="宋体" w:cs="宋体"/>
                <w:b/>
                <w:color w:val="FF0000"/>
                <w:kern w:val="0"/>
                <w:szCs w:val="21"/>
              </w:rPr>
              <w:t>▲采用水性环保底漆及水性环保面漆，其中VOC含量/（g/L）≤92，甲醛含量/（mg/kg）：未检出，苯系物总和含量/（mg/kg）：未检出，乙二醇醚及醚酯总和含量/（mg/kg）：未检出，烷基酚聚氧乙烯醚总和含量/（mg/kg）：未检出。检测依据：GB18581-2020木器涂料中有害物质限量。</w:t>
            </w:r>
          </w:p>
          <w:p>
            <w:pPr>
              <w:widowControl/>
              <w:rPr>
                <w:rFonts w:ascii="宋体" w:hAnsi="宋体" w:cs="宋体"/>
                <w:kern w:val="0"/>
                <w:szCs w:val="21"/>
              </w:rPr>
            </w:pPr>
            <w:r>
              <w:rPr>
                <w:rFonts w:hint="eastAsia" w:ascii="宋体" w:hAnsi="宋体" w:cs="宋体"/>
                <w:b/>
                <w:color w:val="FF0000"/>
                <w:kern w:val="0"/>
                <w:szCs w:val="21"/>
              </w:rPr>
              <w:t>投标人需提供具有CMA及CNAS认证的检测机构出具的符合以上技术要求的水性环保底漆、水性环保面漆合格抽样检验报告（检验报告委托单位须是投标人，检测时间为2019年1月1日至本项目公告前）复印件或扫描件加盖投标人公章，原件备查。</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43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b/>
                <w:bCs/>
                <w:color w:val="FF0000"/>
                <w:kern w:val="0"/>
                <w:szCs w:val="21"/>
              </w:rPr>
            </w:pPr>
            <w:r>
              <w:rPr>
                <w:rFonts w:hint="eastAsia" w:ascii="宋体" w:hAnsi="宋体" w:cs="宋体"/>
                <w:kern w:val="0"/>
                <w:szCs w:val="21"/>
              </w:rPr>
              <w:t xml:space="preserve">3、脚架主杆采用60*30*1.2mm，底脚采用60*30*1.2mm椭圆钢管；两脚架之间用50mm*20mm两头折弯钢管连接，带书包挂钩，书包挂钩采用细钢筋折弯冲压成型，呈“蘑菇”型。 </w:t>
            </w:r>
            <w:r>
              <w:rPr>
                <w:rFonts w:hint="eastAsia" w:ascii="宋体" w:hAnsi="宋体" w:cs="宋体"/>
                <w:kern w:val="0"/>
                <w:szCs w:val="21"/>
              </w:rPr>
              <w:br w:type="textWrapping"/>
            </w:r>
            <w:r>
              <w:rPr>
                <w:rFonts w:hint="eastAsia" w:ascii="宋体" w:hAnsi="宋体" w:cs="宋体"/>
                <w:b/>
                <w:bCs/>
                <w:color w:val="FF0000"/>
                <w:kern w:val="0"/>
                <w:szCs w:val="21"/>
              </w:rPr>
              <w:t>▲投标人提供具有CMA及CNAS认证的检测机构出具的（喷涂钢管）合格抽样检验报告（检验报告委托单位须是投标人，检测时间为2019年1月1日至本项目公告前）扫描件，原件备查。</w:t>
            </w:r>
          </w:p>
          <w:p>
            <w:pPr>
              <w:widowControl/>
              <w:rPr>
                <w:rFonts w:hint="eastAsia" w:ascii="宋体" w:hAnsi="宋体" w:cs="宋体"/>
                <w:b/>
                <w:bCs/>
                <w:color w:val="FF0000"/>
                <w:kern w:val="0"/>
                <w:szCs w:val="21"/>
              </w:rPr>
            </w:pPr>
            <w:r>
              <w:rPr>
                <w:rFonts w:hint="eastAsia" w:ascii="宋体" w:hAnsi="宋体" w:cs="宋体"/>
                <w:b/>
                <w:bCs/>
                <w:color w:val="FF0000"/>
                <w:kern w:val="0"/>
                <w:szCs w:val="21"/>
              </w:rPr>
              <w:t>检测依据：GB/T 708-2006《冷轧钢板和钢带的尺寸、外形、重量及允许偏差》、GB/T 3325-2017《金属家具通用技术条件》</w:t>
            </w:r>
          </w:p>
          <w:p>
            <w:pPr>
              <w:widowControl/>
              <w:rPr>
                <w:rFonts w:hint="eastAsia" w:ascii="宋体" w:hAnsi="宋体" w:cs="宋体"/>
                <w:b/>
                <w:bCs/>
                <w:color w:val="FF0000"/>
                <w:kern w:val="0"/>
                <w:szCs w:val="21"/>
              </w:rPr>
            </w:pPr>
            <w:r>
              <w:rPr>
                <w:rFonts w:hint="eastAsia" w:ascii="宋体" w:hAnsi="宋体" w:cs="宋体"/>
                <w:b/>
                <w:bCs/>
                <w:color w:val="FF0000"/>
                <w:kern w:val="0"/>
                <w:szCs w:val="21"/>
              </w:rPr>
              <w:t>检测要求：</w:t>
            </w:r>
          </w:p>
          <w:p>
            <w:pPr>
              <w:widowControl/>
              <w:rPr>
                <w:rFonts w:ascii="宋体" w:hAnsi="宋体" w:cs="宋体"/>
                <w:b/>
                <w:bCs/>
                <w:color w:val="FF0000"/>
                <w:kern w:val="0"/>
                <w:szCs w:val="21"/>
              </w:rPr>
            </w:pPr>
            <w:r>
              <w:rPr>
                <w:rFonts w:hint="eastAsia" w:ascii="宋体" w:hAnsi="宋体" w:cs="宋体"/>
                <w:b/>
                <w:bCs/>
                <w:color w:val="FF0000"/>
                <w:kern w:val="0"/>
                <w:szCs w:val="21"/>
              </w:rPr>
              <w:t>厚度允许偏差（mm）＞1.20～1.60 mm，允许偏差±0.10 mm，耐腐性：100h内，观察在溶液中样板上划道两侧3mm以外，应无气泡产生；100h后检查划道两侧3mm外，应无锈迹、剥落、起皱、变色、和失光等现象。</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2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b/>
                <w:bCs/>
                <w:color w:val="FF0000"/>
                <w:kern w:val="0"/>
                <w:szCs w:val="21"/>
              </w:rPr>
            </w:pPr>
            <w:r>
              <w:rPr>
                <w:rFonts w:hint="eastAsia" w:ascii="宋体" w:hAnsi="宋体" w:cs="宋体"/>
                <w:kern w:val="0"/>
                <w:szCs w:val="21"/>
              </w:rPr>
              <w:t>4、抽屉采用1mm钢板冲压而成，表面为灰白色静电喷涂环氧树酯粉体处理。</w:t>
            </w:r>
          </w:p>
          <w:p>
            <w:pPr>
              <w:widowControl/>
              <w:rPr>
                <w:rFonts w:hint="eastAsia" w:ascii="宋体" w:hAnsi="宋体" w:cs="宋体"/>
                <w:b/>
                <w:bCs/>
                <w:color w:val="FF0000"/>
                <w:kern w:val="0"/>
                <w:szCs w:val="21"/>
              </w:rPr>
            </w:pPr>
            <w:r>
              <w:rPr>
                <w:rFonts w:hint="eastAsia" w:ascii="宋体" w:hAnsi="宋体" w:cs="宋体"/>
                <w:b/>
                <w:bCs/>
                <w:color w:val="FF0000"/>
                <w:kern w:val="0"/>
                <w:szCs w:val="21"/>
              </w:rPr>
              <w:t>▲投标人提供具有CMA及CNAS认证的检测机构出具的（喷涂粉末）的合格抽样检验报告（检验报告委托单位须是投标人，检测时间为2020年1月1日至本项目公告前）复印件或扫描件加盖投标人公章，原件备查。</w:t>
            </w:r>
          </w:p>
          <w:p>
            <w:pPr>
              <w:widowControl/>
              <w:rPr>
                <w:rFonts w:hint="eastAsia" w:ascii="宋体" w:hAnsi="宋体" w:cs="宋体"/>
                <w:b/>
                <w:bCs/>
                <w:color w:val="FF0000"/>
                <w:kern w:val="0"/>
                <w:szCs w:val="21"/>
              </w:rPr>
            </w:pPr>
            <w:r>
              <w:rPr>
                <w:rFonts w:hint="eastAsia" w:ascii="宋体" w:hAnsi="宋体" w:cs="宋体"/>
                <w:b/>
                <w:bCs/>
                <w:color w:val="FF0000"/>
                <w:kern w:val="0"/>
                <w:szCs w:val="21"/>
              </w:rPr>
              <w:t>检测依据：HG/T2006-2006 《热固性粉末涂料》5.22</w:t>
            </w:r>
          </w:p>
          <w:p>
            <w:pPr>
              <w:widowControl/>
              <w:rPr>
                <w:rFonts w:hint="eastAsia" w:ascii="宋体" w:hAnsi="宋体" w:cs="宋体"/>
                <w:b/>
                <w:bCs/>
                <w:color w:val="FF0000"/>
                <w:kern w:val="0"/>
                <w:szCs w:val="21"/>
              </w:rPr>
            </w:pPr>
            <w:r>
              <w:rPr>
                <w:rFonts w:hint="eastAsia" w:ascii="宋体" w:hAnsi="宋体" w:cs="宋体"/>
                <w:b/>
                <w:bCs/>
                <w:color w:val="FF0000"/>
                <w:kern w:val="0"/>
                <w:szCs w:val="21"/>
              </w:rPr>
              <w:t>检验要求：</w:t>
            </w:r>
          </w:p>
          <w:p>
            <w:pPr>
              <w:widowControl/>
              <w:rPr>
                <w:rFonts w:hint="eastAsia" w:ascii="宋体" w:hAnsi="宋体" w:cs="宋体"/>
                <w:b/>
                <w:bCs/>
                <w:color w:val="FF0000"/>
                <w:kern w:val="0"/>
                <w:szCs w:val="21"/>
              </w:rPr>
            </w:pPr>
            <w:r>
              <w:rPr>
                <w:rFonts w:hint="eastAsia" w:ascii="宋体" w:hAnsi="宋体" w:cs="宋体"/>
                <w:b/>
                <w:bCs/>
                <w:color w:val="FF0000"/>
                <w:kern w:val="0"/>
                <w:szCs w:val="21"/>
              </w:rPr>
              <w:t>可溶性铅/（mg/kg）:未检出；</w:t>
            </w:r>
          </w:p>
          <w:p>
            <w:pPr>
              <w:widowControl/>
              <w:rPr>
                <w:rFonts w:hint="eastAsia" w:ascii="宋体" w:hAnsi="宋体" w:cs="宋体"/>
                <w:b/>
                <w:bCs/>
                <w:color w:val="FF0000"/>
                <w:kern w:val="0"/>
                <w:szCs w:val="21"/>
              </w:rPr>
            </w:pPr>
            <w:r>
              <w:rPr>
                <w:rFonts w:hint="eastAsia" w:ascii="宋体" w:hAnsi="宋体" w:cs="宋体"/>
                <w:b/>
                <w:bCs/>
                <w:color w:val="FF0000"/>
                <w:kern w:val="0"/>
                <w:szCs w:val="21"/>
              </w:rPr>
              <w:t>可溶性镉/（mg/kg）:未检出；</w:t>
            </w:r>
          </w:p>
          <w:p>
            <w:pPr>
              <w:widowControl/>
              <w:rPr>
                <w:rFonts w:hint="eastAsia" w:ascii="宋体" w:hAnsi="宋体" w:cs="宋体"/>
                <w:b/>
                <w:bCs/>
                <w:color w:val="FF0000"/>
                <w:kern w:val="0"/>
                <w:szCs w:val="21"/>
              </w:rPr>
            </w:pPr>
            <w:r>
              <w:rPr>
                <w:rFonts w:hint="eastAsia" w:ascii="宋体" w:hAnsi="宋体" w:cs="宋体"/>
                <w:b/>
                <w:bCs/>
                <w:color w:val="FF0000"/>
                <w:kern w:val="0"/>
                <w:szCs w:val="21"/>
              </w:rPr>
              <w:t>可溶性铬/（mg/kg）:未检出；</w:t>
            </w:r>
          </w:p>
          <w:p>
            <w:pPr>
              <w:widowControl/>
              <w:rPr>
                <w:rFonts w:ascii="宋体" w:hAnsi="宋体" w:cs="宋体"/>
                <w:kern w:val="0"/>
                <w:szCs w:val="21"/>
              </w:rPr>
            </w:pPr>
            <w:r>
              <w:rPr>
                <w:rFonts w:hint="eastAsia" w:ascii="宋体" w:hAnsi="宋体" w:cs="宋体"/>
                <w:b/>
                <w:bCs/>
                <w:color w:val="FF0000"/>
                <w:kern w:val="0"/>
                <w:szCs w:val="21"/>
              </w:rPr>
              <w:t>可溶性汞/（mg/kg）:未检出；</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3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5、胶套部件：全新ABS注塑而成，具有耐磨静音。底脚胶套具有穿合功能，不容易脱落。</w:t>
            </w:r>
          </w:p>
          <w:p>
            <w:pPr>
              <w:widowControl/>
              <w:rPr>
                <w:rFonts w:hint="eastAsia" w:ascii="宋体" w:hAnsi="宋体" w:cs="宋体"/>
                <w:b/>
                <w:color w:val="FF0000"/>
                <w:kern w:val="0"/>
                <w:szCs w:val="21"/>
              </w:rPr>
            </w:pPr>
            <w:r>
              <w:rPr>
                <w:rFonts w:hint="eastAsia" w:ascii="宋体" w:hAnsi="宋体" w:cs="宋体"/>
                <w:b/>
                <w:color w:val="FF0000"/>
                <w:kern w:val="0"/>
                <w:szCs w:val="21"/>
              </w:rPr>
              <w:t>▲投标人提供具有CMA及CNAS认证的检测机构出具的《ABS封边条》合格抽样检验报告（检验报告委托单位须是投标人，检测时间为2020年1月1日至本项目公告前）复印件或扫描件加盖投标人公章，原件备查。</w:t>
            </w:r>
          </w:p>
          <w:p>
            <w:pPr>
              <w:widowControl/>
              <w:rPr>
                <w:rFonts w:hint="eastAsia" w:ascii="宋体" w:hAnsi="宋体" w:cs="宋体"/>
                <w:b/>
                <w:color w:val="FF0000"/>
                <w:kern w:val="0"/>
                <w:szCs w:val="21"/>
              </w:rPr>
            </w:pPr>
            <w:r>
              <w:rPr>
                <w:rFonts w:hint="eastAsia" w:ascii="宋体" w:hAnsi="宋体" w:cs="宋体"/>
                <w:b/>
                <w:color w:val="FF0000"/>
                <w:kern w:val="0"/>
                <w:szCs w:val="21"/>
              </w:rPr>
              <w:t>检测依据：QB/T 4463-2013《家具用封边条技术要求》</w:t>
            </w:r>
          </w:p>
          <w:p>
            <w:pPr>
              <w:widowControl/>
              <w:rPr>
                <w:rFonts w:hint="eastAsia" w:ascii="宋体" w:hAnsi="宋体" w:cs="宋体"/>
                <w:b/>
                <w:color w:val="FF0000"/>
                <w:kern w:val="0"/>
                <w:szCs w:val="21"/>
              </w:rPr>
            </w:pPr>
            <w:r>
              <w:rPr>
                <w:rFonts w:hint="eastAsia" w:ascii="宋体" w:hAnsi="宋体" w:cs="宋体"/>
                <w:b/>
                <w:color w:val="FF0000"/>
                <w:kern w:val="0"/>
                <w:szCs w:val="21"/>
              </w:rPr>
              <w:t xml:space="preserve">检测要求： </w:t>
            </w:r>
          </w:p>
          <w:p>
            <w:pPr>
              <w:widowControl/>
              <w:rPr>
                <w:rFonts w:ascii="宋体" w:hAnsi="宋体" w:cs="宋体"/>
                <w:b/>
                <w:color w:val="FF0000"/>
                <w:kern w:val="0"/>
                <w:szCs w:val="21"/>
              </w:rPr>
            </w:pPr>
            <w:r>
              <w:rPr>
                <w:rFonts w:hint="eastAsia" w:ascii="宋体" w:hAnsi="宋体" w:cs="宋体"/>
                <w:b/>
                <w:color w:val="FF0000"/>
                <w:kern w:val="0"/>
                <w:szCs w:val="21"/>
              </w:rPr>
              <w:t>耐干热性、耐磨性：符合标准要求；耐开裂性（耐龟裂性）：≥1级；耐热冷循坏：应无龟裂、无变色、无起皱；甲醛释放量（mg/L）：≤0.1；聚乙烯单体（mg/kg）：未检出；多溴联苯（PBB）（mg/kg）:未检出；多溴联苯醚（PBDE）（mg/kg）:未检出；</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37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二、椅子：</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1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1、规格：370*340*400～270mmH（长*宽*高）</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b/>
                <w:bCs/>
                <w:color w:val="FF0000"/>
                <w:kern w:val="0"/>
                <w:szCs w:val="21"/>
              </w:rPr>
            </w:pPr>
            <w:r>
              <w:rPr>
                <w:rFonts w:hint="eastAsia" w:ascii="宋体" w:hAnsi="宋体" w:cs="宋体"/>
                <w:kern w:val="0"/>
                <w:szCs w:val="21"/>
              </w:rPr>
              <w:t>2、靠背采用18mm厚橡木板制作，表面经过抛光打磨处理后，刷环保透明漆，四角倒小圆角，规格370mm*150mm;坐垫采用20mm橡木板制作，表面经过抛光打磨处理后，刷环保透明漆，四角倒小圆角，规格：370mm*340mm，脚架采用60mm*30mm*1.2mm椭圆钢管，底脚采用60*30*1.2mm椭圆钢管；两脚之间两头折弯钢管连接，上部采用内六角螺丝栓从坐椅内部与坐背、坐垫连接，使之既紧密结合又无螺丝外露。课椅底部带书网，书网由12根钢丝纵横交错连接而成。</w:t>
            </w:r>
          </w:p>
          <w:p>
            <w:pPr>
              <w:widowControl/>
              <w:rPr>
                <w:rFonts w:hint="eastAsia" w:ascii="宋体" w:hAnsi="宋体" w:cs="宋体"/>
                <w:b/>
                <w:bCs/>
                <w:color w:val="FF0000"/>
                <w:kern w:val="0"/>
                <w:szCs w:val="21"/>
              </w:rPr>
            </w:pPr>
            <w:r>
              <w:rPr>
                <w:rFonts w:hint="eastAsia" w:ascii="宋体" w:hAnsi="宋体" w:cs="宋体"/>
                <w:b/>
                <w:bCs/>
                <w:color w:val="FF0000"/>
                <w:kern w:val="0"/>
                <w:szCs w:val="21"/>
              </w:rPr>
              <w:t>▲投标人提供具有CMA及CNAS认证的检测机构出具的《304螺丝》合格抽样检验报告（检验报告委托单位须是投标人，检测时间为2020年1月1日至本项目公告前）扫描件，原件备查。</w:t>
            </w:r>
          </w:p>
          <w:p>
            <w:pPr>
              <w:widowControl/>
              <w:rPr>
                <w:rFonts w:hint="eastAsia" w:ascii="宋体" w:hAnsi="宋体" w:cs="宋体"/>
                <w:b/>
                <w:bCs/>
                <w:color w:val="FF0000"/>
                <w:kern w:val="0"/>
                <w:szCs w:val="21"/>
              </w:rPr>
            </w:pPr>
            <w:r>
              <w:rPr>
                <w:rFonts w:hint="eastAsia" w:ascii="宋体" w:hAnsi="宋体" w:cs="宋体"/>
                <w:b/>
                <w:bCs/>
                <w:color w:val="FF0000"/>
                <w:kern w:val="0"/>
                <w:szCs w:val="21"/>
              </w:rPr>
              <w:t>检测依据：GB/T 3325-2017《金属家具通用技术条件》</w:t>
            </w:r>
          </w:p>
          <w:p>
            <w:pPr>
              <w:widowControl/>
              <w:rPr>
                <w:rFonts w:hint="eastAsia" w:ascii="宋体" w:hAnsi="宋体" w:cs="宋体"/>
                <w:b/>
                <w:bCs/>
                <w:color w:val="FF0000"/>
                <w:kern w:val="0"/>
                <w:szCs w:val="21"/>
              </w:rPr>
            </w:pPr>
            <w:r>
              <w:rPr>
                <w:rFonts w:hint="eastAsia" w:ascii="宋体" w:hAnsi="宋体" w:cs="宋体"/>
                <w:b/>
                <w:bCs/>
                <w:color w:val="FF0000"/>
                <w:kern w:val="0"/>
                <w:szCs w:val="21"/>
              </w:rPr>
              <w:t xml:space="preserve">检测要求： </w:t>
            </w:r>
          </w:p>
          <w:p>
            <w:pPr>
              <w:widowControl/>
              <w:rPr>
                <w:rFonts w:ascii="宋体" w:hAnsi="宋体" w:cs="宋体"/>
                <w:kern w:val="0"/>
                <w:szCs w:val="21"/>
              </w:rPr>
            </w:pPr>
            <w:r>
              <w:rPr>
                <w:rFonts w:hint="eastAsia" w:ascii="宋体" w:hAnsi="宋体" w:cs="宋体"/>
                <w:b/>
                <w:bCs/>
                <w:color w:val="FF0000"/>
                <w:kern w:val="0"/>
                <w:szCs w:val="21"/>
              </w:rPr>
              <w:t>抗盐雾：18h，直径1.5mm以下锈点≤20点/dm²，其中直接≥1.0mm锈点不超过5点（距离边缘棱角3mm以内的不计） 实测结果为：无锈点。</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1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3、胶套部件：全新ABS注塑而成，具有耐磨静音。底脚胶套具有穿合功能，不容易脱落。</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投标人提供具有CMA及CNAS资质的副省级或以上检测机构，时间为2020年1月1日至本项目公告前，出具的《课桌椅（升降可调节课桌椅）》送样检测报告复印件或扫描件加盖投标人公章，原件备查。符合检测标准依据SZJG 52-2016《家具成品及原辅材料中有害物质限量》、GB/T3190-2008《变形铝及铝合金化学成本》SZJG 52-2016《家具成品及原辅材料中有害物质限量》整体家具挥发性有害物质检测要求:</w:t>
            </w:r>
            <w:r>
              <w:rPr>
                <w:rFonts w:hint="eastAsia" w:ascii="宋体" w:hAnsi="宋体" w:cs="宋体"/>
                <w:b/>
                <w:bCs/>
                <w:color w:val="FF0000"/>
                <w:kern w:val="0"/>
                <w:szCs w:val="21"/>
              </w:rPr>
              <w:br w:type="textWrapping"/>
            </w:r>
            <w:r>
              <w:rPr>
                <w:rFonts w:hint="eastAsia" w:ascii="宋体" w:hAnsi="宋体" w:cs="宋体"/>
                <w:b/>
                <w:bCs/>
                <w:color w:val="FF0000"/>
                <w:kern w:val="0"/>
                <w:szCs w:val="21"/>
              </w:rPr>
              <w:t>1.甲醛释放量,mg/m³≤0.01</w:t>
            </w:r>
            <w:r>
              <w:rPr>
                <w:rFonts w:hint="eastAsia" w:ascii="宋体" w:hAnsi="宋体" w:cs="宋体"/>
                <w:b/>
                <w:bCs/>
                <w:color w:val="FF0000"/>
                <w:kern w:val="0"/>
                <w:szCs w:val="21"/>
              </w:rPr>
              <w:br w:type="textWrapping"/>
            </w:r>
            <w:r>
              <w:rPr>
                <w:rFonts w:hint="eastAsia" w:ascii="宋体" w:hAnsi="宋体" w:cs="宋体"/>
                <w:b/>
                <w:bCs/>
                <w:color w:val="FF0000"/>
                <w:kern w:val="0"/>
                <w:szCs w:val="21"/>
              </w:rPr>
              <w:t>2.苯释放量,mg/ m³≤0.001</w:t>
            </w:r>
            <w:r>
              <w:rPr>
                <w:rFonts w:hint="eastAsia" w:ascii="宋体" w:hAnsi="宋体" w:cs="宋体"/>
                <w:b/>
                <w:bCs/>
                <w:color w:val="FF0000"/>
                <w:kern w:val="0"/>
                <w:szCs w:val="21"/>
              </w:rPr>
              <w:br w:type="textWrapping"/>
            </w:r>
            <w:r>
              <w:rPr>
                <w:rFonts w:hint="eastAsia" w:ascii="宋体" w:hAnsi="宋体" w:cs="宋体"/>
                <w:b/>
                <w:bCs/>
                <w:color w:val="FF0000"/>
                <w:kern w:val="0"/>
                <w:szCs w:val="21"/>
              </w:rPr>
              <w:t>3.甲苯释放量,mg/ m³≤0.01</w:t>
            </w:r>
            <w:r>
              <w:rPr>
                <w:rFonts w:hint="eastAsia" w:ascii="宋体" w:hAnsi="宋体" w:cs="宋体"/>
                <w:b/>
                <w:bCs/>
                <w:color w:val="FF0000"/>
                <w:kern w:val="0"/>
                <w:szCs w:val="21"/>
              </w:rPr>
              <w:br w:type="textWrapping"/>
            </w:r>
            <w:r>
              <w:rPr>
                <w:rFonts w:hint="eastAsia" w:ascii="宋体" w:hAnsi="宋体" w:cs="宋体"/>
                <w:b/>
                <w:bCs/>
                <w:color w:val="FF0000"/>
                <w:kern w:val="0"/>
                <w:szCs w:val="21"/>
              </w:rPr>
              <w:t>4.二甲苯释放量,mg/ m³≤0.01</w:t>
            </w:r>
            <w:r>
              <w:rPr>
                <w:rFonts w:hint="eastAsia" w:ascii="宋体" w:hAnsi="宋体" w:cs="宋体"/>
                <w:b/>
                <w:bCs/>
                <w:color w:val="FF0000"/>
                <w:kern w:val="0"/>
                <w:szCs w:val="21"/>
              </w:rPr>
              <w:br w:type="textWrapping"/>
            </w:r>
            <w:r>
              <w:rPr>
                <w:rFonts w:hint="eastAsia" w:ascii="宋体" w:hAnsi="宋体" w:cs="宋体"/>
                <w:b/>
                <w:bCs/>
                <w:color w:val="FF0000"/>
                <w:kern w:val="0"/>
                <w:szCs w:val="21"/>
              </w:rPr>
              <w:t>5.总挥发性有机化合物（TVOC）释放量mg/m3≤0.10</w:t>
            </w:r>
            <w:r>
              <w:rPr>
                <w:rFonts w:hint="eastAsia" w:ascii="宋体" w:hAnsi="宋体" w:cs="宋体"/>
                <w:b/>
                <w:bCs/>
                <w:color w:val="FF0000"/>
                <w:kern w:val="0"/>
                <w:szCs w:val="21"/>
              </w:rPr>
              <w:br w:type="textWrapping"/>
            </w:r>
            <w:r>
              <w:rPr>
                <w:rFonts w:hint="eastAsia" w:ascii="宋体" w:hAnsi="宋体" w:cs="宋体"/>
                <w:b/>
                <w:bCs/>
                <w:color w:val="FF0000"/>
                <w:kern w:val="0"/>
                <w:szCs w:val="21"/>
              </w:rPr>
              <w:t>注：单个挥发有机化合物的检出限0.002mg/m3</w:t>
            </w:r>
            <w:r>
              <w:rPr>
                <w:rFonts w:hint="eastAsia" w:ascii="宋体" w:hAnsi="宋体" w:cs="宋体"/>
                <w:b/>
                <w:bCs/>
                <w:color w:val="FF0000"/>
                <w:kern w:val="0"/>
                <w:szCs w:val="21"/>
              </w:rPr>
              <w:br w:type="textWrapping"/>
            </w:r>
            <w:r>
              <w:rPr>
                <w:rFonts w:hint="eastAsia" w:ascii="宋体" w:hAnsi="宋体" w:cs="宋体"/>
                <w:b/>
                <w:bCs/>
                <w:color w:val="FF0000"/>
                <w:kern w:val="0"/>
                <w:szCs w:val="21"/>
              </w:rPr>
              <w:t>GB/T3190-2008《变形铝及铝合金化学成本》要求</w:t>
            </w:r>
            <w:r>
              <w:rPr>
                <w:rFonts w:hint="eastAsia" w:ascii="宋体" w:hAnsi="宋体" w:cs="宋体"/>
                <w:b/>
                <w:bCs/>
                <w:color w:val="FF0000"/>
                <w:kern w:val="0"/>
                <w:szCs w:val="21"/>
              </w:rPr>
              <w:br w:type="textWrapping"/>
            </w:r>
            <w:r>
              <w:rPr>
                <w:rFonts w:hint="eastAsia" w:ascii="宋体" w:hAnsi="宋体" w:cs="宋体"/>
                <w:b/>
                <w:bCs/>
                <w:color w:val="FF0000"/>
                <w:kern w:val="0"/>
                <w:szCs w:val="21"/>
              </w:rPr>
              <w:t>铝合金成份</w:t>
            </w:r>
            <w:r>
              <w:rPr>
                <w:rFonts w:hint="eastAsia" w:ascii="宋体" w:hAnsi="宋体" w:cs="宋体"/>
                <w:b/>
                <w:bCs/>
                <w:color w:val="FF0000"/>
                <w:kern w:val="0"/>
                <w:szCs w:val="21"/>
              </w:rPr>
              <w:br w:type="textWrapping"/>
            </w:r>
            <w:r>
              <w:rPr>
                <w:rFonts w:hint="eastAsia" w:ascii="宋体" w:hAnsi="宋体" w:cs="宋体"/>
                <w:b/>
                <w:bCs/>
                <w:color w:val="FF0000"/>
                <w:kern w:val="0"/>
                <w:szCs w:val="21"/>
              </w:rPr>
              <w:t>1.硅（Si，%）0.20～0.6……合格</w:t>
            </w:r>
            <w:r>
              <w:rPr>
                <w:rFonts w:hint="eastAsia" w:ascii="宋体" w:hAnsi="宋体" w:cs="宋体"/>
                <w:b/>
                <w:bCs/>
                <w:color w:val="FF0000"/>
                <w:kern w:val="0"/>
                <w:szCs w:val="21"/>
              </w:rPr>
              <w:br w:type="textWrapping"/>
            </w:r>
            <w:r>
              <w:rPr>
                <w:rFonts w:hint="eastAsia" w:ascii="宋体" w:hAnsi="宋体" w:cs="宋体"/>
                <w:b/>
                <w:bCs/>
                <w:color w:val="FF0000"/>
                <w:kern w:val="0"/>
                <w:szCs w:val="21"/>
              </w:rPr>
              <w:t>2.铁（Fe，%）≤0.25……合格</w:t>
            </w:r>
            <w:r>
              <w:rPr>
                <w:rFonts w:hint="eastAsia" w:ascii="宋体" w:hAnsi="宋体" w:cs="宋体"/>
                <w:b/>
                <w:bCs/>
                <w:color w:val="FF0000"/>
                <w:kern w:val="0"/>
                <w:szCs w:val="21"/>
              </w:rPr>
              <w:br w:type="textWrapping"/>
            </w:r>
            <w:r>
              <w:rPr>
                <w:rFonts w:hint="eastAsia" w:ascii="宋体" w:hAnsi="宋体" w:cs="宋体"/>
                <w:b/>
                <w:bCs/>
                <w:color w:val="FF0000"/>
                <w:kern w:val="0"/>
                <w:szCs w:val="21"/>
              </w:rPr>
              <w:t>3.铜（Cu，%）≤0.015……合格</w:t>
            </w:r>
            <w:r>
              <w:rPr>
                <w:rFonts w:hint="eastAsia" w:ascii="宋体" w:hAnsi="宋体" w:cs="宋体"/>
                <w:b/>
                <w:bCs/>
                <w:color w:val="FF0000"/>
                <w:kern w:val="0"/>
                <w:szCs w:val="21"/>
              </w:rPr>
              <w:br w:type="textWrapping"/>
            </w:r>
            <w:r>
              <w:rPr>
                <w:rFonts w:hint="eastAsia" w:ascii="宋体" w:hAnsi="宋体" w:cs="宋体"/>
                <w:b/>
                <w:bCs/>
                <w:color w:val="FF0000"/>
                <w:kern w:val="0"/>
                <w:szCs w:val="21"/>
              </w:rPr>
              <w:t>4.锰（Mn，%）≤0.010……合格</w:t>
            </w:r>
            <w:r>
              <w:rPr>
                <w:rFonts w:hint="eastAsia" w:ascii="宋体" w:hAnsi="宋体" w:cs="宋体"/>
                <w:b/>
                <w:bCs/>
                <w:color w:val="FF0000"/>
                <w:kern w:val="0"/>
                <w:szCs w:val="21"/>
              </w:rPr>
              <w:br w:type="textWrapping"/>
            </w:r>
            <w:r>
              <w:rPr>
                <w:rFonts w:hint="eastAsia" w:ascii="宋体" w:hAnsi="宋体" w:cs="宋体"/>
                <w:b/>
                <w:bCs/>
                <w:color w:val="FF0000"/>
                <w:kern w:val="0"/>
                <w:szCs w:val="21"/>
              </w:rPr>
              <w:t>5.镁（Mg，%）0.45～0.9…合格</w:t>
            </w:r>
            <w:r>
              <w:rPr>
                <w:rFonts w:hint="eastAsia" w:ascii="宋体" w:hAnsi="宋体" w:cs="宋体"/>
                <w:b/>
                <w:bCs/>
                <w:color w:val="FF0000"/>
                <w:kern w:val="0"/>
                <w:szCs w:val="21"/>
              </w:rPr>
              <w:br w:type="textWrapping"/>
            </w:r>
            <w:r>
              <w:rPr>
                <w:rFonts w:hint="eastAsia" w:ascii="宋体" w:hAnsi="宋体" w:cs="宋体"/>
                <w:b/>
                <w:bCs/>
                <w:color w:val="FF0000"/>
                <w:kern w:val="0"/>
                <w:szCs w:val="21"/>
              </w:rPr>
              <w:t>6.铬（Cr，%）≤0.012……合格</w:t>
            </w:r>
            <w:r>
              <w:rPr>
                <w:rFonts w:hint="eastAsia" w:ascii="宋体" w:hAnsi="宋体" w:cs="宋体"/>
                <w:b/>
                <w:bCs/>
                <w:color w:val="FF0000"/>
                <w:kern w:val="0"/>
                <w:szCs w:val="21"/>
              </w:rPr>
              <w:br w:type="textWrapping"/>
            </w:r>
            <w:r>
              <w:rPr>
                <w:rFonts w:hint="eastAsia" w:ascii="宋体" w:hAnsi="宋体" w:cs="宋体"/>
                <w:b/>
                <w:bCs/>
                <w:color w:val="FF0000"/>
                <w:kern w:val="0"/>
                <w:szCs w:val="21"/>
              </w:rPr>
              <w:t>7.锌（Zn，%）≤0.012……合格</w:t>
            </w:r>
            <w:r>
              <w:rPr>
                <w:rFonts w:hint="eastAsia" w:ascii="宋体" w:hAnsi="宋体" w:cs="宋体"/>
                <w:b/>
                <w:bCs/>
                <w:color w:val="FF0000"/>
                <w:kern w:val="0"/>
                <w:szCs w:val="21"/>
              </w:rPr>
              <w:br w:type="textWrapping"/>
            </w:r>
            <w:r>
              <w:rPr>
                <w:rFonts w:hint="eastAsia" w:ascii="宋体" w:hAnsi="宋体" w:cs="宋体"/>
                <w:b/>
                <w:bCs/>
                <w:color w:val="FF0000"/>
                <w:kern w:val="0"/>
                <w:szCs w:val="21"/>
              </w:rPr>
              <w:t>8.钛（Ti，%）≤0.012……合格</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1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原班级课桌椅的清理</w:t>
            </w: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原班级课桌椅的清理，搬运到指定地点</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Calibri"/>
                <w:kern w:val="0"/>
                <w:szCs w:val="21"/>
              </w:rPr>
            </w:pPr>
            <w:r>
              <w:rPr>
                <w:rFonts w:cs="Calibri"/>
                <w:kern w:val="0"/>
                <w:szCs w:val="21"/>
              </w:rPr>
              <w:t>　</w:t>
            </w:r>
          </w:p>
        </w:tc>
      </w:tr>
      <w:tr>
        <w:tblPrEx>
          <w:tblCellMar>
            <w:top w:w="0" w:type="dxa"/>
            <w:left w:w="108" w:type="dxa"/>
            <w:bottom w:w="0" w:type="dxa"/>
            <w:right w:w="108" w:type="dxa"/>
          </w:tblCellMar>
        </w:tblPrEx>
        <w:trPr>
          <w:trHeight w:val="4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教师椅</w:t>
            </w: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cs="Calibri"/>
                <w:kern w:val="0"/>
                <w:szCs w:val="21"/>
              </w:rPr>
            </w:pPr>
            <w:r>
              <w:rPr>
                <w:rFonts w:cs="Calibri"/>
                <w:kern w:val="0"/>
                <w:szCs w:val="21"/>
              </w:rPr>
              <w:t>1.</w:t>
            </w:r>
            <w:r>
              <w:rPr>
                <w:rFonts w:hint="eastAsia" w:ascii="宋体" w:hAnsi="宋体" w:cs="Calibri"/>
                <w:kern w:val="0"/>
                <w:szCs w:val="21"/>
              </w:rPr>
              <w:t>规格：常规标准；</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kern w:val="0"/>
                <w:szCs w:val="21"/>
              </w:rPr>
            </w:pPr>
            <w:r>
              <w:rPr>
                <w:rFonts w:cs="Calibri"/>
                <w:kern w:val="0"/>
                <w:szCs w:val="21"/>
              </w:rPr>
              <w:t>　</w:t>
            </w: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cs="Calibri"/>
                <w:kern w:val="0"/>
                <w:szCs w:val="21"/>
              </w:rPr>
            </w:pPr>
            <w:r>
              <w:rPr>
                <w:rFonts w:cs="Calibri"/>
                <w:kern w:val="0"/>
                <w:szCs w:val="21"/>
              </w:rPr>
              <w:t>2.</w:t>
            </w:r>
            <w:r>
              <w:rPr>
                <w:rFonts w:hint="eastAsia" w:ascii="宋体" w:hAnsi="宋体" w:cs="Calibri"/>
                <w:kern w:val="0"/>
                <w:szCs w:val="21"/>
              </w:rPr>
              <w:t>靠背尺寸：</w:t>
            </w:r>
            <w:r>
              <w:rPr>
                <w:rFonts w:cs="Calibri"/>
                <w:kern w:val="0"/>
                <w:szCs w:val="21"/>
              </w:rPr>
              <w:t>W470</w:t>
            </w:r>
            <w:r>
              <w:rPr>
                <w:rFonts w:hint="eastAsia" w:ascii="宋体" w:hAnsi="宋体" w:cs="Calibri"/>
                <w:kern w:val="0"/>
                <w:szCs w:val="21"/>
              </w:rPr>
              <w:t>×</w:t>
            </w:r>
            <w:r>
              <w:rPr>
                <w:rFonts w:cs="Calibri"/>
                <w:kern w:val="0"/>
                <w:szCs w:val="21"/>
              </w:rPr>
              <w:t>H460mm</w:t>
            </w:r>
            <w:r>
              <w:rPr>
                <w:rFonts w:hint="eastAsia" w:ascii="宋体" w:hAnsi="宋体" w:cs="Calibri"/>
                <w:kern w:val="0"/>
                <w:szCs w:val="21"/>
              </w:rPr>
              <w:t>；（±</w:t>
            </w:r>
            <w:r>
              <w:rPr>
                <w:rFonts w:cs="Calibri"/>
                <w:kern w:val="0"/>
                <w:szCs w:val="21"/>
              </w:rPr>
              <w:t>15mm</w:t>
            </w:r>
            <w:r>
              <w:rPr>
                <w:rFonts w:hint="eastAsia" w:ascii="宋体" w:hAnsi="宋体" w:cs="Calibri"/>
                <w:kern w:val="0"/>
                <w:szCs w:val="21"/>
              </w:rPr>
              <w:t>）</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cs="Calibri"/>
                <w:kern w:val="0"/>
                <w:szCs w:val="21"/>
              </w:rPr>
            </w:pPr>
            <w:r>
              <w:rPr>
                <w:rFonts w:cs="Calibri"/>
                <w:kern w:val="0"/>
                <w:szCs w:val="21"/>
              </w:rPr>
              <w:t>3.</w:t>
            </w:r>
            <w:r>
              <w:rPr>
                <w:rFonts w:hint="eastAsia" w:ascii="宋体" w:hAnsi="宋体" w:cs="Calibri"/>
                <w:kern w:val="0"/>
                <w:szCs w:val="21"/>
              </w:rPr>
              <w:t>座椅靠背采用尼龙复合材质，可</w:t>
            </w:r>
            <w:r>
              <w:rPr>
                <w:rFonts w:cs="Calibri"/>
                <w:kern w:val="0"/>
                <w:szCs w:val="21"/>
              </w:rPr>
              <w:t>180</w:t>
            </w:r>
            <w:r>
              <w:rPr>
                <w:rFonts w:hint="eastAsia" w:ascii="宋体" w:hAnsi="宋体" w:cs="Calibri"/>
                <w:kern w:val="0"/>
                <w:szCs w:val="21"/>
              </w:rPr>
              <w:t>度后仰，</w:t>
            </w:r>
            <w:r>
              <w:rPr>
                <w:rFonts w:cs="Calibri"/>
                <w:kern w:val="0"/>
                <w:szCs w:val="21"/>
              </w:rPr>
              <w:t>12W</w:t>
            </w:r>
            <w:r>
              <w:rPr>
                <w:rFonts w:hint="eastAsia" w:ascii="宋体" w:hAnsi="宋体" w:cs="Calibri"/>
                <w:kern w:val="0"/>
                <w:szCs w:val="21"/>
              </w:rPr>
              <w:t>次弯曲测试仅</w:t>
            </w:r>
            <w:r>
              <w:rPr>
                <w:rFonts w:cs="Calibri"/>
                <w:kern w:val="0"/>
                <w:szCs w:val="21"/>
              </w:rPr>
              <w:t>0.01</w:t>
            </w:r>
            <w:r>
              <w:rPr>
                <w:rFonts w:hint="eastAsia" w:ascii="宋体" w:hAnsi="宋体" w:cs="Calibri"/>
                <w:kern w:val="0"/>
                <w:szCs w:val="21"/>
              </w:rPr>
              <w:t>变型。背板大直径的镂空设计，拥有极佳的散热透气性，保持身体清爽舒适。</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cs="Calibri"/>
                <w:kern w:val="0"/>
                <w:szCs w:val="21"/>
              </w:rPr>
            </w:pPr>
            <w:r>
              <w:rPr>
                <w:rFonts w:cs="Calibri"/>
                <w:kern w:val="0"/>
                <w:szCs w:val="21"/>
              </w:rPr>
              <w:t>4.</w:t>
            </w:r>
            <w:r>
              <w:rPr>
                <w:rFonts w:hint="eastAsia" w:ascii="宋体" w:hAnsi="宋体" w:cs="Calibri"/>
                <w:kern w:val="0"/>
                <w:szCs w:val="21"/>
              </w:rPr>
              <w:t>靠背</w:t>
            </w:r>
            <w:r>
              <w:rPr>
                <w:rFonts w:cs="Calibri"/>
                <w:kern w:val="0"/>
                <w:szCs w:val="21"/>
              </w:rPr>
              <w:t>S</w:t>
            </w:r>
            <w:r>
              <w:rPr>
                <w:rFonts w:hint="eastAsia" w:ascii="宋体" w:hAnsi="宋体" w:cs="Calibri"/>
                <w:kern w:val="0"/>
                <w:szCs w:val="21"/>
              </w:rPr>
              <w:t>型曲线包裹，可支撑整个背部，四点</w:t>
            </w:r>
            <w:r>
              <w:rPr>
                <w:rFonts w:cs="Calibri"/>
                <w:kern w:val="0"/>
                <w:szCs w:val="21"/>
              </w:rPr>
              <w:t>U</w:t>
            </w:r>
            <w:r>
              <w:rPr>
                <w:rFonts w:hint="eastAsia" w:ascii="宋体" w:hAnsi="宋体" w:cs="Calibri"/>
                <w:kern w:val="0"/>
                <w:szCs w:val="21"/>
              </w:rPr>
              <w:t>形承托，受力均匀。</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cs="Calibri"/>
                <w:kern w:val="0"/>
                <w:szCs w:val="21"/>
              </w:rPr>
            </w:pPr>
            <w:r>
              <w:rPr>
                <w:rFonts w:cs="Calibri"/>
                <w:kern w:val="0"/>
                <w:szCs w:val="21"/>
              </w:rPr>
              <w:t>5.</w:t>
            </w:r>
            <w:r>
              <w:rPr>
                <w:rFonts w:hint="eastAsia" w:ascii="宋体" w:hAnsi="宋体" w:cs="Calibri"/>
                <w:kern w:val="0"/>
                <w:szCs w:val="21"/>
              </w:rPr>
              <w:t>扶手支架采用尼龙复合材质（尼龙</w:t>
            </w:r>
            <w:r>
              <w:rPr>
                <w:rFonts w:cs="Calibri"/>
                <w:kern w:val="0"/>
                <w:szCs w:val="21"/>
              </w:rPr>
              <w:t>+</w:t>
            </w:r>
            <w:r>
              <w:rPr>
                <w:rFonts w:hint="eastAsia" w:ascii="宋体" w:hAnsi="宋体" w:cs="Calibri"/>
                <w:kern w:val="0"/>
                <w:szCs w:val="21"/>
              </w:rPr>
              <w:t>纤材质），升降扶手，不设档高度自由调节，可垂直任意角度升降，扶手面手感柔软舒适，联动扶手，手臂覆盖</w:t>
            </w:r>
            <w:r>
              <w:rPr>
                <w:rFonts w:cs="Calibri"/>
                <w:kern w:val="0"/>
                <w:szCs w:val="21"/>
              </w:rPr>
              <w:t>100%</w:t>
            </w:r>
            <w:r>
              <w:rPr>
                <w:rFonts w:hint="eastAsia" w:ascii="宋体" w:hAnsi="宋体" w:cs="Calibri"/>
                <w:kern w:val="0"/>
                <w:szCs w:val="21"/>
              </w:rPr>
              <w:t>。</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w:t>
            </w:r>
            <w:r>
              <w:rPr>
                <w:rFonts w:cs="Calibri"/>
                <w:kern w:val="0"/>
                <w:szCs w:val="21"/>
              </w:rPr>
              <w:t>6.</w:t>
            </w:r>
            <w:r>
              <w:rPr>
                <w:rFonts w:hint="eastAsia" w:ascii="宋体" w:hAnsi="宋体" w:cs="宋体"/>
                <w:kern w:val="0"/>
                <w:szCs w:val="21"/>
              </w:rPr>
              <w:t>座垫为</w:t>
            </w:r>
            <w:r>
              <w:rPr>
                <w:rFonts w:cs="Calibri"/>
                <w:kern w:val="0"/>
                <w:szCs w:val="21"/>
              </w:rPr>
              <w:t>W</w:t>
            </w:r>
            <w:r>
              <w:rPr>
                <w:rFonts w:hint="eastAsia" w:ascii="宋体" w:hAnsi="宋体" w:cs="宋体"/>
                <w:kern w:val="0"/>
                <w:szCs w:val="21"/>
              </w:rPr>
              <w:t>型减压透气坐垫，贴合臂部及大腿曲线，调整坐姿，减轻腰背压力，座垫透气、不闷热，采用魔术贴固定，可拆卸。</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cs="Calibri"/>
                <w:kern w:val="0"/>
                <w:szCs w:val="21"/>
              </w:rPr>
            </w:pPr>
            <w:r>
              <w:rPr>
                <w:rFonts w:cs="Calibri"/>
                <w:kern w:val="0"/>
                <w:szCs w:val="21"/>
              </w:rPr>
              <w:t>7.</w:t>
            </w:r>
            <w:r>
              <w:rPr>
                <w:rFonts w:hint="eastAsia" w:ascii="宋体" w:hAnsi="宋体" w:cs="Calibri"/>
                <w:kern w:val="0"/>
                <w:szCs w:val="21"/>
              </w:rPr>
              <w:t>椅脚：优质加厚尼龙加纤五星椅脚，防爆发底盘及气压棒。</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cs="Calibri"/>
                <w:kern w:val="0"/>
                <w:szCs w:val="21"/>
              </w:rPr>
            </w:pPr>
            <w:r>
              <w:rPr>
                <w:rFonts w:cs="Calibri"/>
                <w:kern w:val="0"/>
                <w:szCs w:val="21"/>
              </w:rPr>
              <w:t>8.</w:t>
            </w:r>
            <w:r>
              <w:rPr>
                <w:rFonts w:hint="eastAsia" w:ascii="宋体" w:hAnsi="宋体" w:cs="Calibri"/>
                <w:kern w:val="0"/>
                <w:szCs w:val="21"/>
              </w:rPr>
              <w:t>颜色：果绿、浅灰及黑色三色可选。</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cs="Calibri"/>
                <w:kern w:val="0"/>
                <w:szCs w:val="21"/>
              </w:rPr>
            </w:pPr>
            <w:r>
              <w:rPr>
                <w:rFonts w:cs="Calibri"/>
                <w:kern w:val="0"/>
                <w:szCs w:val="21"/>
              </w:rPr>
              <w:t>9.</w:t>
            </w:r>
            <w:r>
              <w:rPr>
                <w:rFonts w:hint="eastAsia" w:ascii="宋体" w:hAnsi="宋体" w:cs="Calibri"/>
                <w:kern w:val="0"/>
                <w:szCs w:val="21"/>
              </w:rPr>
              <w:t>设计：在原椅子上根据人体工学设计再增加头枕，伸展自如。</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b/>
                <w:bCs/>
                <w:color w:val="FF0000"/>
                <w:kern w:val="0"/>
                <w:szCs w:val="21"/>
              </w:rPr>
              <w:t>▲</w:t>
            </w:r>
            <w:r>
              <w:rPr>
                <w:rFonts w:cs="Calibri"/>
                <w:b/>
                <w:bCs/>
                <w:color w:val="FF0000"/>
                <w:kern w:val="0"/>
                <w:szCs w:val="21"/>
              </w:rPr>
              <w:t>10.</w:t>
            </w:r>
            <w:r>
              <w:rPr>
                <w:rFonts w:hint="eastAsia" w:ascii="宋体" w:hAnsi="宋体" w:cs="宋体"/>
                <w:b/>
                <w:bCs/>
                <w:color w:val="FF0000"/>
                <w:kern w:val="0"/>
                <w:szCs w:val="21"/>
              </w:rPr>
              <w:t>办公椅环保性能及物理性能良好，甲醛释放量≤</w:t>
            </w:r>
            <w:r>
              <w:rPr>
                <w:rFonts w:cs="Calibri"/>
                <w:b/>
                <w:bCs/>
                <w:color w:val="FF0000"/>
                <w:kern w:val="0"/>
                <w:szCs w:val="21"/>
              </w:rPr>
              <w:t>0.05mg/m</w:t>
            </w:r>
            <w:r>
              <w:rPr>
                <w:rFonts w:hint="eastAsia" w:ascii="宋体" w:hAnsi="宋体" w:cs="宋体"/>
                <w:b/>
                <w:bCs/>
                <w:color w:val="FF0000"/>
                <w:kern w:val="0"/>
                <w:szCs w:val="21"/>
              </w:rPr>
              <w:t>²</w:t>
            </w:r>
            <w:r>
              <w:rPr>
                <w:rFonts w:cs="Calibri"/>
                <w:b/>
                <w:bCs/>
                <w:color w:val="FF0000"/>
                <w:kern w:val="0"/>
                <w:szCs w:val="21"/>
              </w:rPr>
              <w:t>h;</w:t>
            </w:r>
            <w:r>
              <w:rPr>
                <w:rFonts w:hint="eastAsia" w:ascii="宋体" w:hAnsi="宋体" w:cs="宋体"/>
                <w:b/>
                <w:bCs/>
                <w:color w:val="FF0000"/>
                <w:kern w:val="0"/>
                <w:szCs w:val="21"/>
              </w:rPr>
              <w:t>阻燃性要求达到阻燃Ⅰ级，通过香烟抗引燃特性试验；椅背往复耐久性能良好，座面载荷</w:t>
            </w:r>
            <w:r>
              <w:rPr>
                <w:rFonts w:cs="Calibri"/>
                <w:b/>
                <w:bCs/>
                <w:color w:val="FF0000"/>
                <w:kern w:val="0"/>
                <w:szCs w:val="21"/>
              </w:rPr>
              <w:t>102KG</w:t>
            </w:r>
            <w:r>
              <w:rPr>
                <w:rFonts w:hint="eastAsia" w:ascii="宋体" w:hAnsi="宋体" w:cs="宋体"/>
                <w:b/>
                <w:bCs/>
                <w:color w:val="FF0000"/>
                <w:kern w:val="0"/>
                <w:szCs w:val="21"/>
              </w:rPr>
              <w:t>，椅背载荷</w:t>
            </w:r>
            <w:r>
              <w:rPr>
                <w:rFonts w:cs="Calibri"/>
                <w:b/>
                <w:bCs/>
                <w:color w:val="FF0000"/>
                <w:kern w:val="0"/>
                <w:szCs w:val="21"/>
              </w:rPr>
              <w:t>334N</w:t>
            </w:r>
            <w:r>
              <w:rPr>
                <w:rFonts w:hint="eastAsia" w:ascii="宋体" w:hAnsi="宋体" w:cs="宋体"/>
                <w:b/>
                <w:bCs/>
                <w:color w:val="FF0000"/>
                <w:kern w:val="0"/>
                <w:szCs w:val="21"/>
              </w:rPr>
              <w:t>，</w:t>
            </w:r>
            <w:r>
              <w:rPr>
                <w:rFonts w:cs="Calibri"/>
                <w:b/>
                <w:bCs/>
                <w:color w:val="FF0000"/>
                <w:kern w:val="0"/>
                <w:szCs w:val="21"/>
              </w:rPr>
              <w:t>12</w:t>
            </w:r>
            <w:r>
              <w:rPr>
                <w:rFonts w:hint="eastAsia" w:ascii="宋体" w:hAnsi="宋体" w:cs="宋体"/>
                <w:b/>
                <w:bCs/>
                <w:color w:val="FF0000"/>
                <w:kern w:val="0"/>
                <w:szCs w:val="21"/>
              </w:rPr>
              <w:t>万次检测加载部分无明显变形，座椅零部件无断裂或豁裂现象，座椅结构无松动，升降机构和旋转机构无失灵等；（提供国家认可的第三方检测机构出具的检测（检验）报告扫描件，原件备查）</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57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cs="Calibri"/>
                <w:kern w:val="0"/>
                <w:szCs w:val="21"/>
              </w:rPr>
            </w:pPr>
            <w:r>
              <w:rPr>
                <w:rFonts w:hint="eastAsia" w:ascii="宋体" w:hAnsi="宋体" w:cs="Calibri"/>
                <w:b/>
                <w:bCs/>
                <w:color w:val="FF0000"/>
                <w:kern w:val="0"/>
                <w:szCs w:val="21"/>
              </w:rPr>
              <w:t>▲</w:t>
            </w:r>
            <w:r>
              <w:rPr>
                <w:rFonts w:cs="Calibri"/>
                <w:b/>
                <w:bCs/>
                <w:color w:val="FF0000"/>
                <w:kern w:val="0"/>
                <w:szCs w:val="21"/>
              </w:rPr>
              <w:t>11.</w:t>
            </w:r>
            <w:r>
              <w:rPr>
                <w:rFonts w:hint="eastAsia" w:ascii="宋体" w:hAnsi="宋体" w:cs="Calibri"/>
                <w:b/>
                <w:bCs/>
                <w:color w:val="FF0000"/>
                <w:kern w:val="0"/>
                <w:szCs w:val="21"/>
              </w:rPr>
              <w:t>其他要求：提供原厂出具的产品说明书或产品彩页扫描件，原件备查。</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465"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教师演示书写板</w:t>
            </w:r>
          </w:p>
        </w:tc>
        <w:tc>
          <w:tcPr>
            <w:tcW w:w="6020" w:type="dxa"/>
            <w:tcBorders>
              <w:top w:val="nil"/>
              <w:left w:val="nil"/>
              <w:bottom w:val="single" w:color="auto" w:sz="4" w:space="0"/>
              <w:right w:val="single" w:color="auto" w:sz="4" w:space="0"/>
            </w:tcBorders>
            <w:shd w:val="clear" w:color="000000" w:fill="FFFFFF"/>
            <w:vAlign w:val="center"/>
          </w:tcPr>
          <w:p>
            <w:pPr>
              <w:widowControl/>
              <w:rPr>
                <w:rFonts w:cs="Calibri"/>
                <w:kern w:val="0"/>
                <w:szCs w:val="21"/>
              </w:rPr>
            </w:pPr>
            <w:r>
              <w:rPr>
                <w:rFonts w:cs="Calibri"/>
                <w:kern w:val="0"/>
                <w:szCs w:val="21"/>
              </w:rPr>
              <w:t>1.</w:t>
            </w:r>
            <w:r>
              <w:rPr>
                <w:rFonts w:hint="eastAsia" w:ascii="宋体" w:hAnsi="宋体" w:cs="Calibri"/>
                <w:kern w:val="0"/>
                <w:szCs w:val="21"/>
              </w:rPr>
              <w:t>规格：约</w:t>
            </w:r>
            <w:r>
              <w:rPr>
                <w:rFonts w:cs="Calibri"/>
                <w:kern w:val="0"/>
                <w:szCs w:val="21"/>
              </w:rPr>
              <w:t xml:space="preserve">1290*1030mm </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kern w:val="0"/>
                <w:szCs w:val="21"/>
              </w:rPr>
            </w:pPr>
            <w:r>
              <w:rPr>
                <w:rFonts w:cs="Calibri"/>
                <w:kern w:val="0"/>
                <w:szCs w:val="21"/>
              </w:rPr>
              <w:t>　</w:t>
            </w: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rPr>
                <w:rFonts w:cs="Calibri"/>
                <w:kern w:val="0"/>
                <w:szCs w:val="21"/>
              </w:rPr>
            </w:pPr>
            <w:r>
              <w:rPr>
                <w:rFonts w:cs="Calibri"/>
                <w:kern w:val="0"/>
                <w:szCs w:val="21"/>
              </w:rPr>
              <w:t>2.</w:t>
            </w:r>
            <w:r>
              <w:rPr>
                <w:rFonts w:hint="eastAsia" w:ascii="宋体" w:hAnsi="宋体" w:cs="Calibri"/>
                <w:kern w:val="0"/>
                <w:szCs w:val="21"/>
              </w:rPr>
              <w:t>材质：板面采用柔性液晶分子膜黑板，依靠书写压力改变液晶分子排布，在自然光照射下反射固定波段的光源以显示字迹，无粉尘、无电离辐射。</w:t>
            </w:r>
            <w:r>
              <w:rPr>
                <w:rFonts w:cs="Calibri"/>
                <w:kern w:val="0"/>
                <w:szCs w:val="21"/>
              </w:rPr>
              <w:t xml:space="preserve"> </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rPr>
                <w:rFonts w:cs="Calibri"/>
                <w:kern w:val="0"/>
                <w:szCs w:val="21"/>
              </w:rPr>
            </w:pPr>
            <w:r>
              <w:rPr>
                <w:rFonts w:cs="Calibri"/>
                <w:kern w:val="0"/>
                <w:szCs w:val="21"/>
              </w:rPr>
              <w:t>3.</w:t>
            </w:r>
            <w:r>
              <w:rPr>
                <w:rFonts w:hint="eastAsia" w:ascii="宋体" w:hAnsi="宋体" w:cs="Calibri"/>
                <w:kern w:val="0"/>
                <w:szCs w:val="21"/>
              </w:rPr>
              <w:t>产品功能：</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Cs w:val="21"/>
              </w:rPr>
            </w:pPr>
            <w:r>
              <w:rPr>
                <w:rFonts w:hint="eastAsia" w:ascii="宋体" w:hAnsi="宋体" w:cs="宋体"/>
                <w:kern w:val="0"/>
                <w:szCs w:val="21"/>
              </w:rPr>
              <w:t>▲</w:t>
            </w:r>
            <w:r>
              <w:rPr>
                <w:rFonts w:cs="Calibri"/>
                <w:kern w:val="0"/>
                <w:szCs w:val="21"/>
              </w:rPr>
              <w:t>1</w:t>
            </w:r>
            <w:r>
              <w:rPr>
                <w:rFonts w:hint="eastAsia" w:ascii="宋体" w:hAnsi="宋体" w:cs="宋体"/>
                <w:kern w:val="0"/>
                <w:szCs w:val="21"/>
              </w:rPr>
              <w:t>）无粉尘、无耗材：配备专用书写工具，贴合使用习惯；也可使用任何硬度适中的物体进行书写，无需任何耗材，杜绝粉尘污染，消除粉尘对老师和学生构成的健康危害。</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rPr>
                <w:rFonts w:cs="Calibri"/>
                <w:kern w:val="0"/>
                <w:szCs w:val="21"/>
              </w:rPr>
            </w:pPr>
            <w:r>
              <w:rPr>
                <w:rFonts w:cs="Calibri"/>
                <w:kern w:val="0"/>
                <w:szCs w:val="21"/>
              </w:rPr>
              <w:t>2</w:t>
            </w:r>
            <w:r>
              <w:rPr>
                <w:rFonts w:hint="eastAsia" w:ascii="宋体" w:hAnsi="宋体" w:cs="Calibri"/>
                <w:kern w:val="0"/>
                <w:szCs w:val="21"/>
              </w:rPr>
              <w:t>）保护视力：纯自然光反射呈字，无电离辐射，长时间观看不刺激眼睛，保护视力。拒绝自发光呈像或投影呈像形式。</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rPr>
                <w:rFonts w:cs="Calibri"/>
                <w:kern w:val="0"/>
                <w:szCs w:val="21"/>
              </w:rPr>
            </w:pPr>
            <w:r>
              <w:rPr>
                <w:rFonts w:cs="Calibri"/>
                <w:kern w:val="0"/>
                <w:szCs w:val="21"/>
              </w:rPr>
              <w:t>3</w:t>
            </w:r>
            <w:r>
              <w:rPr>
                <w:rFonts w:hint="eastAsia" w:ascii="宋体" w:hAnsi="宋体" w:cs="Calibri"/>
                <w:kern w:val="0"/>
                <w:szCs w:val="21"/>
              </w:rPr>
              <w:t>）一键擦除：可轻按一键擦除按键，瞬间清除黑板字迹，减少师生擦拭黑板负担。</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Cs w:val="21"/>
              </w:rPr>
            </w:pPr>
            <w:r>
              <w:rPr>
                <w:rFonts w:hint="eastAsia" w:ascii="宋体" w:hAnsi="宋体" w:cs="宋体"/>
                <w:kern w:val="0"/>
                <w:szCs w:val="21"/>
              </w:rPr>
              <w:t>★</w:t>
            </w:r>
            <w:r>
              <w:rPr>
                <w:rFonts w:cs="Calibri"/>
                <w:kern w:val="0"/>
                <w:szCs w:val="21"/>
              </w:rPr>
              <w:t>4</w:t>
            </w:r>
            <w:r>
              <w:rPr>
                <w:rFonts w:hint="eastAsia" w:ascii="宋体" w:hAnsi="宋体" w:cs="宋体"/>
                <w:kern w:val="0"/>
                <w:szCs w:val="21"/>
              </w:rPr>
              <w:t>）局部擦除：可用专用板擦进行局部擦除。</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rPr>
                <w:rFonts w:cs="Calibri"/>
                <w:kern w:val="0"/>
                <w:szCs w:val="21"/>
              </w:rPr>
            </w:pPr>
            <w:r>
              <w:rPr>
                <w:rFonts w:cs="Calibri"/>
                <w:kern w:val="0"/>
                <w:szCs w:val="21"/>
              </w:rPr>
              <w:t>5</w:t>
            </w:r>
            <w:r>
              <w:rPr>
                <w:rFonts w:hint="eastAsia" w:ascii="宋体" w:hAnsi="宋体" w:cs="Calibri"/>
                <w:kern w:val="0"/>
                <w:szCs w:val="21"/>
              </w:rPr>
              <w:t>）供电：书写及显示过程无需任何电量，仅擦除时消耗微弱电量；可外部电源供电，用于字迹清除，无需手动更换电池或定期充电；内部备有应急供电系统，在停电情况下仍可进行一键擦除</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rPr>
                <w:rFonts w:cs="Calibri"/>
                <w:kern w:val="0"/>
                <w:szCs w:val="21"/>
              </w:rPr>
            </w:pPr>
            <w:r>
              <w:rPr>
                <w:rFonts w:cs="Calibri"/>
                <w:kern w:val="0"/>
                <w:szCs w:val="21"/>
              </w:rPr>
              <w:t>6</w:t>
            </w:r>
            <w:r>
              <w:rPr>
                <w:rFonts w:hint="eastAsia" w:ascii="宋体" w:hAnsi="宋体" w:cs="Calibri"/>
                <w:kern w:val="0"/>
                <w:szCs w:val="21"/>
              </w:rPr>
              <w:t>）状态指示灯：可通过不同颜色、闪烁等方式表示擦除、电量不足等工作状态；</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rPr>
                <w:rFonts w:cs="Calibri"/>
                <w:kern w:val="0"/>
                <w:szCs w:val="21"/>
              </w:rPr>
            </w:pPr>
            <w:r>
              <w:rPr>
                <w:rFonts w:cs="Calibri"/>
                <w:kern w:val="0"/>
                <w:szCs w:val="21"/>
              </w:rPr>
              <w:t>7</w:t>
            </w:r>
            <w:r>
              <w:rPr>
                <w:rFonts w:hint="eastAsia" w:ascii="宋体" w:hAnsi="宋体" w:cs="Calibri"/>
                <w:kern w:val="0"/>
                <w:szCs w:val="21"/>
              </w:rPr>
              <w:t>）配置高级豪华移动支架，外形时尚，坚固耐用。</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Cs w:val="21"/>
              </w:rPr>
            </w:pPr>
            <w:r>
              <w:rPr>
                <w:rFonts w:hint="eastAsia" w:ascii="宋体" w:hAnsi="宋体" w:cs="宋体"/>
                <w:b/>
                <w:bCs/>
                <w:color w:val="FF0000"/>
                <w:kern w:val="0"/>
                <w:szCs w:val="21"/>
              </w:rPr>
              <w:t>▲</w:t>
            </w:r>
            <w:r>
              <w:rPr>
                <w:rFonts w:cs="Calibri"/>
                <w:b/>
                <w:bCs/>
                <w:color w:val="FF0000"/>
                <w:kern w:val="0"/>
                <w:szCs w:val="21"/>
              </w:rPr>
              <w:t xml:space="preserve">4. </w:t>
            </w:r>
            <w:r>
              <w:rPr>
                <w:rFonts w:hint="eastAsia" w:ascii="宋体" w:hAnsi="宋体" w:cs="宋体"/>
                <w:b/>
                <w:bCs/>
                <w:color w:val="FF0000"/>
                <w:kern w:val="0"/>
                <w:szCs w:val="21"/>
              </w:rPr>
              <w:t>产品通过电磁辐射试验，磁感应强度＜</w:t>
            </w:r>
            <w:r>
              <w:rPr>
                <w:rFonts w:cs="Calibri"/>
                <w:b/>
                <w:bCs/>
                <w:color w:val="FF0000"/>
                <w:kern w:val="0"/>
                <w:szCs w:val="21"/>
              </w:rPr>
              <w:t>0.1</w:t>
            </w:r>
            <w:r>
              <w:rPr>
                <w:rFonts w:hint="eastAsia" w:ascii="宋体" w:hAnsi="宋体" w:cs="宋体"/>
                <w:b/>
                <w:bCs/>
                <w:color w:val="FF0000"/>
                <w:kern w:val="0"/>
                <w:szCs w:val="21"/>
              </w:rPr>
              <w:t>μ</w:t>
            </w:r>
            <w:r>
              <w:rPr>
                <w:rFonts w:cs="Calibri"/>
                <w:b/>
                <w:bCs/>
                <w:color w:val="FF0000"/>
                <w:kern w:val="0"/>
                <w:szCs w:val="21"/>
              </w:rPr>
              <w:t>T</w:t>
            </w:r>
            <w:r>
              <w:rPr>
                <w:rFonts w:hint="eastAsia" w:ascii="宋体" w:hAnsi="宋体" w:cs="宋体"/>
                <w:b/>
                <w:bCs/>
                <w:color w:val="FF0000"/>
                <w:kern w:val="0"/>
                <w:szCs w:val="21"/>
              </w:rPr>
              <w:t>。提供国家认可的第三方检测机构出具的检测（检验）报告。</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r>
        <w:tblPrEx>
          <w:tblCellMar>
            <w:top w:w="0" w:type="dxa"/>
            <w:left w:w="108" w:type="dxa"/>
            <w:bottom w:w="0" w:type="dxa"/>
            <w:right w:w="108" w:type="dxa"/>
          </w:tblCellMar>
        </w:tblPrEx>
        <w:trPr>
          <w:trHeight w:val="6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b/>
                <w:bCs/>
                <w:color w:val="FF0000"/>
                <w:kern w:val="0"/>
                <w:szCs w:val="21"/>
              </w:rPr>
              <w:t>▲</w:t>
            </w:r>
            <w:r>
              <w:rPr>
                <w:rFonts w:cs="Calibri"/>
                <w:b/>
                <w:bCs/>
                <w:color w:val="FF0000"/>
                <w:kern w:val="0"/>
                <w:szCs w:val="21"/>
              </w:rPr>
              <w:t xml:space="preserve">5. </w:t>
            </w:r>
            <w:r>
              <w:rPr>
                <w:rFonts w:hint="eastAsia" w:ascii="宋体" w:hAnsi="宋体" w:cs="宋体"/>
                <w:b/>
                <w:bCs/>
                <w:color w:val="FF0000"/>
                <w:kern w:val="0"/>
                <w:szCs w:val="21"/>
              </w:rPr>
              <w:t>提供具有国家认可的第三方检测机构出具的功能性合格检验报告，检验内容至少包含有专用书写笔或手指等硬物书写、一键擦除功能、专用板擦局部擦除功能等。</w:t>
            </w: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cs="Calibri"/>
                <w:kern w:val="0"/>
                <w:szCs w:val="21"/>
              </w:rPr>
            </w:pPr>
          </w:p>
        </w:tc>
      </w:tr>
    </w:tbl>
    <w:p>
      <w:pPr>
        <w:rPr>
          <w:b/>
          <w:szCs w:val="21"/>
        </w:rPr>
      </w:pPr>
    </w:p>
    <w:p>
      <w:pPr>
        <w:rPr>
          <w:b/>
          <w:szCs w:val="21"/>
        </w:rPr>
      </w:pPr>
    </w:p>
    <w:p>
      <w:pPr>
        <w:pStyle w:val="3"/>
        <w:spacing w:before="120" w:beforeLines="50" w:after="120" w:afterLines="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五、检测报告</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2127"/>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1559" w:type="dxa"/>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货物名称</w:t>
            </w:r>
          </w:p>
        </w:tc>
        <w:tc>
          <w:tcPr>
            <w:tcW w:w="2127" w:type="dxa"/>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检测机构要求</w:t>
            </w:r>
          </w:p>
        </w:tc>
        <w:tc>
          <w:tcPr>
            <w:tcW w:w="4019" w:type="dxa"/>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检测指标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155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课桌椅</w:t>
            </w:r>
          </w:p>
        </w:tc>
        <w:tc>
          <w:tcPr>
            <w:tcW w:w="21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CMA及CNAS</w:t>
            </w:r>
          </w:p>
        </w:tc>
        <w:tc>
          <w:tcPr>
            <w:tcW w:w="401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详见招标文件具体技术要求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55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教师椅</w:t>
            </w:r>
          </w:p>
        </w:tc>
        <w:tc>
          <w:tcPr>
            <w:tcW w:w="21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提供国家认可的第三方检测机构出具的检测（检验）报告</w:t>
            </w:r>
          </w:p>
        </w:tc>
        <w:tc>
          <w:tcPr>
            <w:tcW w:w="401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详见招标文件具体技术要求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155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教师演示书写板</w:t>
            </w:r>
          </w:p>
        </w:tc>
        <w:tc>
          <w:tcPr>
            <w:tcW w:w="21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提供国家认可的第三方检测机构出具的检测（检验）报告</w:t>
            </w:r>
          </w:p>
        </w:tc>
        <w:tc>
          <w:tcPr>
            <w:tcW w:w="401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详见招标文件具体技术要求</w:t>
            </w:r>
          </w:p>
        </w:tc>
      </w:tr>
    </w:tbl>
    <w:p>
      <w:pPr>
        <w:rPr>
          <w:sz w:val="24"/>
        </w:rPr>
      </w:pPr>
      <w:r>
        <w:rPr>
          <w:rFonts w:hint="eastAsia"/>
          <w:sz w:val="24"/>
        </w:rPr>
        <w:t>备注：</w:t>
      </w:r>
    </w:p>
    <w:p>
      <w:pPr>
        <w:rPr>
          <w:sz w:val="24"/>
        </w:rPr>
      </w:pPr>
      <w:r>
        <w:rPr>
          <w:rFonts w:hint="eastAsia"/>
          <w:b/>
          <w:sz w:val="24"/>
        </w:rPr>
        <w:t>1、</w:t>
      </w:r>
      <w:r>
        <w:rPr>
          <w:rFonts w:hint="eastAsia"/>
          <w:sz w:val="24"/>
        </w:rPr>
        <w:t>投标文件应按要求提供相应检测报告。</w:t>
      </w:r>
    </w:p>
    <w:p>
      <w:pPr>
        <w:rPr>
          <w:sz w:val="24"/>
        </w:rPr>
      </w:pPr>
      <w:r>
        <w:rPr>
          <w:rFonts w:hint="eastAsia"/>
          <w:b/>
          <w:sz w:val="24"/>
        </w:rPr>
        <w:t>2、</w:t>
      </w:r>
      <w:r>
        <w:rPr>
          <w:rFonts w:hint="eastAsia"/>
          <w:sz w:val="24"/>
        </w:rPr>
        <w:t>检测报告（均为原件扫描件）的提供要求：</w:t>
      </w:r>
    </w:p>
    <w:p>
      <w:pPr>
        <w:rPr>
          <w:sz w:val="24"/>
        </w:rPr>
      </w:pPr>
      <w:r>
        <w:rPr>
          <w:rFonts w:hint="eastAsia"/>
          <w:sz w:val="24"/>
        </w:rPr>
        <w:t>（1）检测报告内容中若涉及外文说明，必须同时提供对应中文翻译说明，评标依据以中文翻译内容为准，外文说明仅供参考；检测报告尺寸和清晰度应该能够在电脑上被阅读、识别和判断；</w:t>
      </w:r>
    </w:p>
    <w:p>
      <w:pPr>
        <w:rPr>
          <w:b/>
          <w:szCs w:val="21"/>
        </w:rPr>
      </w:pPr>
      <w:r>
        <w:rPr>
          <w:rFonts w:hint="eastAsia"/>
          <w:sz w:val="24"/>
        </w:rPr>
        <w:t>（2）我国政府机构出具的产品检测报告应为报告正面、背面和附件标注的全部具体内容；产品检验报告的尺寸和清晰度应该能够在电脑上被阅读、识别和判断。</w:t>
      </w:r>
      <w:r>
        <w:rPr>
          <w:rFonts w:hint="eastAsia"/>
          <w:sz w:val="24"/>
        </w:rPr>
        <w:br w:type="textWrapping"/>
      </w:r>
      <w:r>
        <w:rPr>
          <w:rFonts w:hint="eastAsia"/>
          <w:sz w:val="24"/>
        </w:rPr>
        <w:br w:type="textWrapping"/>
      </w:r>
      <w:r>
        <w:rPr>
          <w:rFonts w:hint="eastAsia"/>
          <w:sz w:val="24"/>
        </w:rPr>
        <w:br w:type="textWrapping"/>
      </w:r>
      <w:r>
        <w:rPr>
          <w:rFonts w:hint="eastAsia"/>
          <w:sz w:val="24"/>
        </w:rPr>
        <w:br w:type="textWrapping"/>
      </w:r>
    </w:p>
    <w:p>
      <w:pPr>
        <w:pStyle w:val="3"/>
        <w:spacing w:before="120" w:beforeLines="50" w:after="120" w:afterLines="50"/>
        <w:rPr>
          <w:sz w:val="28"/>
          <w:szCs w:val="28"/>
        </w:rPr>
      </w:pPr>
      <w:r>
        <w:rPr>
          <w:rFonts w:hint="eastAsia"/>
          <w:sz w:val="28"/>
          <w:szCs w:val="28"/>
        </w:rPr>
        <w:t>六、商务需求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pPr>
        <w:ind w:firstLine="422" w:firstLineChars="200"/>
      </w:pPr>
      <w:r>
        <w:rPr>
          <w:rFonts w:hint="eastAsia"/>
          <w:b/>
        </w:rPr>
        <w:t>2、评分时，如对一项招标商务需求（以划分框为准，一个划分框是作为一项招标商务需求）中的内容存在两处（或以上）负偏离的，在评分时只作一项负偏离扣分。</w:t>
      </w:r>
    </w:p>
    <w:tbl>
      <w:tblPr>
        <w:tblStyle w:val="4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1620"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目录</w:t>
            </w:r>
          </w:p>
        </w:tc>
        <w:tc>
          <w:tcPr>
            <w:tcW w:w="5940"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0"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1</w:t>
            </w:r>
          </w:p>
        </w:tc>
        <w:tc>
          <w:tcPr>
            <w:tcW w:w="16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维修响应及故障解决时间</w:t>
            </w:r>
          </w:p>
        </w:tc>
        <w:tc>
          <w:tcPr>
            <w:tcW w:w="5940" w:type="dxa"/>
            <w:vAlign w:val="center"/>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r>
              <w:rPr>
                <w:rFonts w:hint="eastAsia" w:ascii="宋体" w:hAnsi="宋体" w:cs="宋体"/>
                <w:bCs/>
                <w:color w:val="000000" w:themeColor="text1"/>
                <w:szCs w:val="21"/>
                <w14:textFill>
                  <w14:solidFill>
                    <w14:schemeClr w14:val="tx1"/>
                  </w14:solidFill>
                </w14:textFill>
              </w:rPr>
              <w:t>投标人应提出技术支持方案,提供的服务至少包括：提供7×24小时的技术咨询服务；应用系统接入的技术支持服务；产品发生故障时的处置方案。</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r>
              <w:rPr>
                <w:rFonts w:hint="eastAsia" w:ascii="宋体" w:hAnsi="宋体" w:cs="宋体"/>
                <w:bCs/>
                <w:color w:val="000000" w:themeColor="text1"/>
                <w:szCs w:val="21"/>
                <w14:textFill>
                  <w14:solidFill>
                    <w14:schemeClr w14:val="tx1"/>
                  </w14:solidFill>
                </w14:textFill>
              </w:rPr>
              <w:t>其中，故障响应要求如下：</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1.2.1系统故障报修的响应时间：周一至周五8：30～18:00期间为4小时，其余期间为8小时。对无法通过电话指导方式解决的系统问题或故障，根据问题和故障的种类及情况，安排相应的专业技术工程师到现场排除故障、解决问题。</w:t>
            </w:r>
          </w:p>
          <w:p>
            <w:pPr>
              <w:spacing w:line="360" w:lineRule="auto"/>
              <w:jc w:val="left"/>
              <w:rPr>
                <w:b/>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1.2.2故障解决时间：一般性的故障4个小时内解决，对于不能及时解决的问题，投标人负责免费提供备用设备予以替换（48小时之内）；对重大事件提供7×24小时的现场支援。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6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关于免费保修期</w:t>
            </w:r>
          </w:p>
        </w:tc>
        <w:tc>
          <w:tcPr>
            <w:tcW w:w="5940" w:type="dxa"/>
          </w:tcPr>
          <w:p>
            <w:pPr>
              <w:rPr>
                <w:b/>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货物免费保修期</w:t>
            </w:r>
            <w:r>
              <w:rPr>
                <w:rFonts w:hint="eastAsia"/>
                <w:bCs/>
                <w:color w:val="000000" w:themeColor="text1"/>
                <w:szCs w:val="21"/>
                <w:u w:val="single"/>
                <w14:textFill>
                  <w14:solidFill>
                    <w14:schemeClr w14:val="tx1"/>
                  </w14:solidFill>
                </w14:textFill>
              </w:rPr>
              <w:t>2</w:t>
            </w:r>
            <w:r>
              <w:rPr>
                <w:rFonts w:hint="eastAsia"/>
                <w:bCs/>
                <w:color w:val="000000" w:themeColor="text1"/>
                <w:szCs w:val="21"/>
                <w14:textFill>
                  <w14:solidFill>
                    <w14:schemeClr w14:val="tx1"/>
                  </w14:solidFill>
                </w14:textFill>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620" w:type="dxa"/>
            <w:vAlign w:val="center"/>
          </w:tcPr>
          <w:p>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售后服务要求</w:t>
            </w:r>
          </w:p>
        </w:tc>
        <w:tc>
          <w:tcPr>
            <w:tcW w:w="5940" w:type="dxa"/>
            <w:vAlign w:val="center"/>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3.1</w:t>
            </w:r>
            <w:r>
              <w:rPr>
                <w:rFonts w:hint="eastAsia" w:ascii="宋体" w:hAnsi="宋体" w:cs="宋体"/>
                <w:bCs/>
                <w:color w:val="000000" w:themeColor="text1"/>
                <w:szCs w:val="21"/>
                <w14:textFill>
                  <w14:solidFill>
                    <w14:schemeClr w14:val="tx1"/>
                  </w14:solidFill>
                </w14:textFill>
              </w:rPr>
              <w:t>免费送货至采购人指定地点、安装、调试，并试运行。</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3.2</w:t>
            </w:r>
            <w:r>
              <w:rPr>
                <w:rFonts w:hint="eastAsia" w:ascii="宋体" w:hAnsi="宋体" w:cs="宋体"/>
                <w:bCs/>
                <w:color w:val="000000" w:themeColor="text1"/>
                <w:szCs w:val="21"/>
                <w14:textFill>
                  <w14:solidFill>
                    <w14:schemeClr w14:val="tx1"/>
                  </w14:solidFill>
                </w14:textFill>
              </w:rPr>
              <w:t>免费保修期内，提供必需易损件备品。</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3.3</w:t>
            </w:r>
            <w:r>
              <w:rPr>
                <w:rFonts w:hint="eastAsia" w:ascii="宋体" w:hAnsi="宋体" w:cs="宋体"/>
                <w:bCs/>
                <w:color w:val="000000" w:themeColor="text1"/>
                <w:szCs w:val="21"/>
                <w14:textFill>
                  <w14:solidFill>
                    <w14:schemeClr w14:val="tx1"/>
                  </w14:solidFill>
                </w14:textFill>
              </w:rPr>
              <w:t>根据采购人需要，为采购人提供产品使用等相关培训。</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3.4</w:t>
            </w:r>
            <w:r>
              <w:rPr>
                <w:rFonts w:hint="eastAsia" w:ascii="宋体" w:hAnsi="宋体" w:cs="宋体"/>
                <w:bCs/>
                <w:color w:val="000000" w:themeColor="text1"/>
                <w:szCs w:val="21"/>
                <w14:textFill>
                  <w14:solidFill>
                    <w14:schemeClr w14:val="tx1"/>
                  </w14:solidFill>
                </w14:textFill>
              </w:rPr>
              <w:t>所有硬件设备和软件系统从最终验收合格之日起算免费保修期，投标人至少提供</w:t>
            </w:r>
            <w:r>
              <w:rPr>
                <w:rFonts w:hint="eastAsia" w:ascii="宋体" w:hAnsi="宋体" w:cs="宋体"/>
                <w:bCs/>
                <w:color w:val="000000" w:themeColor="text1"/>
                <w:szCs w:val="21"/>
                <w:u w:val="single"/>
                <w14:textFill>
                  <w14:solidFill>
                    <w14:schemeClr w14:val="tx1"/>
                  </w14:solidFill>
                </w14:textFill>
              </w:rPr>
              <w:t xml:space="preserve"> 2 </w:t>
            </w:r>
            <w:r>
              <w:rPr>
                <w:rFonts w:hint="eastAsia" w:ascii="宋体" w:hAnsi="宋体" w:cs="宋体"/>
                <w:bCs/>
                <w:color w:val="000000" w:themeColor="text1"/>
                <w:szCs w:val="21"/>
                <w14:textFill>
                  <w14:solidFill>
                    <w14:schemeClr w14:val="tx1"/>
                  </w14:solidFill>
                </w14:textFill>
              </w:rPr>
              <w:t>年免费保修售后服务及免费软件升级承诺书。</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3.5</w:t>
            </w:r>
            <w:r>
              <w:rPr>
                <w:rFonts w:hint="eastAsia" w:ascii="宋体" w:hAnsi="宋体" w:cs="宋体"/>
                <w:bCs/>
                <w:color w:val="000000" w:themeColor="text1"/>
                <w:szCs w:val="21"/>
                <w14:textFill>
                  <w14:solidFill>
                    <w14:schemeClr w14:val="tx1"/>
                  </w14:solidFill>
                </w14:textFill>
              </w:rPr>
              <w:t>所有设备保修期间，对所提供的设备在免费保修期内出现故障实行无偿修复、零件更换甚至整设备更换（人为或不可抗拒因素造成的故障除外）；主要设备或系统一个月内连续3次出现同一故障，投标人须无偿更换同一档次设备或产品（人为因素除外）。</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3.6</w:t>
            </w:r>
            <w:r>
              <w:rPr>
                <w:rFonts w:hint="eastAsia" w:ascii="宋体" w:hAnsi="宋体" w:cs="宋体"/>
                <w:bCs/>
                <w:color w:val="000000" w:themeColor="text1"/>
                <w:szCs w:val="21"/>
                <w14:textFill>
                  <w14:solidFill>
                    <w14:schemeClr w14:val="tx1"/>
                  </w14:solidFill>
                </w14:textFill>
              </w:rPr>
              <w:t>投标人必须在投标书中分别列出保修期内的维修、维护内容和范围（产品、技术、模块、部件）；同时须在投标文件中提供保修期满后的维护协议具体条款。</w:t>
            </w:r>
          </w:p>
          <w:p>
            <w:pPr>
              <w:spacing w:line="360" w:lineRule="auto"/>
              <w:jc w:val="left"/>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3.7</w:t>
            </w:r>
            <w:r>
              <w:rPr>
                <w:rFonts w:hint="eastAsia" w:ascii="宋体" w:hAnsi="宋体" w:cs="宋体"/>
                <w:bCs/>
                <w:color w:val="000000" w:themeColor="text1"/>
                <w:szCs w:val="21"/>
                <w14:textFill>
                  <w14:solidFill>
                    <w14:schemeClr w14:val="tx1"/>
                  </w14:solidFill>
                </w14:textFill>
              </w:rPr>
              <w:t>保修期内，所有保修服务方式均为投标人或厂商上门服务，即由投标人或厂商派人员到采购人设备使用现场维修。由此产生的一切费用均由投标人或厂商承担。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62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培训</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w:t>
            </w:r>
          </w:p>
          <w:p>
            <w:pPr>
              <w:spacing w:line="360" w:lineRule="auto"/>
              <w:jc w:val="center"/>
              <w:rPr>
                <w:rFonts w:ascii="宋体" w:hAnsi="宋体" w:cs="宋体"/>
                <w:color w:val="000000" w:themeColor="text1"/>
                <w:szCs w:val="21"/>
                <w14:textFill>
                  <w14:solidFill>
                    <w14:schemeClr w14:val="tx1"/>
                  </w14:solidFill>
                </w14:textFill>
              </w:rPr>
            </w:pPr>
          </w:p>
        </w:tc>
        <w:tc>
          <w:tcPr>
            <w:tcW w:w="5940" w:type="dxa"/>
            <w:vAlign w:val="center"/>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4.1</w:t>
            </w:r>
            <w:r>
              <w:rPr>
                <w:rFonts w:hint="eastAsia" w:ascii="宋体" w:hAnsi="宋体" w:cs="宋体"/>
                <w:bCs/>
                <w:color w:val="000000" w:themeColor="text1"/>
                <w:szCs w:val="21"/>
                <w14:textFill>
                  <w14:solidFill>
                    <w14:schemeClr w14:val="tx1"/>
                  </w14:solidFill>
                </w14:textFill>
              </w:rPr>
              <w:t>投标人应就本期工程提供具体的人员培训建议和课程安排计划，并免费提供培训服务，投标人应在投标时一并提交具体培训计划安排表。</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4.2</w:t>
            </w:r>
            <w:r>
              <w:rPr>
                <w:rFonts w:hint="eastAsia" w:ascii="宋体" w:hAnsi="宋体" w:cs="宋体"/>
                <w:bCs/>
                <w:color w:val="000000" w:themeColor="text1"/>
                <w:szCs w:val="21"/>
                <w14:textFill>
                  <w14:solidFill>
                    <w14:schemeClr w14:val="tx1"/>
                  </w14:solidFill>
                </w14:textFill>
              </w:rPr>
              <w:t>对本次招标的提供不少于3天的现场集中培训，培训教员必须是软件/硬件技术工程师，并需要有丰富的技术培训经验。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62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其它</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w:t>
            </w:r>
          </w:p>
        </w:tc>
        <w:tc>
          <w:tcPr>
            <w:tcW w:w="5940" w:type="dxa"/>
            <w:vAlign w:val="center"/>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5.1</w:t>
            </w:r>
            <w:r>
              <w:rPr>
                <w:rFonts w:hint="eastAsia" w:ascii="宋体" w:hAnsi="宋体" w:cs="宋体"/>
                <w:bCs/>
                <w:color w:val="000000" w:themeColor="text1"/>
                <w:szCs w:val="21"/>
                <w14:textFill>
                  <w14:solidFill>
                    <w14:schemeClr w14:val="tx1"/>
                  </w14:solidFill>
                </w14:textFill>
              </w:rPr>
              <w:t>中标人须加强施工的组织管理，所有施工人员须遵守文明安全施工的有关规章制度，持证上岗。</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5.2</w:t>
            </w:r>
            <w:r>
              <w:rPr>
                <w:rFonts w:hint="eastAsia" w:ascii="宋体" w:hAnsi="宋体" w:cs="宋体"/>
                <w:bCs/>
                <w:color w:val="000000" w:themeColor="text1"/>
                <w:szCs w:val="21"/>
                <w14:textFill>
                  <w14:solidFill>
                    <w14:schemeClr w14:val="tx1"/>
                  </w14:solidFill>
                </w14:textFill>
              </w:rPr>
              <w:t>项目验收国家有强制性规定的，按国家规定执行，验收费用由中标人承担，验收报告作为申请付款的凭证之一。</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5.3</w:t>
            </w:r>
            <w:r>
              <w:rPr>
                <w:rFonts w:hint="eastAsia" w:ascii="宋体" w:hAnsi="宋体" w:cs="宋体"/>
                <w:bCs/>
                <w:color w:val="000000" w:themeColor="text1"/>
                <w:szCs w:val="21"/>
                <w14:textFill>
                  <w14:solidFill>
                    <w14:schemeClr w14:val="tx1"/>
                  </w14:solidFill>
                </w14:textFill>
              </w:rPr>
              <w:t>验收过程中产生纠纷的，由质量技术监督部门认定的检测机构检测,如为中标人原因造成的，由中标人承担检测费用；否则，由采购人承担。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5.4</w:t>
            </w:r>
            <w:r>
              <w:rPr>
                <w:rFonts w:hint="eastAsia" w:ascii="宋体" w:hAnsi="宋体" w:cs="宋体"/>
                <w:bCs/>
                <w:color w:val="000000" w:themeColor="text1"/>
                <w:szCs w:val="21"/>
                <w14:textFill>
                  <w14:solidFill>
                    <w14:schemeClr w14:val="tx1"/>
                  </w14:solidFill>
                </w14:textFill>
              </w:rPr>
              <w:t>如中标人所投产品无法满足采购人需求，采购人有权无条件中止合同并退货。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62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配件</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w:t>
            </w:r>
          </w:p>
        </w:tc>
        <w:tc>
          <w:tcPr>
            <w:tcW w:w="5940" w:type="dxa"/>
            <w:vAlign w:val="center"/>
          </w:tcPr>
          <w:p>
            <w:pPr>
              <w:widowControl/>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中标人提供设备的配件供应，投标人须设有备件库并配备专业维修人员。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p>
        </w:tc>
        <w:tc>
          <w:tcPr>
            <w:tcW w:w="1620" w:type="dxa"/>
            <w:vAlign w:val="center"/>
          </w:tcPr>
          <w:p>
            <w:pPr>
              <w:jc w:val="center"/>
              <w:rPr>
                <w:b/>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5940" w:type="dxa"/>
            <w:vAlign w:val="center"/>
          </w:tcPr>
          <w:p>
            <w:pPr>
              <w:rPr>
                <w:b/>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（二）免费保修期外售后服务要求（可选）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1</w:t>
            </w:r>
          </w:p>
        </w:tc>
        <w:tc>
          <w:tcPr>
            <w:tcW w:w="1620" w:type="dxa"/>
          </w:tcPr>
          <w:p>
            <w:pPr>
              <w:rPr>
                <w:b/>
                <w:color w:val="000000" w:themeColor="text1"/>
                <w14:textFill>
                  <w14:solidFill>
                    <w14:schemeClr w14:val="tx1"/>
                  </w14:solidFill>
                </w14:textFill>
              </w:rPr>
            </w:pPr>
          </w:p>
        </w:tc>
        <w:tc>
          <w:tcPr>
            <w:tcW w:w="5940" w:type="dxa"/>
          </w:tcPr>
          <w:p>
            <w:pP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p>
        </w:tc>
        <w:tc>
          <w:tcPr>
            <w:tcW w:w="1620" w:type="dxa"/>
          </w:tcPr>
          <w:p>
            <w:pPr>
              <w:rPr>
                <w:b/>
                <w:color w:val="000000" w:themeColor="text1"/>
                <w14:textFill>
                  <w14:solidFill>
                    <w14:schemeClr w14:val="tx1"/>
                  </w14:solidFill>
                </w14:textFill>
              </w:rPr>
            </w:pPr>
          </w:p>
        </w:tc>
        <w:tc>
          <w:tcPr>
            <w:tcW w:w="5940" w:type="dxa"/>
          </w:tcPr>
          <w:p>
            <w:pP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p>
        </w:tc>
        <w:tc>
          <w:tcPr>
            <w:tcW w:w="1620" w:type="dxa"/>
          </w:tcPr>
          <w:p>
            <w:pPr>
              <w:rPr>
                <w:b/>
                <w:color w:val="000000" w:themeColor="text1"/>
                <w14:textFill>
                  <w14:solidFill>
                    <w14:schemeClr w14:val="tx1"/>
                  </w14:solidFill>
                </w14:textFill>
              </w:rPr>
            </w:pPr>
          </w:p>
        </w:tc>
        <w:tc>
          <w:tcPr>
            <w:tcW w:w="5940" w:type="dxa"/>
          </w:tcPr>
          <w:p>
            <w:pP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vMerge w:val="restart"/>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1</w:t>
            </w:r>
          </w:p>
        </w:tc>
        <w:tc>
          <w:tcPr>
            <w:tcW w:w="1620"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关于交货</w:t>
            </w:r>
          </w:p>
        </w:tc>
        <w:tc>
          <w:tcPr>
            <w:tcW w:w="5940" w:type="dxa"/>
          </w:tcPr>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1.1交货地点：深圳市南山区前海学校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0" w:type="dxa"/>
            <w:vMerge w:val="continue"/>
            <w:vAlign w:val="center"/>
          </w:tcPr>
          <w:p>
            <w:pPr>
              <w:jc w:val="center"/>
              <w:rPr>
                <w:b/>
                <w:color w:val="000000" w:themeColor="text1"/>
                <w14:textFill>
                  <w14:solidFill>
                    <w14:schemeClr w14:val="tx1"/>
                  </w14:solidFill>
                </w14:textFill>
              </w:rPr>
            </w:pPr>
          </w:p>
        </w:tc>
        <w:tc>
          <w:tcPr>
            <w:tcW w:w="1620" w:type="dxa"/>
            <w:vMerge w:val="continue"/>
            <w:vAlign w:val="center"/>
          </w:tcPr>
          <w:p>
            <w:pPr>
              <w:jc w:val="center"/>
              <w:rPr>
                <w:color w:val="000000" w:themeColor="text1"/>
                <w14:textFill>
                  <w14:solidFill>
                    <w14:schemeClr w14:val="tx1"/>
                  </w14:solidFill>
                </w14:textFill>
              </w:rPr>
            </w:pPr>
          </w:p>
        </w:tc>
        <w:tc>
          <w:tcPr>
            <w:tcW w:w="5940" w:type="dxa"/>
          </w:tcPr>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0" w:type="dxa"/>
            <w:vMerge w:val="continue"/>
            <w:vAlign w:val="center"/>
          </w:tcPr>
          <w:p>
            <w:pPr>
              <w:jc w:val="center"/>
              <w:rPr>
                <w:b/>
                <w:color w:val="000000" w:themeColor="text1"/>
                <w14:textFill>
                  <w14:solidFill>
                    <w14:schemeClr w14:val="tx1"/>
                  </w14:solidFill>
                </w14:textFill>
              </w:rPr>
            </w:pPr>
          </w:p>
        </w:tc>
        <w:tc>
          <w:tcPr>
            <w:tcW w:w="1620" w:type="dxa"/>
            <w:vMerge w:val="continue"/>
            <w:vAlign w:val="center"/>
          </w:tcPr>
          <w:p>
            <w:pPr>
              <w:jc w:val="center"/>
              <w:rPr>
                <w:color w:val="000000" w:themeColor="text1"/>
                <w14:textFill>
                  <w14:solidFill>
                    <w14:schemeClr w14:val="tx1"/>
                  </w14:solidFill>
                </w14:textFill>
              </w:rPr>
            </w:pPr>
          </w:p>
        </w:tc>
        <w:tc>
          <w:tcPr>
            <w:tcW w:w="594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1.3签订合同后</w:t>
            </w:r>
            <w:r>
              <w:rPr>
                <w:rFonts w:hint="eastAsia"/>
                <w:color w:val="000000" w:themeColor="text1"/>
                <w:u w:val="single"/>
                <w14:textFill>
                  <w14:solidFill>
                    <w14:schemeClr w14:val="tx1"/>
                  </w14:solidFill>
                </w14:textFill>
              </w:rPr>
              <w:t xml:space="preserve"> 15</w:t>
            </w:r>
            <w:r>
              <w:rPr>
                <w:rFonts w:hint="eastAsia"/>
                <w:color w:val="000000" w:themeColor="text1"/>
                <w14:textFill>
                  <w14:solidFill>
                    <w14:schemeClr w14:val="tx1"/>
                  </w14:solidFill>
                </w14:textFill>
              </w:rPr>
              <w:t>天（日历日）内交货并安装完成系统调试完毕交付采购人，交货期是指调试验收完成并交付使用日期。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p>
        </w:tc>
        <w:tc>
          <w:tcPr>
            <w:tcW w:w="1620"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关于验收</w:t>
            </w:r>
          </w:p>
        </w:tc>
        <w:tc>
          <w:tcPr>
            <w:tcW w:w="5940" w:type="dxa"/>
          </w:tcPr>
          <w:p>
            <w:pPr>
              <w:spacing w:line="34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color w:val="000000" w:themeColor="text1"/>
                <w14:textFill>
                  <w14:solidFill>
                    <w14:schemeClr w14:val="tx1"/>
                  </w14:solidFill>
                </w14:textFill>
              </w:rPr>
            </w:pPr>
          </w:p>
        </w:tc>
        <w:tc>
          <w:tcPr>
            <w:tcW w:w="1620" w:type="dxa"/>
            <w:vMerge w:val="continue"/>
          </w:tcPr>
          <w:p>
            <w:pPr>
              <w:rPr>
                <w:b/>
                <w:color w:val="000000" w:themeColor="text1"/>
                <w14:textFill>
                  <w14:solidFill>
                    <w14:schemeClr w14:val="tx1"/>
                  </w14:solidFill>
                </w14:textFill>
              </w:rPr>
            </w:pPr>
          </w:p>
        </w:tc>
        <w:tc>
          <w:tcPr>
            <w:tcW w:w="5940" w:type="dxa"/>
          </w:tcPr>
          <w:p>
            <w:pPr>
              <w:spacing w:line="34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2.2当满足以下条件时，采购人才向中标人签发货物验收报告：</w:t>
            </w:r>
          </w:p>
          <w:p>
            <w:pPr>
              <w:tabs>
                <w:tab w:val="left" w:pos="1260"/>
              </w:tabs>
              <w:spacing w:line="34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a</w:t>
            </w:r>
            <w:r>
              <w:rPr>
                <w:rFonts w:hint="eastAsia"/>
                <w:bCs/>
                <w:color w:val="000000" w:themeColor="text1"/>
                <w:szCs w:val="21"/>
                <w14:textFill>
                  <w14:solidFill>
                    <w14:schemeClr w14:val="tx1"/>
                  </w14:solidFill>
                </w14:textFill>
              </w:rPr>
              <w:t>、中标人已按照合同规定提供了全部产品及完整的技术资料。</w:t>
            </w:r>
          </w:p>
          <w:p>
            <w:pPr>
              <w:tabs>
                <w:tab w:val="left" w:pos="1260"/>
              </w:tabs>
              <w:spacing w:line="34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b</w:t>
            </w:r>
            <w:r>
              <w:rPr>
                <w:rFonts w:hint="eastAsia"/>
                <w:bCs/>
                <w:color w:val="000000" w:themeColor="text1"/>
                <w:szCs w:val="21"/>
                <w14:textFill>
                  <w14:solidFill>
                    <w14:schemeClr w14:val="tx1"/>
                  </w14:solidFill>
                </w14:textFill>
              </w:rPr>
              <w:t>、货物符合招标文件技术规格书的要求，性能满足要求。</w:t>
            </w:r>
          </w:p>
          <w:p>
            <w:pPr>
              <w:tabs>
                <w:tab w:val="left" w:pos="1260"/>
              </w:tabs>
              <w:spacing w:line="34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c</w:t>
            </w:r>
            <w:r>
              <w:rPr>
                <w:rFonts w:hint="eastAsia"/>
                <w:bCs/>
                <w:color w:val="000000" w:themeColor="text1"/>
                <w:szCs w:val="21"/>
                <w14:textFill>
                  <w14:solidFill>
                    <w14:schemeClr w14:val="tx1"/>
                  </w14:solidFill>
                </w14:textFill>
              </w:rPr>
              <w:t>、货物具备产品合格证。</w:t>
            </w:r>
          </w:p>
          <w:p>
            <w:pPr>
              <w:tabs>
                <w:tab w:val="left" w:pos="1260"/>
              </w:tabs>
              <w:spacing w:line="34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color w:val="000000" w:themeColor="text1"/>
                <w14:textFill>
                  <w14:solidFill>
                    <w14:schemeClr w14:val="tx1"/>
                  </w14:solidFill>
                </w14:textFill>
              </w:rPr>
            </w:pPr>
          </w:p>
        </w:tc>
        <w:tc>
          <w:tcPr>
            <w:tcW w:w="1620" w:type="dxa"/>
            <w:vMerge w:val="continue"/>
          </w:tcPr>
          <w:p>
            <w:pPr>
              <w:rPr>
                <w:b/>
                <w:color w:val="000000" w:themeColor="text1"/>
                <w14:textFill>
                  <w14:solidFill>
                    <w14:schemeClr w14:val="tx1"/>
                  </w14:solidFill>
                </w14:textFill>
              </w:rPr>
            </w:pPr>
          </w:p>
        </w:tc>
        <w:tc>
          <w:tcPr>
            <w:tcW w:w="5940" w:type="dxa"/>
          </w:tcPr>
          <w:p>
            <w:pPr>
              <w:spacing w:line="360" w:lineRule="auto"/>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中标人货物安装调试完毕10天内，经过双方检验无故障方签署验收报告，产品保修期自验收合格之日起算，由中标人提供产品保修文件。中标人须向采购人提供详细的验收标准、验收手册。</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2.4当中标人已按照合同规定提供了全部产品及完整的技术资料，货物符合招标文件技术规格书的要求，性能满足要求，货物具备产品合格证，货物完成整体安装调试后，采购人才向中标人签发货物验收报告。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color w:val="000000" w:themeColor="text1"/>
                <w14:textFill>
                  <w14:solidFill>
                    <w14:schemeClr w14:val="tx1"/>
                  </w14:solidFill>
                </w14:textFill>
              </w:rPr>
            </w:pPr>
            <w:r>
              <w:rPr>
                <w:rFonts w:hint="eastAsia"/>
                <w:b/>
                <w:color w:val="000000" w:themeColor="text1"/>
                <w14:textFill>
                  <w14:solidFill>
                    <w14:schemeClr w14:val="tx1"/>
                  </w14:solidFill>
                </w14:textFill>
              </w:rPr>
              <w:t>3</w:t>
            </w:r>
          </w:p>
        </w:tc>
        <w:tc>
          <w:tcPr>
            <w:tcW w:w="1620" w:type="dxa"/>
            <w:vMerge w:val="restart"/>
          </w:tcPr>
          <w:p>
            <w:pPr>
              <w:jc w:val="center"/>
              <w:rPr>
                <w:b/>
                <w:color w:val="000000" w:themeColor="text1"/>
                <w14:textFill>
                  <w14:solidFill>
                    <w14:schemeClr w14:val="tx1"/>
                  </w14:solidFill>
                </w14:textFill>
              </w:rPr>
            </w:pPr>
            <w:r>
              <w:rPr>
                <w:rFonts w:hint="eastAsia"/>
                <w:color w:val="000000" w:themeColor="text1"/>
                <w14:textFill>
                  <w14:solidFill>
                    <w14:schemeClr w14:val="tx1"/>
                  </w14:solidFill>
                </w14:textFill>
              </w:rPr>
              <w:t>关于违约</w:t>
            </w:r>
          </w:p>
        </w:tc>
        <w:tc>
          <w:tcPr>
            <w:tcW w:w="594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3.1中标人不能交货的，需偿付不能交货部分货款的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color w:val="000000" w:themeColor="text1"/>
                <w14:textFill>
                  <w14:solidFill>
                    <w14:schemeClr w14:val="tx1"/>
                  </w14:solidFill>
                </w14:textFill>
              </w:rPr>
            </w:pPr>
          </w:p>
        </w:tc>
        <w:tc>
          <w:tcPr>
            <w:tcW w:w="1620" w:type="dxa"/>
            <w:vMerge w:val="continue"/>
          </w:tcPr>
          <w:p>
            <w:pPr>
              <w:jc w:val="center"/>
              <w:rPr>
                <w:color w:val="000000" w:themeColor="text1"/>
                <w14:textFill>
                  <w14:solidFill>
                    <w14:schemeClr w14:val="tx1"/>
                  </w14:solidFill>
                </w14:textFill>
              </w:rPr>
            </w:pPr>
          </w:p>
        </w:tc>
        <w:tc>
          <w:tcPr>
            <w:tcW w:w="594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color w:val="000000" w:themeColor="text1"/>
                <w14:textFill>
                  <w14:solidFill>
                    <w14:schemeClr w14:val="tx1"/>
                  </w14:solidFill>
                </w14:textFill>
              </w:rPr>
            </w:pPr>
          </w:p>
        </w:tc>
        <w:tc>
          <w:tcPr>
            <w:tcW w:w="1620" w:type="dxa"/>
            <w:vMerge w:val="continue"/>
          </w:tcPr>
          <w:p>
            <w:pPr>
              <w:jc w:val="center"/>
              <w:rPr>
                <w:color w:val="000000" w:themeColor="text1"/>
                <w14:textFill>
                  <w14:solidFill>
                    <w14:schemeClr w14:val="tx1"/>
                  </w14:solidFill>
                </w14:textFill>
              </w:rPr>
            </w:pPr>
          </w:p>
        </w:tc>
        <w:tc>
          <w:tcPr>
            <w:tcW w:w="594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color w:val="000000" w:themeColor="text1"/>
                <w14:textFill>
                  <w14:solidFill>
                    <w14:schemeClr w14:val="tx1"/>
                  </w14:solidFill>
                </w14:textFill>
              </w:rPr>
            </w:pPr>
          </w:p>
        </w:tc>
        <w:tc>
          <w:tcPr>
            <w:tcW w:w="1620" w:type="dxa"/>
            <w:vMerge w:val="continue"/>
          </w:tcPr>
          <w:p>
            <w:pPr>
              <w:jc w:val="center"/>
              <w:rPr>
                <w:color w:val="000000" w:themeColor="text1"/>
                <w14:textFill>
                  <w14:solidFill>
                    <w14:schemeClr w14:val="tx1"/>
                  </w14:solidFill>
                </w14:textFill>
              </w:rPr>
            </w:pPr>
          </w:p>
        </w:tc>
        <w:tc>
          <w:tcPr>
            <w:tcW w:w="5940" w:type="dxa"/>
          </w:tcPr>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对中标人供应货物进行抽查检验，如有假冒伪劣产品采购人有权退货同时解除合同，中标人应承担所有责任。</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3.5由于运输造成的货品问题由中标人负责，损失由中标人承担。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62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关于付款</w:t>
            </w:r>
          </w:p>
        </w:tc>
        <w:tc>
          <w:tcPr>
            <w:tcW w:w="594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按深圳市南山区财政局有关规定执行。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p>
        </w:tc>
        <w:tc>
          <w:tcPr>
            <w:tcW w:w="1620" w:type="dxa"/>
          </w:tcPr>
          <w:p>
            <w:pPr>
              <w:rPr>
                <w:b/>
                <w:color w:val="000000" w:themeColor="text1"/>
                <w14:textFill>
                  <w14:solidFill>
                    <w14:schemeClr w14:val="tx1"/>
                  </w14:solidFill>
                </w14:textFill>
              </w:rPr>
            </w:pPr>
          </w:p>
        </w:tc>
        <w:tc>
          <w:tcPr>
            <w:tcW w:w="5940" w:type="dxa"/>
          </w:tcPr>
          <w:p>
            <w:pPr>
              <w:rPr>
                <w:b/>
                <w:color w:val="000000" w:themeColor="text1"/>
                <w14:textFill>
                  <w14:solidFill>
                    <w14:schemeClr w14:val="tx1"/>
                  </w14:solidFill>
                </w14:textFill>
              </w:rPr>
            </w:pPr>
          </w:p>
        </w:tc>
      </w:tr>
    </w:tbl>
    <w:p>
      <w:pPr>
        <w:pStyle w:val="3"/>
        <w:spacing w:before="120" w:beforeLines="50" w:after="120" w:afterLines="50" w:line="360" w:lineRule="auto"/>
        <w:rPr>
          <w:rFonts w:ascii="新宋体" w:hAnsi="新宋体" w:eastAsia="新宋体"/>
          <w:sz w:val="21"/>
          <w:szCs w:val="21"/>
        </w:rPr>
      </w:pPr>
      <w:r>
        <w:rPr>
          <w:rFonts w:hint="eastAsia" w:ascii="新宋体" w:hAnsi="新宋体" w:eastAsia="新宋体"/>
          <w:sz w:val="21"/>
          <w:szCs w:val="21"/>
        </w:rPr>
        <w:t>七、政策导向</w:t>
      </w:r>
    </w:p>
    <w:p>
      <w:pPr>
        <w:spacing w:line="360" w:lineRule="auto"/>
        <w:ind w:firstLine="315" w:firstLineChars="150"/>
        <w:rPr>
          <w:rFonts w:ascii="新宋体" w:hAnsi="新宋体" w:eastAsia="新宋体"/>
          <w:bCs/>
          <w:szCs w:val="21"/>
        </w:rPr>
      </w:pPr>
      <w:r>
        <w:rPr>
          <w:rFonts w:hint="eastAsia" w:ascii="新宋体" w:hAnsi="新宋体" w:eastAsia="新宋体"/>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60" w:lineRule="auto"/>
        <w:ind w:firstLine="405"/>
        <w:rPr>
          <w:rFonts w:ascii="新宋体" w:hAnsi="新宋体" w:eastAsia="新宋体"/>
          <w:szCs w:val="21"/>
        </w:rPr>
      </w:pPr>
      <w:r>
        <w:rPr>
          <w:rFonts w:hint="eastAsia" w:ascii="新宋体" w:hAnsi="新宋体" w:eastAsia="新宋体"/>
          <w:color w:val="000000"/>
          <w:szCs w:val="21"/>
          <w:shd w:val="clear" w:color="auto" w:fill="FFFFFF"/>
        </w:rPr>
        <w:t>2、</w:t>
      </w:r>
      <w:r>
        <w:rPr>
          <w:rFonts w:hint="eastAsia" w:ascii="新宋体" w:hAnsi="新宋体" w:eastAsia="新宋体"/>
          <w:szCs w:val="21"/>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60" w:lineRule="auto"/>
        <w:ind w:firstLine="405"/>
        <w:rPr>
          <w:rFonts w:ascii="新宋体" w:hAnsi="新宋体" w:eastAsia="新宋体"/>
          <w:szCs w:val="21"/>
        </w:rPr>
      </w:pPr>
      <w:r>
        <w:rPr>
          <w:rFonts w:hint="eastAsia" w:ascii="新宋体" w:hAnsi="新宋体" w:eastAsia="新宋体"/>
          <w:szCs w:val="21"/>
        </w:rPr>
        <w:t>3、“信用中国”、“中国政府采购网”以及“深圳市政府采购监管网”为供应商信用信息的查询渠道，相关信息以中标通知书发出前的查询结果为准。</w:t>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r>
        <w:rPr>
          <w:rFonts w:hint="eastAsia" w:ascii="新宋体" w:hAnsi="新宋体" w:eastAsia="新宋体"/>
          <w:szCs w:val="21"/>
        </w:rPr>
        <w:br w:type="textWrapping"/>
      </w:r>
    </w:p>
    <w:p>
      <w:pPr>
        <w:pStyle w:val="3"/>
        <w:spacing w:line="360" w:lineRule="auto"/>
        <w:rPr>
          <w:rFonts w:ascii="新宋体" w:hAnsi="新宋体" w:eastAsia="新宋体"/>
          <w:kern w:val="2"/>
          <w:sz w:val="21"/>
          <w:szCs w:val="21"/>
        </w:rPr>
      </w:pPr>
      <w:r>
        <w:rPr>
          <w:rFonts w:hint="eastAsia" w:ascii="新宋体" w:hAnsi="新宋体" w:eastAsia="新宋体"/>
          <w:kern w:val="2"/>
          <w:sz w:val="21"/>
          <w:szCs w:val="21"/>
        </w:rPr>
        <w:t>第三章</w:t>
      </w:r>
      <w:r>
        <w:rPr>
          <w:rFonts w:ascii="新宋体" w:hAnsi="新宋体" w:eastAsia="新宋体"/>
          <w:kern w:val="2"/>
          <w:sz w:val="21"/>
          <w:szCs w:val="21"/>
        </w:rPr>
        <w:t xml:space="preserve"> </w:t>
      </w:r>
      <w:r>
        <w:rPr>
          <w:rFonts w:hint="eastAsia" w:ascii="新宋体" w:hAnsi="新宋体" w:eastAsia="新宋体"/>
          <w:kern w:val="2"/>
          <w:sz w:val="21"/>
          <w:szCs w:val="21"/>
        </w:rPr>
        <w:t xml:space="preserve"> 投标文件格式、附件</w:t>
      </w:r>
    </w:p>
    <w:p>
      <w:pPr>
        <w:spacing w:line="360" w:lineRule="auto"/>
        <w:rPr>
          <w:rStyle w:val="58"/>
          <w:rFonts w:ascii="新宋体" w:hAnsi="新宋体" w:eastAsia="新宋体"/>
          <w:sz w:val="21"/>
          <w:szCs w:val="21"/>
        </w:rPr>
      </w:pPr>
      <w:r>
        <w:rPr>
          <w:rStyle w:val="58"/>
          <w:rFonts w:hint="eastAsia" w:ascii="新宋体" w:hAnsi="新宋体" w:eastAsia="新宋体"/>
          <w:sz w:val="21"/>
          <w:szCs w:val="21"/>
        </w:rPr>
        <w:t>特别提醒：</w:t>
      </w:r>
    </w:p>
    <w:p>
      <w:pPr>
        <w:spacing w:line="360" w:lineRule="auto"/>
        <w:ind w:firstLine="420" w:firstLineChars="200"/>
        <w:rPr>
          <w:rFonts w:ascii="新宋体" w:hAnsi="新宋体" w:eastAsia="新宋体"/>
          <w:szCs w:val="21"/>
        </w:rPr>
      </w:pPr>
      <w:r>
        <w:rPr>
          <w:rFonts w:hint="eastAsia" w:ascii="新宋体" w:hAnsi="新宋体" w:eastAsia="新宋体"/>
          <w:szCs w:val="21"/>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spacing w:line="360" w:lineRule="auto"/>
        <w:rPr>
          <w:rFonts w:ascii="新宋体" w:hAnsi="新宋体" w:eastAsia="新宋体"/>
          <w:szCs w:val="21"/>
        </w:rPr>
      </w:pPr>
      <w:r>
        <w:rPr>
          <w:rFonts w:hint="eastAsia" w:ascii="新宋体" w:hAnsi="新宋体" w:eastAsia="新宋体"/>
          <w:szCs w:val="21"/>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pPr>
        <w:rPr>
          <w:rFonts w:ascii="仿宋_GB2312" w:eastAsia="仿宋_GB2312"/>
          <w:sz w:val="24"/>
        </w:rPr>
      </w:pPr>
    </w:p>
    <w:p>
      <w:pPr>
        <w:jc w:val="center"/>
        <w:rPr>
          <w:rFonts w:ascii="仿宋_GB2312" w:eastAsia="仿宋_GB2312"/>
          <w:sz w:val="24"/>
        </w:rPr>
      </w:pPr>
    </w:p>
    <w:p>
      <w:pPr>
        <w:spacing w:line="360" w:lineRule="auto"/>
        <w:ind w:firstLine="420" w:firstLineChars="200"/>
        <w:rPr>
          <w:rFonts w:ascii="新宋体" w:hAnsi="新宋体" w:eastAsia="新宋体"/>
          <w:szCs w:val="21"/>
        </w:rPr>
      </w:pPr>
      <w:r>
        <w:rPr>
          <w:rFonts w:hint="eastAsia" w:ascii="新宋体" w:hAnsi="新宋体" w:eastAsia="新宋体"/>
          <w:szCs w:val="21"/>
        </w:rPr>
        <w:t>我中心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将作投标无效处理。</w:t>
      </w:r>
    </w:p>
    <w:p>
      <w:pPr>
        <w:spacing w:line="360" w:lineRule="auto"/>
        <w:ind w:firstLine="422" w:firstLineChars="200"/>
        <w:rPr>
          <w:rFonts w:ascii="新宋体" w:hAnsi="新宋体" w:eastAsia="新宋体"/>
          <w:b/>
          <w:szCs w:val="21"/>
        </w:rPr>
      </w:pPr>
    </w:p>
    <w:p>
      <w:pPr>
        <w:spacing w:line="360" w:lineRule="auto"/>
        <w:ind w:firstLine="420" w:firstLineChars="200"/>
        <w:rPr>
          <w:rFonts w:ascii="新宋体" w:hAnsi="新宋体" w:eastAsia="新宋体"/>
          <w:szCs w:val="21"/>
        </w:rPr>
      </w:pPr>
      <w:r>
        <w:rPr>
          <w:rFonts w:hint="eastAsia" w:ascii="新宋体" w:hAnsi="新宋体" w:eastAsia="新宋体"/>
          <w:szCs w:val="21"/>
        </w:rPr>
        <w:t>各投标供应商：</w:t>
      </w:r>
    </w:p>
    <w:p>
      <w:pPr>
        <w:spacing w:line="360" w:lineRule="auto"/>
        <w:ind w:firstLine="420" w:firstLineChars="200"/>
        <w:rPr>
          <w:rFonts w:ascii="新宋体" w:hAnsi="新宋体" w:eastAsia="新宋体"/>
          <w:szCs w:val="21"/>
        </w:rPr>
      </w:pPr>
      <w:r>
        <w:rPr>
          <w:rFonts w:hint="eastAsia" w:ascii="新宋体" w:hAnsi="新宋体" w:eastAsia="新宋体"/>
          <w:szCs w:val="21"/>
        </w:rPr>
        <w:t>根据《中华人民共和国政府采购法》及《深圳经济特区政府采购条例》有关规定，为增强各供应商诚信守法、公平竞争意识，规范各供应商投标行为，有效遏制投标供应商在政府采购活动中的串标围标、造假等不诚信行为，促进我市政府采购市场诚信体系建设，确保我市政府采购工作公开、公平和公正，深圳市政府采购中心将依法依规对如下投标信息予以公示，望各投标供应商给予配合，履行好自身的权益和义务。</w:t>
      </w:r>
    </w:p>
    <w:p>
      <w:pPr>
        <w:spacing w:line="360" w:lineRule="auto"/>
        <w:ind w:firstLine="420" w:firstLineChars="200"/>
        <w:rPr>
          <w:rFonts w:ascii="新宋体" w:hAnsi="新宋体" w:eastAsia="新宋体"/>
          <w:szCs w:val="21"/>
        </w:rPr>
      </w:pPr>
      <w:r>
        <w:rPr>
          <w:rFonts w:hint="eastAsia" w:ascii="新宋体" w:hAnsi="新宋体" w:eastAsia="新宋体"/>
          <w:szCs w:val="21"/>
        </w:rPr>
        <w:t>1．公示的内容。营业执照、资质证书、项目业绩、履约验收报告及评价、社保证明、设备发票、职称、各种证件（身份证除外）、货物的规格型号及配置参数等。</w:t>
      </w:r>
    </w:p>
    <w:p>
      <w:pPr>
        <w:spacing w:line="360" w:lineRule="auto"/>
        <w:ind w:firstLine="420" w:firstLineChars="200"/>
        <w:rPr>
          <w:rFonts w:ascii="新宋体" w:hAnsi="新宋体" w:eastAsia="新宋体"/>
          <w:szCs w:val="21"/>
        </w:rPr>
      </w:pPr>
      <w:r>
        <w:rPr>
          <w:rFonts w:hint="eastAsia" w:ascii="新宋体" w:hAnsi="新宋体" w:eastAsia="新宋体"/>
          <w:szCs w:val="21"/>
        </w:rPr>
        <w:t>2．公示时间。从2014年9月10日起，所有新公告的政府采购项目的投标供应商的投标文件都进行公示。公示时间有两次，具体是：</w:t>
      </w:r>
    </w:p>
    <w:p>
      <w:pPr>
        <w:spacing w:line="360" w:lineRule="auto"/>
        <w:ind w:firstLine="420" w:firstLineChars="200"/>
        <w:rPr>
          <w:rFonts w:ascii="新宋体" w:hAnsi="新宋体" w:eastAsia="新宋体"/>
          <w:szCs w:val="21"/>
        </w:rPr>
      </w:pPr>
      <w:r>
        <w:rPr>
          <w:rFonts w:hint="eastAsia" w:ascii="新宋体" w:hAnsi="新宋体" w:eastAsia="新宋体"/>
          <w:szCs w:val="21"/>
        </w:rPr>
        <w:t>第一次公示时间：评标环节。当项目开标评审开始后，所有投标供应商的投标文件有关信息将随开标一览表向所有参与的投标供应商进行公开；</w:t>
      </w:r>
    </w:p>
    <w:p>
      <w:pPr>
        <w:spacing w:line="360" w:lineRule="auto"/>
        <w:ind w:firstLine="420" w:firstLineChars="200"/>
        <w:rPr>
          <w:rFonts w:ascii="新宋体" w:hAnsi="新宋体" w:eastAsia="新宋体"/>
          <w:szCs w:val="21"/>
        </w:rPr>
      </w:pPr>
      <w:r>
        <w:rPr>
          <w:rFonts w:hint="eastAsia" w:ascii="新宋体" w:hAnsi="新宋体" w:eastAsia="新宋体"/>
          <w:szCs w:val="21"/>
        </w:rPr>
        <w:t>第二次公示时间：中标结果公布环节。当发布中标结果时，同时向社会公布参加该政府采购项目的投标供应商（包括中标和未中标供应商）的投标文件。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3．履行职责并及时指出有造假的行为。各投标人有权对公示内容进行监督，在第一次信息公开后的90分钟内，向中心反馈质疑和举报有造假行为的供应商，具体操作：</w:t>
      </w:r>
    </w:p>
    <w:p>
      <w:pPr>
        <w:spacing w:line="360" w:lineRule="auto"/>
        <w:ind w:firstLine="420" w:firstLineChars="200"/>
        <w:rPr>
          <w:rFonts w:ascii="新宋体" w:hAnsi="新宋体" w:eastAsia="新宋体"/>
          <w:szCs w:val="21"/>
        </w:rPr>
      </w:pPr>
      <w:r>
        <w:rPr>
          <w:rFonts w:hint="eastAsia" w:ascii="新宋体" w:hAnsi="新宋体" w:eastAsia="新宋体"/>
          <w:szCs w:val="21"/>
        </w:rPr>
        <w:t>点击“我要举报”按键，系统即显示所有投标人相关内容，选择有造假的供应商，在公示内容上点击。该内容下框会有“√”显示，当选择完后，确认提交至市政府采购中心辅助评标系统。评标委员会将于开标后的90分钟后打开该系统，如显示有被举报的供应商，评标委员会即启动取证环节的相关工作，当取证完成，经确认该投标人有造假，则该供应商投标无效，同时将依规定予以处罚。反之，如该项目无任何举报信息，评标继续进行。</w:t>
      </w:r>
    </w:p>
    <w:p>
      <w:pPr>
        <w:spacing w:line="360" w:lineRule="auto"/>
        <w:ind w:firstLine="420" w:firstLineChars="200"/>
        <w:rPr>
          <w:rFonts w:ascii="新宋体" w:hAnsi="新宋体" w:eastAsia="新宋体"/>
          <w:szCs w:val="21"/>
        </w:rPr>
      </w:pPr>
    </w:p>
    <w:p>
      <w:pPr>
        <w:spacing w:line="360" w:lineRule="auto"/>
        <w:ind w:firstLine="420" w:firstLineChars="200"/>
        <w:rPr>
          <w:rFonts w:ascii="新宋体" w:hAnsi="新宋体" w:eastAsia="新宋体"/>
          <w:szCs w:val="21"/>
        </w:rPr>
      </w:pPr>
      <w:r>
        <w:rPr>
          <w:rFonts w:hint="eastAsia" w:ascii="新宋体" w:hAnsi="新宋体" w:eastAsia="新宋体"/>
          <w:szCs w:val="21"/>
        </w:rPr>
        <w:t>本项目各投标供应商，应在开标后始终保持本项目联系人手机畅通。当开标时间超过90分钟后，市政府采购中心将视举报信息反馈情况会与您通话（所有通话内容将会录音），如有要求提交公示内容正本（原件）的，务必在通话后的120分钟内送达至市政府采购中心，以便评委现场查验。如不按时送达或拒送原件的，您的投标将视为投标响应不足，评标委员会将终止对该企业的标书评审，投标文件将视为弃标，评标中止；如查验确为造假，则投标无效，并视情况再作进一步处理。</w:t>
      </w:r>
    </w:p>
    <w:p>
      <w:pPr>
        <w:spacing w:line="360" w:lineRule="auto"/>
        <w:ind w:firstLine="420" w:firstLineChars="200"/>
        <w:rPr>
          <w:rFonts w:ascii="新宋体" w:hAnsi="新宋体" w:eastAsia="新宋体"/>
          <w:szCs w:val="21"/>
        </w:rPr>
      </w:pPr>
      <w:r>
        <w:rPr>
          <w:rFonts w:hint="eastAsia" w:ascii="新宋体" w:hAnsi="新宋体" w:eastAsia="新宋体"/>
          <w:szCs w:val="21"/>
        </w:rPr>
        <w:t>第二次中标供应商信息公示的质疑，按现规定和做法执行。</w:t>
      </w:r>
    </w:p>
    <w:p>
      <w:pPr>
        <w:spacing w:line="360" w:lineRule="auto"/>
        <w:ind w:firstLine="420" w:firstLineChars="200"/>
        <w:rPr>
          <w:rFonts w:ascii="新宋体" w:hAnsi="新宋体" w:eastAsia="新宋体"/>
          <w:szCs w:val="21"/>
        </w:rPr>
      </w:pPr>
      <w:r>
        <w:rPr>
          <w:rFonts w:hint="eastAsia" w:ascii="新宋体" w:hAnsi="新宋体" w:eastAsia="新宋体"/>
          <w:szCs w:val="21"/>
        </w:rPr>
        <w:t>望各供应商要珍惜本次投标机会，诚实、守信、依法、依规投标。</w:t>
      </w:r>
    </w:p>
    <w:p>
      <w:pPr>
        <w:spacing w:line="360" w:lineRule="auto"/>
        <w:rPr>
          <w:rFonts w:ascii="新宋体" w:hAnsi="新宋体" w:eastAsia="新宋体"/>
          <w:szCs w:val="21"/>
        </w:rPr>
      </w:pPr>
    </w:p>
    <w:p>
      <w:pPr>
        <w:spacing w:line="360" w:lineRule="auto"/>
        <w:rPr>
          <w:rStyle w:val="58"/>
          <w:rFonts w:ascii="新宋体" w:hAnsi="新宋体" w:eastAsia="新宋体"/>
          <w:sz w:val="21"/>
          <w:szCs w:val="21"/>
        </w:rPr>
      </w:pPr>
      <w:r>
        <w:rPr>
          <w:rStyle w:val="58"/>
          <w:rFonts w:hint="eastAsia" w:ascii="新宋体" w:hAnsi="新宋体" w:eastAsia="新宋体"/>
          <w:sz w:val="21"/>
          <w:szCs w:val="21"/>
        </w:rPr>
        <w:br w:type="textWrapping"/>
      </w:r>
      <w:r>
        <w:rPr>
          <w:rStyle w:val="58"/>
          <w:rFonts w:hint="eastAsia" w:ascii="新宋体" w:hAnsi="新宋体" w:eastAsia="新宋体"/>
          <w:sz w:val="21"/>
          <w:szCs w:val="21"/>
        </w:rPr>
        <w:br w:type="textWrapping"/>
      </w:r>
      <w:r>
        <w:rPr>
          <w:rStyle w:val="58"/>
          <w:rFonts w:hint="eastAsia" w:ascii="新宋体" w:hAnsi="新宋体" w:eastAsia="新宋体"/>
          <w:sz w:val="21"/>
          <w:szCs w:val="21"/>
        </w:rPr>
        <w:br w:type="textWrapping"/>
      </w:r>
      <w:r>
        <w:rPr>
          <w:rStyle w:val="58"/>
          <w:rFonts w:hint="eastAsia" w:ascii="新宋体" w:hAnsi="新宋体" w:eastAsia="新宋体"/>
          <w:sz w:val="21"/>
          <w:szCs w:val="21"/>
        </w:rPr>
        <w:br w:type="textWrapping"/>
      </w:r>
      <w:r>
        <w:rPr>
          <w:rStyle w:val="58"/>
          <w:rFonts w:hint="eastAsia" w:ascii="新宋体" w:hAnsi="新宋体" w:eastAsia="新宋体"/>
          <w:sz w:val="21"/>
          <w:szCs w:val="21"/>
        </w:rPr>
        <w:br w:type="textWrapping"/>
      </w:r>
      <w:r>
        <w:rPr>
          <w:rStyle w:val="58"/>
          <w:rFonts w:hint="eastAsia" w:ascii="新宋体" w:hAnsi="新宋体" w:eastAsia="新宋体"/>
          <w:sz w:val="21"/>
          <w:szCs w:val="21"/>
        </w:rPr>
        <w:t>投标文件组成：</w:t>
      </w:r>
    </w:p>
    <w:p>
      <w:pPr>
        <w:spacing w:line="360" w:lineRule="auto"/>
        <w:ind w:firstLine="1050" w:firstLineChars="500"/>
        <w:rPr>
          <w:rFonts w:ascii="新宋体" w:hAnsi="新宋体" w:eastAsia="新宋体"/>
          <w:szCs w:val="21"/>
        </w:rPr>
      </w:pPr>
      <w:r>
        <w:rPr>
          <w:rFonts w:hint="eastAsia" w:ascii="新宋体" w:hAnsi="新宋体" w:eastAsia="新宋体"/>
          <w:szCs w:val="21"/>
        </w:rPr>
        <w:t>1.投标文件正文</w:t>
      </w:r>
      <w:r>
        <w:rPr>
          <w:rFonts w:hint="eastAsia" w:ascii="新宋体" w:hAnsi="新宋体" w:eastAsia="新宋体"/>
          <w:b/>
          <w:color w:val="FF0000"/>
          <w:szCs w:val="21"/>
        </w:rPr>
        <w:t>（信息公开部分）</w:t>
      </w:r>
      <w:r>
        <w:rPr>
          <w:rFonts w:hint="eastAsia" w:ascii="新宋体" w:hAnsi="新宋体" w:eastAsia="新宋体"/>
          <w:szCs w:val="21"/>
        </w:rPr>
        <w:t>，主要包括以下内容：</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（1）投标函</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（2）政府采购投标及履约承诺函</w:t>
      </w:r>
    </w:p>
    <w:p>
      <w:pPr>
        <w:spacing w:line="360" w:lineRule="auto"/>
        <w:ind w:left="718" w:leftChars="342" w:firstLine="1417" w:firstLineChars="675"/>
        <w:rPr>
          <w:rFonts w:ascii="新宋体" w:hAnsi="新宋体" w:eastAsia="新宋体"/>
          <w:color w:val="auto"/>
          <w:szCs w:val="21"/>
        </w:rPr>
      </w:pPr>
      <w:r>
        <w:rPr>
          <w:rFonts w:hint="eastAsia" w:ascii="新宋体" w:hAnsi="新宋体" w:eastAsia="新宋体"/>
          <w:color w:val="auto"/>
          <w:szCs w:val="21"/>
        </w:rPr>
        <w:t>（3）分项报价清单</w:t>
      </w:r>
    </w:p>
    <w:p>
      <w:pPr>
        <w:spacing w:line="360" w:lineRule="auto"/>
        <w:ind w:left="2692" w:leftChars="1017" w:hanging="556" w:hangingChars="265"/>
        <w:rPr>
          <w:rFonts w:ascii="新宋体" w:hAnsi="新宋体" w:eastAsia="新宋体"/>
          <w:color w:val="auto"/>
          <w:szCs w:val="21"/>
        </w:rPr>
      </w:pPr>
      <w:r>
        <w:rPr>
          <w:rFonts w:hint="eastAsia" w:ascii="新宋体" w:hAnsi="新宋体" w:eastAsia="新宋体"/>
          <w:color w:val="auto"/>
          <w:szCs w:val="21"/>
        </w:rPr>
        <w:t>（4）投标人情况介绍</w:t>
      </w:r>
    </w:p>
    <w:p>
      <w:pPr>
        <w:spacing w:line="360" w:lineRule="auto"/>
        <w:ind w:left="718" w:leftChars="342" w:firstLine="1417" w:firstLineChars="675"/>
        <w:rPr>
          <w:rFonts w:ascii="新宋体" w:hAnsi="新宋体" w:eastAsia="新宋体"/>
          <w:color w:val="auto"/>
          <w:szCs w:val="21"/>
        </w:rPr>
      </w:pPr>
      <w:r>
        <w:rPr>
          <w:rFonts w:hint="eastAsia" w:ascii="新宋体" w:hAnsi="新宋体" w:eastAsia="新宋体"/>
          <w:color w:val="auto"/>
          <w:szCs w:val="21"/>
        </w:rPr>
        <w:t>（5）货物说明一览表</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（6）技术规格偏离表</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（7）商务需求偏离表</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（8）投标人认为需要加以说明的其他内容</w:t>
      </w:r>
    </w:p>
    <w:p>
      <w:pPr>
        <w:spacing w:line="360" w:lineRule="auto"/>
        <w:ind w:left="718" w:leftChars="342" w:firstLine="1417" w:firstLineChars="675"/>
        <w:rPr>
          <w:rFonts w:ascii="新宋体" w:hAnsi="新宋体" w:eastAsia="新宋体"/>
          <w:szCs w:val="21"/>
        </w:rPr>
      </w:pPr>
    </w:p>
    <w:p>
      <w:pPr>
        <w:spacing w:line="360" w:lineRule="auto"/>
        <w:ind w:firstLine="1050" w:firstLineChars="500"/>
        <w:rPr>
          <w:rFonts w:ascii="新宋体" w:hAnsi="新宋体" w:eastAsia="新宋体"/>
          <w:szCs w:val="21"/>
        </w:rPr>
      </w:pPr>
      <w:r>
        <w:rPr>
          <w:rFonts w:hint="eastAsia" w:ascii="新宋体" w:hAnsi="新宋体" w:eastAsia="新宋体"/>
          <w:szCs w:val="21"/>
        </w:rPr>
        <w:t>2.投标文件附件</w:t>
      </w:r>
      <w:r>
        <w:rPr>
          <w:rFonts w:hint="eastAsia" w:ascii="新宋体" w:hAnsi="新宋体" w:eastAsia="新宋体"/>
          <w:b/>
          <w:color w:val="FF0000"/>
          <w:szCs w:val="21"/>
        </w:rPr>
        <w:t>（信息不公开部分）</w:t>
      </w:r>
      <w:r>
        <w:rPr>
          <w:rFonts w:hint="eastAsia" w:ascii="新宋体" w:hAnsi="新宋体" w:eastAsia="新宋体"/>
          <w:szCs w:val="21"/>
        </w:rPr>
        <w:t>：主要包括以下内容：</w:t>
      </w:r>
    </w:p>
    <w:p>
      <w:pPr>
        <w:spacing w:line="360" w:lineRule="auto"/>
        <w:ind w:firstLine="2100" w:firstLineChars="1000"/>
        <w:rPr>
          <w:rFonts w:ascii="新宋体" w:hAnsi="新宋体" w:eastAsia="新宋体"/>
          <w:szCs w:val="21"/>
        </w:rPr>
      </w:pPr>
      <w:r>
        <w:rPr>
          <w:rFonts w:hint="eastAsia" w:ascii="新宋体" w:hAnsi="新宋体" w:eastAsia="新宋体"/>
          <w:szCs w:val="21"/>
        </w:rPr>
        <w:t>（1）法定代表人证明书</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（2）投标文件签署授权委托书</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（3）实质性条款响应情况表</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（4）项目实施方案</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（5）售后服务方案</w:t>
      </w:r>
    </w:p>
    <w:p>
      <w:pPr>
        <w:ind w:left="718" w:leftChars="342" w:firstLine="1417" w:firstLineChars="675"/>
        <w:rPr>
          <w:szCs w:val="21"/>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spacing w:line="360" w:lineRule="auto"/>
        <w:jc w:val="center"/>
        <w:outlineLvl w:val="1"/>
        <w:rPr>
          <w:rFonts w:ascii="新宋体" w:hAnsi="新宋体" w:eastAsia="新宋体"/>
          <w:b/>
          <w:color w:val="FF0000"/>
          <w:szCs w:val="21"/>
        </w:rPr>
      </w:pPr>
      <w:r>
        <w:rPr>
          <w:rFonts w:hint="eastAsia" w:ascii="新宋体" w:hAnsi="新宋体" w:eastAsia="新宋体"/>
          <w:b/>
          <w:color w:val="FF0000"/>
          <w:szCs w:val="21"/>
        </w:rPr>
        <w:t>温馨提示</w:t>
      </w:r>
    </w:p>
    <w:p>
      <w:pPr>
        <w:spacing w:line="360" w:lineRule="auto"/>
        <w:rPr>
          <w:rFonts w:ascii="新宋体" w:hAnsi="新宋体" w:eastAsia="新宋体"/>
          <w:szCs w:val="21"/>
        </w:rPr>
      </w:pP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投标文件中存在以下情况的，将会导致投标无效：</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1.未按投标人资格要求提供有效的营业执照或事业单位法人证扫描件、《政府采购投标及履约承诺函》声明、进口产品由设备制造商或授权的中国总代理签署的合法有效的保修维修承诺函、其他资格证明资料等；</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2.拒绝进口项目或允许部分进口项目的拒绝进口部分选用了进口产品；</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3.投标报价不符合要求，包括但不限于：投标总价或项目报价表中单个采购预算条目报价超过对应的财政预算限额、投标文件报价出现前后不一致且按照法定程序进行修正后投标人不确认的；</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4. 具体技术要求、商务需求偏离表中带“★”要求未填写偏离情况或说明、填写为负偏离、填写为正偏离但与评审委员会判定不一致，《技术规格偏离表》《商务需求偏离表》填写的“投标技术响应”与《具体技术要求》《商务需求》的“招标技术要求”“招标商务条款”存在填写不全的情况；</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 xml:space="preserve">5. 投标文件正文（信息公开部分）内容缺漏，包括但不限于：《投标函》中未填写项目编号或名称、《政府采购投标及履约承诺函》未署名投标人名称； </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6. 投标文件附件（信息不公开部分）内容缺漏，包括但不限于：未提供完整的法定代表人证明书（含法定代表人身份证正反两面扫描件）、投标文件签署授权委托书（含授权委托代理人身份证正反两面扫描件）；</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7.投标文件正文（信息公开部分）内容未放置于投标文件信息公开部分；</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8. 构成投标文件的暗标标书的任何地方出现投标人公司名称、人员姓名和投标人特有的标志及图案，具体包括投标人公司全称、简称、外文名称、特有logo及人员姓名；</w:t>
      </w: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4"/>
        <w:spacing w:line="360" w:lineRule="auto"/>
        <w:jc w:val="center"/>
        <w:rPr>
          <w:rFonts w:ascii="新宋体" w:hAnsi="新宋体" w:eastAsia="新宋体"/>
          <w:b w:val="0"/>
          <w:sz w:val="21"/>
          <w:szCs w:val="21"/>
        </w:rPr>
      </w:pPr>
      <w:r>
        <w:rPr>
          <w:rFonts w:hint="eastAsia" w:ascii="新宋体" w:hAnsi="新宋体" w:eastAsia="新宋体"/>
          <w:b w:val="0"/>
          <w:sz w:val="21"/>
          <w:szCs w:val="21"/>
        </w:rPr>
        <w:t>一、投标函</w:t>
      </w:r>
    </w:p>
    <w:p>
      <w:pPr>
        <w:spacing w:line="360" w:lineRule="auto"/>
        <w:rPr>
          <w:rFonts w:ascii="新宋体" w:hAnsi="新宋体" w:eastAsia="新宋体"/>
          <w:color w:val="FF0000"/>
          <w:szCs w:val="21"/>
        </w:rPr>
      </w:pPr>
      <w:r>
        <w:rPr>
          <w:rFonts w:hint="eastAsia" w:ascii="新宋体" w:hAnsi="新宋体" w:eastAsia="新宋体"/>
          <w:color w:val="FF0000"/>
          <w:szCs w:val="21"/>
        </w:rPr>
        <w:t>致：</w:t>
      </w:r>
      <w:r>
        <w:rPr>
          <w:rFonts w:hint="eastAsia" w:ascii="新宋体" w:hAnsi="新宋体" w:eastAsia="新宋体"/>
          <w:color w:val="FF0000"/>
          <w:szCs w:val="21"/>
          <w:u w:val="single"/>
        </w:rPr>
        <w:t xml:space="preserve">  </w:t>
      </w:r>
      <w:r>
        <w:rPr>
          <w:rFonts w:hint="eastAsia" w:ascii="新宋体" w:hAnsi="新宋体" w:eastAsia="新宋体" w:cs="宋体"/>
          <w:kern w:val="0"/>
          <w:szCs w:val="21"/>
          <w:u w:val="single"/>
        </w:rPr>
        <w:t>深圳市瑞凝信招标咨询有限公司</w:t>
      </w:r>
      <w:r>
        <w:rPr>
          <w:rFonts w:hint="eastAsia" w:ascii="新宋体" w:hAnsi="新宋体" w:eastAsia="新宋体"/>
          <w:color w:val="FF0000"/>
          <w:szCs w:val="21"/>
          <w:u w:val="single"/>
        </w:rPr>
        <w:t xml:space="preserve">  </w:t>
      </w:r>
    </w:p>
    <w:p>
      <w:pPr>
        <w:spacing w:after="120" w:afterLines="50" w:line="360" w:lineRule="auto"/>
        <w:ind w:firstLine="420" w:firstLineChars="200"/>
        <w:rPr>
          <w:rFonts w:ascii="新宋体" w:hAnsi="新宋体" w:eastAsia="新宋体"/>
          <w:szCs w:val="21"/>
        </w:rPr>
      </w:pPr>
      <w:r>
        <w:rPr>
          <w:rFonts w:hint="eastAsia" w:ascii="新宋体" w:hAnsi="新宋体" w:eastAsia="新宋体"/>
          <w:szCs w:val="21"/>
        </w:rPr>
        <w:t>1、根据已收到贵方的招标编号</w:t>
      </w:r>
      <w:r>
        <w:rPr>
          <w:rFonts w:hint="eastAsia" w:ascii="新宋体" w:hAnsi="新宋体" w:eastAsia="新宋体"/>
          <w:color w:val="FF0000"/>
          <w:szCs w:val="21"/>
        </w:rPr>
        <w:t>为</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的</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项目</w:t>
      </w:r>
      <w:r>
        <w:rPr>
          <w:rFonts w:hint="eastAsia" w:ascii="新宋体" w:hAnsi="新宋体" w:eastAsia="新宋体"/>
          <w:szCs w:val="21"/>
        </w:rPr>
        <w:t>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120" w:afterLines="50"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line="360" w:lineRule="auto"/>
        <w:ind w:firstLine="420" w:firstLineChars="200"/>
        <w:rPr>
          <w:rFonts w:ascii="新宋体" w:hAnsi="新宋体" w:eastAsia="新宋体"/>
          <w:szCs w:val="21"/>
        </w:rPr>
      </w:pPr>
      <w:r>
        <w:rPr>
          <w:rFonts w:hint="eastAsia" w:ascii="新宋体" w:hAnsi="新宋体" w:eastAsia="新宋体"/>
          <w:szCs w:val="21"/>
        </w:rPr>
        <w:t>3、如果我方中标，我方将按照规定提交上述总价</w:t>
      </w:r>
      <w:r>
        <w:rPr>
          <w:rFonts w:hint="eastAsia" w:ascii="新宋体" w:hAnsi="新宋体" w:eastAsia="新宋体"/>
          <w:szCs w:val="21"/>
          <w:u w:val="single"/>
        </w:rPr>
        <w:t xml:space="preserve">      </w:t>
      </w:r>
      <w:r>
        <w:rPr>
          <w:rFonts w:hint="eastAsia" w:ascii="新宋体" w:hAnsi="新宋体" w:eastAsia="新宋体"/>
          <w:szCs w:val="21"/>
        </w:rPr>
        <w:t>％（或</w:t>
      </w:r>
      <w:r>
        <w:rPr>
          <w:rFonts w:hint="eastAsia" w:ascii="新宋体" w:hAnsi="新宋体" w:eastAsia="新宋体"/>
          <w:szCs w:val="21"/>
          <w:u w:val="single"/>
        </w:rPr>
        <w:t xml:space="preserve">   </w:t>
      </w:r>
      <w:r>
        <w:rPr>
          <w:rFonts w:hint="eastAsia" w:ascii="新宋体" w:hAnsi="新宋体" w:eastAsia="新宋体"/>
          <w:szCs w:val="21"/>
        </w:rPr>
        <w:t>万元）作为履约担保。</w:t>
      </w:r>
    </w:p>
    <w:p>
      <w:pPr>
        <w:spacing w:after="120" w:afterLines="50" w:line="360" w:lineRule="auto"/>
        <w:ind w:firstLine="411" w:firstLineChars="196"/>
        <w:rPr>
          <w:rFonts w:ascii="新宋体" w:hAnsi="新宋体" w:eastAsia="新宋体"/>
          <w:szCs w:val="21"/>
        </w:rPr>
      </w:pPr>
      <w:r>
        <w:rPr>
          <w:rFonts w:hint="eastAsia" w:ascii="新宋体" w:hAnsi="新宋体" w:eastAsia="新宋体"/>
          <w:szCs w:val="21"/>
        </w:rPr>
        <w:t>4、我方同意所递交的投标文件在“对通用条款的补充内容”中的投标有效期内有效，在此期间内我方的投标有可能中标，我方将受此约束。</w:t>
      </w:r>
    </w:p>
    <w:p>
      <w:pPr>
        <w:spacing w:after="120" w:afterLines="50" w:line="360" w:lineRule="auto"/>
        <w:ind w:firstLine="411" w:firstLineChars="196"/>
        <w:rPr>
          <w:rFonts w:ascii="新宋体" w:hAnsi="新宋体" w:eastAsia="新宋体"/>
          <w:szCs w:val="21"/>
        </w:rPr>
      </w:pPr>
      <w:r>
        <w:rPr>
          <w:rFonts w:hint="eastAsia" w:ascii="新宋体" w:hAnsi="新宋体" w:eastAsia="新宋体"/>
          <w:szCs w:val="21"/>
        </w:rPr>
        <w:t>5、除非另外达成协议并生效，贵方的中标通知书和本投标文件将构成约束我们双方的合同。</w:t>
      </w:r>
    </w:p>
    <w:p>
      <w:pPr>
        <w:spacing w:after="120" w:afterLines="50" w:line="360" w:lineRule="auto"/>
        <w:ind w:firstLine="411" w:firstLineChars="196"/>
        <w:rPr>
          <w:rFonts w:ascii="新宋体" w:hAnsi="新宋体" w:eastAsia="新宋体"/>
          <w:szCs w:val="21"/>
        </w:rPr>
      </w:pPr>
      <w:r>
        <w:rPr>
          <w:rFonts w:hint="eastAsia" w:ascii="新宋体" w:hAnsi="新宋体" w:eastAsia="新宋体"/>
          <w:szCs w:val="21"/>
        </w:rPr>
        <w:t>6、我方理解贵方将不受必须接受你们所收到的最低标价或其它任何投标文件的约束。</w:t>
      </w:r>
    </w:p>
    <w:p>
      <w:pPr>
        <w:spacing w:line="360" w:lineRule="auto"/>
        <w:ind w:left="540" w:leftChars="257"/>
        <w:rPr>
          <w:rFonts w:ascii="新宋体" w:hAnsi="新宋体" w:eastAsia="新宋体"/>
          <w:szCs w:val="21"/>
          <w:u w:val="single"/>
        </w:rPr>
      </w:pPr>
      <w:r>
        <w:rPr>
          <w:rFonts w:hint="eastAsia" w:ascii="新宋体" w:hAnsi="新宋体" w:eastAsia="新宋体"/>
          <w:color w:val="FF0000"/>
          <w:szCs w:val="21"/>
        </w:rPr>
        <w:t>投标人：</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 xml:space="preserve"> </w:t>
      </w:r>
      <w:r>
        <w:rPr>
          <w:rFonts w:hint="eastAsia" w:ascii="新宋体" w:hAnsi="新宋体" w:eastAsia="新宋体"/>
          <w:szCs w:val="21"/>
        </w:rPr>
        <w:t xml:space="preserve">   单位地址：</w:t>
      </w:r>
      <w:r>
        <w:rPr>
          <w:rFonts w:hint="eastAsia" w:ascii="新宋体" w:hAnsi="新宋体" w:eastAsia="新宋体"/>
          <w:szCs w:val="21"/>
          <w:u w:val="single"/>
        </w:rPr>
        <w:t xml:space="preserve">               </w:t>
      </w:r>
    </w:p>
    <w:p>
      <w:pPr>
        <w:spacing w:line="360" w:lineRule="auto"/>
        <w:ind w:left="540" w:leftChars="257"/>
        <w:rPr>
          <w:rFonts w:ascii="新宋体" w:hAnsi="新宋体" w:eastAsia="新宋体"/>
          <w:szCs w:val="21"/>
          <w:u w:val="single"/>
        </w:rPr>
      </w:pPr>
      <w:r>
        <w:rPr>
          <w:rFonts w:hint="eastAsia" w:ascii="新宋体" w:hAnsi="新宋体" w:eastAsia="新宋体"/>
          <w:color w:val="FF0000"/>
          <w:szCs w:val="21"/>
        </w:rPr>
        <w:t>法定代表人或其委托代理人：</w:t>
      </w:r>
      <w:r>
        <w:rPr>
          <w:rFonts w:hint="eastAsia" w:ascii="新宋体" w:hAnsi="新宋体" w:eastAsia="新宋体"/>
          <w:color w:val="FF0000"/>
          <w:szCs w:val="21"/>
          <w:u w:val="single"/>
        </w:rPr>
        <w:t xml:space="preserve">                   </w:t>
      </w:r>
    </w:p>
    <w:p>
      <w:pPr>
        <w:spacing w:line="360" w:lineRule="auto"/>
        <w:ind w:left="540" w:leftChars="257"/>
        <w:rPr>
          <w:rFonts w:ascii="新宋体" w:hAnsi="新宋体" w:eastAsia="新宋体"/>
          <w:szCs w:val="21"/>
          <w:u w:val="single"/>
        </w:rPr>
      </w:pPr>
      <w:r>
        <w:rPr>
          <w:rFonts w:hint="eastAsia" w:ascii="新宋体" w:hAnsi="新宋体" w:eastAsia="新宋体"/>
          <w:szCs w:val="21"/>
        </w:rPr>
        <w:t>邮政编码：</w:t>
      </w:r>
      <w:r>
        <w:rPr>
          <w:rFonts w:hint="eastAsia" w:ascii="新宋体" w:hAnsi="新宋体" w:eastAsia="新宋体"/>
          <w:szCs w:val="21"/>
          <w:u w:val="single"/>
        </w:rPr>
        <w:t xml:space="preserve">          </w:t>
      </w:r>
      <w:r>
        <w:rPr>
          <w:rFonts w:hint="eastAsia" w:ascii="新宋体" w:hAnsi="新宋体" w:eastAsia="新宋体"/>
          <w:szCs w:val="21"/>
        </w:rPr>
        <w:t xml:space="preserve">  电话：</w:t>
      </w:r>
      <w:r>
        <w:rPr>
          <w:rFonts w:hint="eastAsia" w:ascii="新宋体" w:hAnsi="新宋体" w:eastAsia="新宋体"/>
          <w:szCs w:val="21"/>
          <w:u w:val="single"/>
        </w:rPr>
        <w:t xml:space="preserve">          </w:t>
      </w:r>
      <w:r>
        <w:rPr>
          <w:rFonts w:hint="eastAsia" w:ascii="新宋体" w:hAnsi="新宋体" w:eastAsia="新宋体"/>
          <w:szCs w:val="21"/>
        </w:rPr>
        <w:t xml:space="preserve">  传真：</w:t>
      </w:r>
      <w:r>
        <w:rPr>
          <w:rFonts w:hint="eastAsia" w:ascii="新宋体" w:hAnsi="新宋体" w:eastAsia="新宋体"/>
          <w:szCs w:val="21"/>
          <w:u w:val="single"/>
        </w:rPr>
        <w:t xml:space="preserve">            </w:t>
      </w:r>
    </w:p>
    <w:p>
      <w:pPr>
        <w:spacing w:line="360" w:lineRule="auto"/>
        <w:ind w:left="540" w:leftChars="257"/>
        <w:rPr>
          <w:rFonts w:ascii="新宋体" w:hAnsi="新宋体" w:eastAsia="新宋体"/>
          <w:szCs w:val="21"/>
        </w:rPr>
      </w:pPr>
      <w:r>
        <w:rPr>
          <w:rFonts w:hint="eastAsia" w:ascii="新宋体" w:hAnsi="新宋体" w:eastAsia="新宋体"/>
          <w:szCs w:val="21"/>
        </w:rPr>
        <w:t>开户银行名称：</w:t>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rPr>
        <w:tab/>
      </w:r>
      <w:r>
        <w:rPr>
          <w:rFonts w:hint="eastAsia" w:ascii="新宋体" w:hAnsi="新宋体" w:eastAsia="新宋体"/>
          <w:szCs w:val="21"/>
        </w:rPr>
        <w:t>开户银行帐号：</w:t>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p>
    <w:p>
      <w:pPr>
        <w:spacing w:line="360" w:lineRule="auto"/>
        <w:ind w:left="540" w:leftChars="257"/>
        <w:rPr>
          <w:rFonts w:ascii="新宋体" w:hAnsi="新宋体" w:eastAsia="新宋体"/>
          <w:szCs w:val="21"/>
        </w:rPr>
      </w:pPr>
      <w:r>
        <w:rPr>
          <w:rFonts w:hint="eastAsia" w:ascii="新宋体" w:hAnsi="新宋体" w:eastAsia="新宋体"/>
          <w:szCs w:val="21"/>
        </w:rPr>
        <w:t>开户银行地址：</w:t>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rPr>
        <w:tab/>
      </w:r>
      <w:r>
        <w:rPr>
          <w:rFonts w:hint="eastAsia" w:ascii="新宋体" w:hAnsi="新宋体" w:eastAsia="新宋体"/>
          <w:szCs w:val="21"/>
        </w:rPr>
        <w:t>开户银行电话：</w:t>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p>
    <w:p>
      <w:pPr>
        <w:spacing w:line="360" w:lineRule="auto"/>
        <w:ind w:firstLine="539" w:firstLineChars="257"/>
        <w:rPr>
          <w:sz w:val="24"/>
        </w:rPr>
      </w:pPr>
      <w:r>
        <w:rPr>
          <w:rFonts w:hint="eastAsia" w:ascii="新宋体" w:hAnsi="新宋体" w:eastAsia="新宋体"/>
          <w:color w:val="FF0000"/>
          <w:szCs w:val="21"/>
        </w:rPr>
        <w:t>日期：</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年</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月</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 xml:space="preserve">日 </w:t>
      </w:r>
      <w:r>
        <w:rPr>
          <w:rFonts w:hint="eastAsia" w:ascii="新宋体" w:hAnsi="新宋体" w:eastAsia="新宋体"/>
          <w:szCs w:val="21"/>
        </w:rPr>
        <w:t xml:space="preserve">                              </w:t>
      </w:r>
      <w:r>
        <w:rPr>
          <w:rFonts w:hint="eastAsia"/>
          <w:sz w:val="24"/>
        </w:rPr>
        <w:t xml:space="preserve"> </w:t>
      </w: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pStyle w:val="4"/>
        <w:jc w:val="center"/>
        <w:rPr>
          <w:rFonts w:ascii="黑体" w:eastAsia="黑体"/>
          <w:b w:val="0"/>
          <w:sz w:val="24"/>
        </w:rPr>
      </w:pPr>
      <w:r>
        <w:rPr>
          <w:rFonts w:hint="eastAsia" w:ascii="黑体" w:eastAsia="黑体"/>
          <w:b w:val="0"/>
          <w:sz w:val="24"/>
        </w:rPr>
        <w:t>二、</w:t>
      </w:r>
      <w:r>
        <w:rPr>
          <w:rFonts w:hint="eastAsia"/>
          <w:szCs w:val="21"/>
        </w:rPr>
        <w:t>政府采购投标及履约承诺函</w:t>
      </w:r>
    </w:p>
    <w:p>
      <w:pPr>
        <w:spacing w:line="360" w:lineRule="auto"/>
        <w:rPr>
          <w:rFonts w:ascii="新宋体" w:hAnsi="新宋体" w:eastAsia="新宋体"/>
          <w:color w:val="FF0000"/>
          <w:szCs w:val="21"/>
        </w:rPr>
      </w:pPr>
      <w:r>
        <w:rPr>
          <w:rFonts w:hint="eastAsia" w:ascii="新宋体" w:hAnsi="新宋体" w:eastAsia="新宋体"/>
          <w:color w:val="FF0000"/>
          <w:szCs w:val="21"/>
        </w:rPr>
        <w:t>致：</w:t>
      </w:r>
      <w:r>
        <w:rPr>
          <w:rFonts w:hint="eastAsia" w:ascii="新宋体" w:hAnsi="新宋体" w:eastAsia="新宋体" w:cs="宋体"/>
          <w:kern w:val="0"/>
          <w:szCs w:val="18"/>
        </w:rPr>
        <w:t>深圳市瑞凝信招标咨询有限公司</w:t>
      </w:r>
    </w:p>
    <w:p>
      <w:pPr>
        <w:spacing w:line="360" w:lineRule="auto"/>
        <w:ind w:right="-815" w:firstLine="420" w:firstLineChars="200"/>
        <w:rPr>
          <w:rFonts w:ascii="新宋体" w:hAnsi="新宋体" w:eastAsia="新宋体"/>
          <w:szCs w:val="21"/>
        </w:rPr>
      </w:pPr>
      <w:r>
        <w:rPr>
          <w:rFonts w:hint="eastAsia" w:ascii="新宋体" w:hAnsi="新宋体" w:eastAsia="新宋体"/>
          <w:szCs w:val="21"/>
        </w:rPr>
        <w:t>我公司承诺：</w:t>
      </w:r>
    </w:p>
    <w:p>
      <w:pPr>
        <w:spacing w:line="360" w:lineRule="auto"/>
        <w:ind w:firstLine="420" w:firstLineChars="200"/>
        <w:rPr>
          <w:rFonts w:ascii="新宋体" w:hAnsi="新宋体" w:eastAsia="新宋体"/>
          <w:szCs w:val="21"/>
        </w:rPr>
      </w:pPr>
      <w:r>
        <w:rPr>
          <w:rFonts w:hint="eastAsia" w:ascii="新宋体" w:hAnsi="新宋体" w:eastAsia="新宋体"/>
          <w:szCs w:val="21"/>
        </w:rPr>
        <w:t>1.我公司本招标项目所提供的货物或服务未侵犯知识产权。</w:t>
      </w:r>
    </w:p>
    <w:p>
      <w:pPr>
        <w:spacing w:line="360" w:lineRule="auto"/>
        <w:ind w:firstLine="420" w:firstLineChars="200"/>
        <w:rPr>
          <w:rFonts w:ascii="新宋体" w:hAnsi="新宋体" w:eastAsia="新宋体"/>
          <w:szCs w:val="21"/>
        </w:rPr>
      </w:pPr>
      <w:r>
        <w:rPr>
          <w:rFonts w:hint="eastAsia" w:ascii="新宋体" w:hAnsi="新宋体" w:eastAsia="新宋体"/>
          <w:szCs w:val="21"/>
        </w:rPr>
        <w:t>2.我公司参与本项目投标前三年内，在经营活动中没有重大违法记录。</w:t>
      </w:r>
    </w:p>
    <w:p>
      <w:pPr>
        <w:spacing w:line="360" w:lineRule="auto"/>
        <w:ind w:firstLine="420" w:firstLineChars="200"/>
        <w:rPr>
          <w:rFonts w:ascii="新宋体" w:hAnsi="新宋体" w:eastAsia="新宋体"/>
          <w:szCs w:val="21"/>
        </w:rPr>
      </w:pPr>
      <w:r>
        <w:rPr>
          <w:rFonts w:hint="eastAsia" w:ascii="新宋体" w:hAnsi="新宋体" w:eastAsia="新宋体"/>
          <w:szCs w:val="21"/>
        </w:rPr>
        <w:t>3.我公司参与本项目</w:t>
      </w:r>
      <w:r>
        <w:rPr>
          <w:rFonts w:hint="eastAsia" w:ascii="新宋体" w:hAnsi="新宋体" w:eastAsia="新宋体"/>
        </w:rPr>
        <w:t>政府采购活动时不存在被有关部门禁止参与政府采购活动且在有效期内的情况。</w:t>
      </w:r>
    </w:p>
    <w:p>
      <w:pPr>
        <w:spacing w:line="360" w:lineRule="auto"/>
        <w:ind w:firstLine="420" w:firstLineChars="200"/>
        <w:rPr>
          <w:rFonts w:ascii="新宋体" w:hAnsi="新宋体" w:eastAsia="新宋体"/>
          <w:szCs w:val="21"/>
        </w:rPr>
      </w:pPr>
      <w:r>
        <w:rPr>
          <w:rFonts w:hint="eastAsia" w:ascii="新宋体" w:hAnsi="新宋体" w:eastAsia="新宋体"/>
          <w:szCs w:val="21"/>
        </w:rPr>
        <w:t>4.我公司具备《中华人民共和国政府采购法》第二十二条第一款规定的六项条件。</w:t>
      </w:r>
    </w:p>
    <w:p>
      <w:pPr>
        <w:spacing w:line="360" w:lineRule="auto"/>
        <w:ind w:firstLine="420" w:firstLineChars="200"/>
        <w:rPr>
          <w:rFonts w:ascii="新宋体" w:hAnsi="新宋体" w:eastAsia="新宋体"/>
          <w:szCs w:val="21"/>
        </w:rPr>
      </w:pPr>
      <w:r>
        <w:rPr>
          <w:rFonts w:hint="eastAsia" w:ascii="新宋体" w:hAnsi="新宋体" w:eastAsia="新宋体"/>
          <w:szCs w:val="21"/>
        </w:rPr>
        <w:t>5.我公司</w:t>
      </w:r>
      <w:r>
        <w:rPr>
          <w:rFonts w:hint="eastAsia" w:ascii="新宋体" w:hAnsi="新宋体" w:eastAsia="新宋体"/>
        </w:rPr>
        <w:t>未被列入失信被执行人、重大税收违法案件当事人名单、政府采购严重违法失信行为记录名单</w:t>
      </w:r>
    </w:p>
    <w:p>
      <w:pPr>
        <w:spacing w:line="360" w:lineRule="auto"/>
        <w:ind w:firstLine="420" w:firstLineChars="200"/>
        <w:rPr>
          <w:rFonts w:ascii="新宋体" w:hAnsi="新宋体" w:eastAsia="新宋体"/>
          <w:szCs w:val="21"/>
        </w:rPr>
      </w:pPr>
      <w:r>
        <w:rPr>
          <w:rFonts w:hint="eastAsia" w:ascii="新宋体" w:hAnsi="新宋体" w:eastAsia="新宋体"/>
          <w:szCs w:val="21"/>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360" w:lineRule="auto"/>
        <w:ind w:firstLine="420" w:firstLineChars="200"/>
        <w:rPr>
          <w:rFonts w:ascii="新宋体" w:hAnsi="新宋体" w:eastAsia="新宋体"/>
          <w:szCs w:val="21"/>
        </w:rPr>
      </w:pPr>
      <w:r>
        <w:rPr>
          <w:rFonts w:hint="eastAsia" w:ascii="新宋体" w:hAnsi="新宋体" w:eastAsia="新宋体"/>
          <w:szCs w:val="21"/>
        </w:rPr>
        <w:t>7.我公司如果中标，做到守信，不偷工减料，依照本项目招标文件需求内容、签署的采购合同及本公司在投标中所作的一切承诺履约。项目验收达到全部指标合格，力争优良。</w:t>
      </w:r>
    </w:p>
    <w:p>
      <w:pPr>
        <w:spacing w:line="360" w:lineRule="auto"/>
        <w:ind w:firstLine="420" w:firstLineChars="200"/>
        <w:rPr>
          <w:rFonts w:ascii="新宋体" w:hAnsi="新宋体" w:eastAsia="新宋体"/>
          <w:szCs w:val="21"/>
        </w:rPr>
      </w:pPr>
      <w:r>
        <w:rPr>
          <w:rFonts w:hint="eastAsia" w:ascii="新宋体" w:hAnsi="新宋体" w:eastAsia="新宋体"/>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ind w:firstLine="420" w:firstLineChars="200"/>
        <w:rPr>
          <w:rFonts w:ascii="新宋体" w:hAnsi="新宋体" w:eastAsia="新宋体"/>
          <w:szCs w:val="21"/>
        </w:rPr>
      </w:pPr>
      <w:r>
        <w:rPr>
          <w:rFonts w:hint="eastAsia" w:ascii="新宋体" w:hAnsi="新宋体" w:eastAsia="新宋体"/>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ind w:firstLine="420" w:firstLineChars="200"/>
        <w:rPr>
          <w:rFonts w:ascii="新宋体" w:hAnsi="新宋体" w:eastAsia="新宋体"/>
          <w:szCs w:val="21"/>
        </w:rPr>
      </w:pPr>
      <w:r>
        <w:rPr>
          <w:rFonts w:hint="eastAsia" w:ascii="新宋体" w:hAnsi="新宋体" w:eastAsia="新宋体"/>
          <w:szCs w:val="21"/>
        </w:rPr>
        <w:t>10.我公司承诺不非法转包、分包。</w:t>
      </w:r>
    </w:p>
    <w:p>
      <w:pPr>
        <w:spacing w:line="360" w:lineRule="auto"/>
        <w:ind w:firstLine="420" w:firstLineChars="200"/>
        <w:rPr>
          <w:rFonts w:ascii="新宋体" w:hAnsi="新宋体" w:eastAsia="新宋体"/>
          <w:szCs w:val="21"/>
        </w:rPr>
      </w:pPr>
      <w:r>
        <w:rPr>
          <w:rFonts w:hint="eastAsia" w:ascii="新宋体" w:hAnsi="新宋体" w:eastAsia="新宋体"/>
          <w:szCs w:val="21"/>
        </w:rPr>
        <w:t>以上承诺，如有违反，愿依照国家相关法律处理，并承担由此给采购人带来的损失。</w:t>
      </w:r>
    </w:p>
    <w:p>
      <w:pPr>
        <w:spacing w:before="60" w:beforeLines="25" w:after="60" w:afterLines="25" w:line="360" w:lineRule="auto"/>
        <w:ind w:firstLine="5460" w:firstLineChars="2600"/>
        <w:rPr>
          <w:rFonts w:ascii="新宋体" w:hAnsi="新宋体" w:eastAsia="新宋体"/>
          <w:szCs w:val="21"/>
        </w:rPr>
      </w:pPr>
      <w:r>
        <w:rPr>
          <w:rFonts w:hint="eastAsia" w:ascii="新宋体" w:hAnsi="新宋体" w:eastAsia="新宋体"/>
          <w:szCs w:val="21"/>
        </w:rPr>
        <w:t xml:space="preserve">                                    </w:t>
      </w:r>
    </w:p>
    <w:p>
      <w:pPr>
        <w:spacing w:before="60" w:beforeLines="25" w:after="60" w:afterLines="25" w:line="360" w:lineRule="auto"/>
        <w:ind w:firstLine="5460" w:firstLineChars="2600"/>
        <w:rPr>
          <w:rFonts w:ascii="新宋体" w:hAnsi="新宋体" w:eastAsia="新宋体"/>
          <w:color w:val="FF0000"/>
        </w:rPr>
      </w:pPr>
      <w:r>
        <w:rPr>
          <w:rFonts w:hint="eastAsia" w:ascii="新宋体" w:hAnsi="新宋体" w:eastAsia="新宋体"/>
          <w:color w:val="FF0000"/>
          <w:szCs w:val="21"/>
        </w:rPr>
        <w:t>投标人：</w:t>
      </w:r>
      <w:r>
        <w:rPr>
          <w:rFonts w:hint="eastAsia" w:ascii="新宋体" w:hAnsi="新宋体" w:eastAsia="新宋体"/>
          <w:color w:val="FF0000"/>
          <w:szCs w:val="21"/>
          <w:u w:val="single"/>
        </w:rPr>
        <w:t xml:space="preserve">              </w:t>
      </w:r>
    </w:p>
    <w:p>
      <w:pPr>
        <w:spacing w:line="360" w:lineRule="auto"/>
        <w:ind w:firstLine="645"/>
        <w:rPr>
          <w:rFonts w:ascii="新宋体" w:hAnsi="新宋体" w:eastAsia="新宋体"/>
          <w:color w:val="FF0000"/>
          <w:szCs w:val="21"/>
        </w:rPr>
      </w:pPr>
      <w:r>
        <w:rPr>
          <w:rFonts w:hint="eastAsia" w:ascii="新宋体" w:hAnsi="新宋体" w:eastAsia="新宋体"/>
          <w:color w:val="FF0000"/>
          <w:szCs w:val="21"/>
        </w:rPr>
        <w:t xml:space="preserve">                                              日期：</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年</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月</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日</w:t>
      </w:r>
    </w:p>
    <w:p>
      <w:pPr>
        <w:ind w:firstLine="645"/>
        <w:rPr>
          <w:rFonts w:ascii="宋体" w:hAnsi="宋体"/>
          <w:szCs w:val="21"/>
        </w:rPr>
      </w:pPr>
    </w:p>
    <w:p>
      <w:pPr>
        <w:ind w:firstLine="645"/>
        <w:rPr>
          <w:rFonts w:ascii="宋体" w:hAnsi="宋体"/>
          <w:szCs w:val="21"/>
        </w:rPr>
      </w:pPr>
    </w:p>
    <w:p>
      <w:pPr>
        <w:ind w:firstLine="645"/>
        <w:rPr>
          <w:rFonts w:ascii="宋体" w:hAnsi="宋体"/>
          <w:szCs w:val="21"/>
        </w:rPr>
      </w:pPr>
    </w:p>
    <w:p>
      <w:pPr>
        <w:ind w:firstLine="645"/>
        <w:rPr>
          <w:rFonts w:ascii="宋体"/>
          <w:b/>
          <w:szCs w:val="21"/>
        </w:rPr>
      </w:pPr>
    </w:p>
    <w:p>
      <w:pPr>
        <w:pStyle w:val="4"/>
        <w:jc w:val="center"/>
        <w:rPr>
          <w:rFonts w:ascii="黑体" w:eastAsia="黑体"/>
          <w:b w:val="0"/>
          <w:sz w:val="24"/>
          <w:szCs w:val="24"/>
        </w:rPr>
      </w:pPr>
      <w:r>
        <w:rPr>
          <w:rFonts w:hint="eastAsia" w:ascii="黑体" w:eastAsia="黑体"/>
          <w:b w:val="0"/>
          <w:sz w:val="24"/>
          <w:szCs w:val="24"/>
        </w:rPr>
        <w:t>三、分项报价清单</w:t>
      </w:r>
    </w:p>
    <w:p>
      <w:pPr>
        <w:numPr>
          <w:ilvl w:val="0"/>
          <w:numId w:val="9"/>
        </w:numPr>
        <w:jc w:val="center"/>
        <w:rPr>
          <w:b/>
          <w:sz w:val="24"/>
        </w:rPr>
      </w:pPr>
      <w:r>
        <w:rPr>
          <w:rFonts w:hint="eastAsia"/>
          <w:b/>
          <w:sz w:val="24"/>
        </w:rPr>
        <w:t>项目报价表</w:t>
      </w:r>
    </w:p>
    <w:p/>
    <w:tbl>
      <w:tblPr>
        <w:tblStyle w:val="43"/>
        <w:tblW w:w="10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52"/>
        <w:gridCol w:w="1080"/>
        <w:gridCol w:w="1440"/>
        <w:gridCol w:w="900"/>
        <w:gridCol w:w="876"/>
        <w:gridCol w:w="564"/>
        <w:gridCol w:w="90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jc w:val="center"/>
              <w:rPr>
                <w:rFonts w:ascii="新宋体" w:hAnsi="新宋体" w:eastAsia="新宋体"/>
                <w:szCs w:val="21"/>
              </w:rPr>
            </w:pPr>
            <w:r>
              <w:rPr>
                <w:rFonts w:hint="eastAsia" w:ascii="新宋体" w:hAnsi="新宋体" w:eastAsia="新宋体"/>
                <w:szCs w:val="21"/>
              </w:rPr>
              <w:t>序号</w:t>
            </w:r>
          </w:p>
        </w:tc>
        <w:tc>
          <w:tcPr>
            <w:tcW w:w="1852" w:type="dxa"/>
            <w:vAlign w:val="center"/>
          </w:tcPr>
          <w:p>
            <w:pPr>
              <w:jc w:val="center"/>
              <w:rPr>
                <w:rFonts w:ascii="新宋体" w:hAnsi="新宋体" w:eastAsia="新宋体"/>
                <w:szCs w:val="21"/>
              </w:rPr>
            </w:pPr>
            <w:r>
              <w:rPr>
                <w:rFonts w:hint="eastAsia" w:ascii="新宋体" w:hAnsi="新宋体" w:eastAsia="新宋体"/>
                <w:szCs w:val="21"/>
              </w:rPr>
              <w:t>采购计划编号</w:t>
            </w:r>
          </w:p>
        </w:tc>
        <w:tc>
          <w:tcPr>
            <w:tcW w:w="1080" w:type="dxa"/>
            <w:vAlign w:val="center"/>
          </w:tcPr>
          <w:p>
            <w:pPr>
              <w:jc w:val="center"/>
              <w:rPr>
                <w:rFonts w:ascii="新宋体" w:hAnsi="新宋体" w:eastAsia="新宋体"/>
                <w:szCs w:val="21"/>
              </w:rPr>
            </w:pPr>
            <w:r>
              <w:rPr>
                <w:rFonts w:hint="eastAsia" w:ascii="新宋体" w:hAnsi="新宋体" w:eastAsia="新宋体"/>
                <w:szCs w:val="21"/>
              </w:rPr>
              <w:t>货物名称</w:t>
            </w:r>
          </w:p>
        </w:tc>
        <w:tc>
          <w:tcPr>
            <w:tcW w:w="1440" w:type="dxa"/>
            <w:vAlign w:val="center"/>
          </w:tcPr>
          <w:p>
            <w:pPr>
              <w:jc w:val="center"/>
              <w:rPr>
                <w:rFonts w:ascii="新宋体" w:hAnsi="新宋体" w:eastAsia="新宋体"/>
                <w:szCs w:val="21"/>
              </w:rPr>
            </w:pPr>
            <w:r>
              <w:rPr>
                <w:rFonts w:hint="eastAsia" w:ascii="新宋体" w:hAnsi="新宋体" w:eastAsia="新宋体"/>
                <w:szCs w:val="21"/>
              </w:rPr>
              <w:t>规格/型号</w:t>
            </w:r>
          </w:p>
        </w:tc>
        <w:tc>
          <w:tcPr>
            <w:tcW w:w="900" w:type="dxa"/>
            <w:vAlign w:val="center"/>
          </w:tcPr>
          <w:p>
            <w:pPr>
              <w:jc w:val="center"/>
              <w:rPr>
                <w:rFonts w:ascii="新宋体" w:hAnsi="新宋体" w:eastAsia="新宋体"/>
                <w:b/>
                <w:color w:val="FF0000"/>
                <w:szCs w:val="21"/>
              </w:rPr>
            </w:pPr>
            <w:r>
              <w:rPr>
                <w:rFonts w:hint="eastAsia" w:ascii="新宋体" w:hAnsi="新宋体" w:eastAsia="新宋体"/>
                <w:b/>
                <w:color w:val="FF0000"/>
                <w:szCs w:val="21"/>
              </w:rPr>
              <w:t>原产地</w:t>
            </w:r>
          </w:p>
        </w:tc>
        <w:tc>
          <w:tcPr>
            <w:tcW w:w="876" w:type="dxa"/>
            <w:vAlign w:val="center"/>
          </w:tcPr>
          <w:p>
            <w:pPr>
              <w:jc w:val="center"/>
              <w:rPr>
                <w:rFonts w:ascii="新宋体" w:hAnsi="新宋体" w:eastAsia="新宋体"/>
                <w:szCs w:val="21"/>
              </w:rPr>
            </w:pPr>
            <w:r>
              <w:rPr>
                <w:rFonts w:hint="eastAsia" w:ascii="新宋体" w:hAnsi="新宋体" w:eastAsia="新宋体"/>
                <w:szCs w:val="21"/>
              </w:rPr>
              <w:t>制造商名称</w:t>
            </w:r>
          </w:p>
        </w:tc>
        <w:tc>
          <w:tcPr>
            <w:tcW w:w="564" w:type="dxa"/>
            <w:vAlign w:val="center"/>
          </w:tcPr>
          <w:p>
            <w:pPr>
              <w:jc w:val="center"/>
              <w:rPr>
                <w:rFonts w:ascii="新宋体" w:hAnsi="新宋体" w:eastAsia="新宋体"/>
                <w:szCs w:val="21"/>
              </w:rPr>
            </w:pPr>
            <w:r>
              <w:rPr>
                <w:rFonts w:hint="eastAsia" w:ascii="新宋体" w:hAnsi="新宋体" w:eastAsia="新宋体"/>
                <w:szCs w:val="21"/>
              </w:rPr>
              <w:t>数量</w:t>
            </w:r>
          </w:p>
        </w:tc>
        <w:tc>
          <w:tcPr>
            <w:tcW w:w="900" w:type="dxa"/>
            <w:vAlign w:val="center"/>
          </w:tcPr>
          <w:p>
            <w:pPr>
              <w:jc w:val="center"/>
              <w:rPr>
                <w:rFonts w:ascii="新宋体" w:hAnsi="新宋体" w:eastAsia="新宋体"/>
                <w:szCs w:val="21"/>
              </w:rPr>
            </w:pPr>
            <w:r>
              <w:rPr>
                <w:rFonts w:hint="eastAsia" w:ascii="新宋体" w:hAnsi="新宋体" w:eastAsia="新宋体"/>
                <w:szCs w:val="21"/>
              </w:rPr>
              <w:t>单位</w:t>
            </w:r>
          </w:p>
        </w:tc>
        <w:tc>
          <w:tcPr>
            <w:tcW w:w="900" w:type="dxa"/>
            <w:vAlign w:val="center"/>
          </w:tcPr>
          <w:p>
            <w:pPr>
              <w:jc w:val="center"/>
              <w:rPr>
                <w:rFonts w:ascii="新宋体" w:hAnsi="新宋体" w:eastAsia="新宋体"/>
                <w:szCs w:val="21"/>
              </w:rPr>
            </w:pPr>
            <w:r>
              <w:rPr>
                <w:rFonts w:hint="eastAsia" w:ascii="新宋体" w:hAnsi="新宋体" w:eastAsia="新宋体"/>
                <w:szCs w:val="21"/>
              </w:rPr>
              <w:t>单价(元)</w:t>
            </w:r>
          </w:p>
        </w:tc>
        <w:tc>
          <w:tcPr>
            <w:tcW w:w="900" w:type="dxa"/>
            <w:vAlign w:val="center"/>
          </w:tcPr>
          <w:p>
            <w:pPr>
              <w:jc w:val="center"/>
              <w:rPr>
                <w:rFonts w:ascii="新宋体" w:hAnsi="新宋体" w:eastAsia="新宋体"/>
                <w:szCs w:val="21"/>
              </w:rPr>
            </w:pPr>
            <w:r>
              <w:rPr>
                <w:rFonts w:hint="eastAsia" w:ascii="新宋体" w:hAnsi="新宋体" w:eastAsia="新宋体"/>
                <w:szCs w:val="21"/>
              </w:rPr>
              <w:t>合价(元)</w:t>
            </w:r>
          </w:p>
        </w:tc>
        <w:tc>
          <w:tcPr>
            <w:tcW w:w="956" w:type="dxa"/>
            <w:vAlign w:val="center"/>
          </w:tcPr>
          <w:p>
            <w:pPr>
              <w:jc w:val="center"/>
              <w:rPr>
                <w:rFonts w:ascii="新宋体" w:hAnsi="新宋体" w:eastAsia="新宋体"/>
                <w:szCs w:val="21"/>
              </w:rPr>
            </w:pPr>
            <w:r>
              <w:rPr>
                <w:rFonts w:hint="eastAsia" w:ascii="新宋体" w:hAnsi="新宋体" w:eastAsia="新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新宋体" w:hAnsi="新宋体" w:eastAsia="新宋体"/>
                <w:szCs w:val="21"/>
              </w:rPr>
            </w:pPr>
          </w:p>
        </w:tc>
        <w:tc>
          <w:tcPr>
            <w:tcW w:w="1852" w:type="dxa"/>
          </w:tcPr>
          <w:p>
            <w:pPr>
              <w:rPr>
                <w:rFonts w:ascii="新宋体" w:hAnsi="新宋体" w:eastAsia="新宋体"/>
                <w:szCs w:val="21"/>
              </w:rPr>
            </w:pPr>
          </w:p>
        </w:tc>
        <w:tc>
          <w:tcPr>
            <w:tcW w:w="1080" w:type="dxa"/>
          </w:tcPr>
          <w:p>
            <w:pPr>
              <w:rPr>
                <w:rFonts w:ascii="新宋体" w:hAnsi="新宋体" w:eastAsia="新宋体"/>
                <w:szCs w:val="21"/>
              </w:rPr>
            </w:pPr>
          </w:p>
        </w:tc>
        <w:tc>
          <w:tcPr>
            <w:tcW w:w="1440" w:type="dxa"/>
          </w:tcPr>
          <w:p>
            <w:pPr>
              <w:rPr>
                <w:rFonts w:ascii="新宋体" w:hAnsi="新宋体" w:eastAsia="新宋体"/>
                <w:szCs w:val="21"/>
              </w:rPr>
            </w:pPr>
          </w:p>
        </w:tc>
        <w:tc>
          <w:tcPr>
            <w:tcW w:w="900" w:type="dxa"/>
          </w:tcPr>
          <w:p>
            <w:pPr>
              <w:rPr>
                <w:rFonts w:ascii="新宋体" w:hAnsi="新宋体" w:eastAsia="新宋体"/>
                <w:szCs w:val="21"/>
              </w:rPr>
            </w:pPr>
          </w:p>
        </w:tc>
        <w:tc>
          <w:tcPr>
            <w:tcW w:w="876" w:type="dxa"/>
          </w:tcPr>
          <w:p>
            <w:pPr>
              <w:rPr>
                <w:rFonts w:ascii="新宋体" w:hAnsi="新宋体" w:eastAsia="新宋体"/>
                <w:szCs w:val="21"/>
              </w:rPr>
            </w:pPr>
          </w:p>
        </w:tc>
        <w:tc>
          <w:tcPr>
            <w:tcW w:w="564"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56"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新宋体" w:hAnsi="新宋体" w:eastAsia="新宋体"/>
                <w:szCs w:val="21"/>
              </w:rPr>
            </w:pPr>
          </w:p>
        </w:tc>
        <w:tc>
          <w:tcPr>
            <w:tcW w:w="1852" w:type="dxa"/>
          </w:tcPr>
          <w:p>
            <w:pPr>
              <w:rPr>
                <w:rFonts w:ascii="新宋体" w:hAnsi="新宋体" w:eastAsia="新宋体"/>
                <w:szCs w:val="21"/>
              </w:rPr>
            </w:pPr>
          </w:p>
        </w:tc>
        <w:tc>
          <w:tcPr>
            <w:tcW w:w="1080" w:type="dxa"/>
          </w:tcPr>
          <w:p>
            <w:pPr>
              <w:rPr>
                <w:rFonts w:ascii="新宋体" w:hAnsi="新宋体" w:eastAsia="新宋体"/>
                <w:szCs w:val="21"/>
              </w:rPr>
            </w:pPr>
          </w:p>
        </w:tc>
        <w:tc>
          <w:tcPr>
            <w:tcW w:w="1440" w:type="dxa"/>
          </w:tcPr>
          <w:p>
            <w:pPr>
              <w:rPr>
                <w:rFonts w:ascii="新宋体" w:hAnsi="新宋体" w:eastAsia="新宋体"/>
                <w:szCs w:val="21"/>
              </w:rPr>
            </w:pPr>
          </w:p>
        </w:tc>
        <w:tc>
          <w:tcPr>
            <w:tcW w:w="900" w:type="dxa"/>
          </w:tcPr>
          <w:p>
            <w:pPr>
              <w:rPr>
                <w:rFonts w:ascii="新宋体" w:hAnsi="新宋体" w:eastAsia="新宋体"/>
                <w:szCs w:val="21"/>
              </w:rPr>
            </w:pPr>
          </w:p>
        </w:tc>
        <w:tc>
          <w:tcPr>
            <w:tcW w:w="876" w:type="dxa"/>
          </w:tcPr>
          <w:p>
            <w:pPr>
              <w:rPr>
                <w:rFonts w:ascii="新宋体" w:hAnsi="新宋体" w:eastAsia="新宋体"/>
                <w:szCs w:val="21"/>
              </w:rPr>
            </w:pPr>
          </w:p>
        </w:tc>
        <w:tc>
          <w:tcPr>
            <w:tcW w:w="564"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56"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新宋体" w:hAnsi="新宋体" w:eastAsia="新宋体"/>
                <w:szCs w:val="21"/>
              </w:rPr>
            </w:pPr>
          </w:p>
        </w:tc>
        <w:tc>
          <w:tcPr>
            <w:tcW w:w="1852" w:type="dxa"/>
          </w:tcPr>
          <w:p>
            <w:pPr>
              <w:rPr>
                <w:rFonts w:ascii="新宋体" w:hAnsi="新宋体" w:eastAsia="新宋体"/>
                <w:szCs w:val="21"/>
              </w:rPr>
            </w:pPr>
          </w:p>
        </w:tc>
        <w:tc>
          <w:tcPr>
            <w:tcW w:w="1080" w:type="dxa"/>
          </w:tcPr>
          <w:p>
            <w:pPr>
              <w:rPr>
                <w:rFonts w:ascii="新宋体" w:hAnsi="新宋体" w:eastAsia="新宋体"/>
                <w:szCs w:val="21"/>
              </w:rPr>
            </w:pPr>
          </w:p>
        </w:tc>
        <w:tc>
          <w:tcPr>
            <w:tcW w:w="1440" w:type="dxa"/>
          </w:tcPr>
          <w:p>
            <w:pPr>
              <w:rPr>
                <w:rFonts w:ascii="新宋体" w:hAnsi="新宋体" w:eastAsia="新宋体"/>
                <w:szCs w:val="21"/>
              </w:rPr>
            </w:pPr>
          </w:p>
        </w:tc>
        <w:tc>
          <w:tcPr>
            <w:tcW w:w="900" w:type="dxa"/>
          </w:tcPr>
          <w:p>
            <w:pPr>
              <w:rPr>
                <w:rFonts w:ascii="新宋体" w:hAnsi="新宋体" w:eastAsia="新宋体"/>
                <w:szCs w:val="21"/>
              </w:rPr>
            </w:pPr>
          </w:p>
        </w:tc>
        <w:tc>
          <w:tcPr>
            <w:tcW w:w="876" w:type="dxa"/>
          </w:tcPr>
          <w:p>
            <w:pPr>
              <w:rPr>
                <w:rFonts w:ascii="新宋体" w:hAnsi="新宋体" w:eastAsia="新宋体"/>
                <w:szCs w:val="21"/>
              </w:rPr>
            </w:pPr>
          </w:p>
        </w:tc>
        <w:tc>
          <w:tcPr>
            <w:tcW w:w="564"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56"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新宋体" w:hAnsi="新宋体" w:eastAsia="新宋体"/>
                <w:szCs w:val="21"/>
              </w:rPr>
            </w:pPr>
          </w:p>
        </w:tc>
        <w:tc>
          <w:tcPr>
            <w:tcW w:w="1852" w:type="dxa"/>
          </w:tcPr>
          <w:p>
            <w:pPr>
              <w:rPr>
                <w:rFonts w:ascii="新宋体" w:hAnsi="新宋体" w:eastAsia="新宋体"/>
                <w:szCs w:val="21"/>
              </w:rPr>
            </w:pPr>
          </w:p>
        </w:tc>
        <w:tc>
          <w:tcPr>
            <w:tcW w:w="1080" w:type="dxa"/>
          </w:tcPr>
          <w:p>
            <w:pPr>
              <w:rPr>
                <w:rFonts w:ascii="新宋体" w:hAnsi="新宋体" w:eastAsia="新宋体"/>
                <w:szCs w:val="21"/>
              </w:rPr>
            </w:pPr>
          </w:p>
        </w:tc>
        <w:tc>
          <w:tcPr>
            <w:tcW w:w="1440" w:type="dxa"/>
          </w:tcPr>
          <w:p>
            <w:pPr>
              <w:rPr>
                <w:rFonts w:ascii="新宋体" w:hAnsi="新宋体" w:eastAsia="新宋体"/>
                <w:szCs w:val="21"/>
              </w:rPr>
            </w:pPr>
          </w:p>
        </w:tc>
        <w:tc>
          <w:tcPr>
            <w:tcW w:w="900" w:type="dxa"/>
          </w:tcPr>
          <w:p>
            <w:pPr>
              <w:rPr>
                <w:rFonts w:ascii="新宋体" w:hAnsi="新宋体" w:eastAsia="新宋体"/>
                <w:szCs w:val="21"/>
              </w:rPr>
            </w:pPr>
          </w:p>
        </w:tc>
        <w:tc>
          <w:tcPr>
            <w:tcW w:w="876" w:type="dxa"/>
          </w:tcPr>
          <w:p>
            <w:pPr>
              <w:rPr>
                <w:rFonts w:ascii="新宋体" w:hAnsi="新宋体" w:eastAsia="新宋体"/>
                <w:szCs w:val="21"/>
              </w:rPr>
            </w:pPr>
          </w:p>
        </w:tc>
        <w:tc>
          <w:tcPr>
            <w:tcW w:w="564"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56"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新宋体" w:hAnsi="新宋体" w:eastAsia="新宋体"/>
                <w:szCs w:val="21"/>
              </w:rPr>
            </w:pPr>
          </w:p>
        </w:tc>
        <w:tc>
          <w:tcPr>
            <w:tcW w:w="1852" w:type="dxa"/>
          </w:tcPr>
          <w:p>
            <w:pPr>
              <w:rPr>
                <w:rFonts w:ascii="新宋体" w:hAnsi="新宋体" w:eastAsia="新宋体"/>
                <w:szCs w:val="21"/>
              </w:rPr>
            </w:pPr>
          </w:p>
        </w:tc>
        <w:tc>
          <w:tcPr>
            <w:tcW w:w="1080" w:type="dxa"/>
          </w:tcPr>
          <w:p>
            <w:pPr>
              <w:rPr>
                <w:rFonts w:ascii="新宋体" w:hAnsi="新宋体" w:eastAsia="新宋体"/>
                <w:szCs w:val="21"/>
              </w:rPr>
            </w:pPr>
          </w:p>
        </w:tc>
        <w:tc>
          <w:tcPr>
            <w:tcW w:w="1440" w:type="dxa"/>
          </w:tcPr>
          <w:p>
            <w:pPr>
              <w:rPr>
                <w:rFonts w:ascii="新宋体" w:hAnsi="新宋体" w:eastAsia="新宋体"/>
                <w:szCs w:val="21"/>
              </w:rPr>
            </w:pPr>
          </w:p>
        </w:tc>
        <w:tc>
          <w:tcPr>
            <w:tcW w:w="900" w:type="dxa"/>
          </w:tcPr>
          <w:p>
            <w:pPr>
              <w:rPr>
                <w:rFonts w:ascii="新宋体" w:hAnsi="新宋体" w:eastAsia="新宋体"/>
                <w:szCs w:val="21"/>
              </w:rPr>
            </w:pPr>
          </w:p>
        </w:tc>
        <w:tc>
          <w:tcPr>
            <w:tcW w:w="876" w:type="dxa"/>
          </w:tcPr>
          <w:p>
            <w:pPr>
              <w:rPr>
                <w:rFonts w:ascii="新宋体" w:hAnsi="新宋体" w:eastAsia="新宋体"/>
                <w:szCs w:val="21"/>
              </w:rPr>
            </w:pPr>
          </w:p>
        </w:tc>
        <w:tc>
          <w:tcPr>
            <w:tcW w:w="564"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56"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新宋体" w:hAnsi="新宋体" w:eastAsia="新宋体"/>
                <w:szCs w:val="21"/>
              </w:rPr>
            </w:pPr>
          </w:p>
        </w:tc>
        <w:tc>
          <w:tcPr>
            <w:tcW w:w="1852" w:type="dxa"/>
          </w:tcPr>
          <w:p>
            <w:pPr>
              <w:rPr>
                <w:rFonts w:ascii="新宋体" w:hAnsi="新宋体" w:eastAsia="新宋体"/>
                <w:szCs w:val="21"/>
              </w:rPr>
            </w:pPr>
          </w:p>
        </w:tc>
        <w:tc>
          <w:tcPr>
            <w:tcW w:w="1080" w:type="dxa"/>
          </w:tcPr>
          <w:p>
            <w:pPr>
              <w:rPr>
                <w:rFonts w:ascii="新宋体" w:hAnsi="新宋体" w:eastAsia="新宋体"/>
                <w:szCs w:val="21"/>
              </w:rPr>
            </w:pPr>
          </w:p>
        </w:tc>
        <w:tc>
          <w:tcPr>
            <w:tcW w:w="1440" w:type="dxa"/>
          </w:tcPr>
          <w:p>
            <w:pPr>
              <w:rPr>
                <w:rFonts w:ascii="新宋体" w:hAnsi="新宋体" w:eastAsia="新宋体"/>
                <w:szCs w:val="21"/>
              </w:rPr>
            </w:pPr>
          </w:p>
        </w:tc>
        <w:tc>
          <w:tcPr>
            <w:tcW w:w="900" w:type="dxa"/>
          </w:tcPr>
          <w:p>
            <w:pPr>
              <w:rPr>
                <w:rFonts w:ascii="新宋体" w:hAnsi="新宋体" w:eastAsia="新宋体"/>
                <w:szCs w:val="21"/>
              </w:rPr>
            </w:pPr>
          </w:p>
        </w:tc>
        <w:tc>
          <w:tcPr>
            <w:tcW w:w="876" w:type="dxa"/>
          </w:tcPr>
          <w:p>
            <w:pPr>
              <w:rPr>
                <w:rFonts w:ascii="新宋体" w:hAnsi="新宋体" w:eastAsia="新宋体"/>
                <w:szCs w:val="21"/>
              </w:rPr>
            </w:pPr>
          </w:p>
        </w:tc>
        <w:tc>
          <w:tcPr>
            <w:tcW w:w="564"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00" w:type="dxa"/>
          </w:tcPr>
          <w:p>
            <w:pPr>
              <w:rPr>
                <w:rFonts w:ascii="新宋体" w:hAnsi="新宋体" w:eastAsia="新宋体"/>
                <w:szCs w:val="21"/>
              </w:rPr>
            </w:pPr>
          </w:p>
        </w:tc>
        <w:tc>
          <w:tcPr>
            <w:tcW w:w="956"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8" w:type="dxa"/>
            <w:gridSpan w:val="11"/>
          </w:tcPr>
          <w:p>
            <w:pPr>
              <w:rPr>
                <w:rFonts w:ascii="新宋体" w:hAnsi="新宋体" w:eastAsia="新宋体"/>
                <w:szCs w:val="21"/>
              </w:rPr>
            </w:pPr>
            <w:r>
              <w:rPr>
                <w:rFonts w:hint="eastAsia" w:ascii="新宋体" w:hAnsi="新宋体" w:eastAsia="新宋体"/>
                <w:szCs w:val="21"/>
              </w:rPr>
              <w:t>合计（即：投标总价；币种：人民币；单位：元）：</w:t>
            </w:r>
            <w:r>
              <w:rPr>
                <w:rFonts w:hint="eastAsia" w:ascii="新宋体" w:hAnsi="新宋体" w:eastAsia="新宋体"/>
                <w:color w:val="FF0000"/>
                <w:szCs w:val="21"/>
              </w:rPr>
              <w:t>大写：</w:t>
            </w:r>
          </w:p>
        </w:tc>
      </w:tr>
    </w:tbl>
    <w:p>
      <w:pPr>
        <w:rPr>
          <w:rFonts w:ascii="宋体" w:hAnsi="宋体"/>
          <w:szCs w:val="21"/>
        </w:rPr>
      </w:pPr>
    </w:p>
    <w:p>
      <w:pPr>
        <w:spacing w:line="360" w:lineRule="auto"/>
        <w:rPr>
          <w:rFonts w:ascii="新宋体" w:hAnsi="新宋体" w:eastAsia="新宋体"/>
          <w:b/>
          <w:color w:val="FF0000"/>
          <w:szCs w:val="21"/>
        </w:rPr>
      </w:pPr>
      <w:r>
        <w:rPr>
          <w:rFonts w:hint="eastAsia" w:ascii="新宋体" w:hAnsi="新宋体" w:eastAsia="新宋体"/>
          <w:b/>
          <w:color w:val="FF0000"/>
          <w:szCs w:val="21"/>
        </w:rPr>
        <w:t>注：1. 请根据“第二章 招标项目需求” “二、货物清单”填写；本表格式不得修改。</w:t>
      </w:r>
    </w:p>
    <w:p>
      <w:pPr>
        <w:spacing w:line="360" w:lineRule="auto"/>
        <w:rPr>
          <w:rFonts w:ascii="新宋体" w:hAnsi="新宋体" w:eastAsia="新宋体"/>
          <w:b/>
          <w:color w:val="FF0000"/>
          <w:szCs w:val="21"/>
        </w:rPr>
      </w:pPr>
      <w:r>
        <w:rPr>
          <w:rFonts w:ascii="新宋体" w:hAnsi="新宋体" w:eastAsia="新宋体"/>
          <w:b/>
          <w:color w:val="FF0000"/>
          <w:szCs w:val="21"/>
        </w:rPr>
        <w:t xml:space="preserve">    2</w:t>
      </w:r>
      <w:r>
        <w:rPr>
          <w:rFonts w:hint="eastAsia" w:ascii="新宋体" w:hAnsi="新宋体" w:eastAsia="新宋体"/>
          <w:b/>
          <w:color w:val="FF0000"/>
          <w:szCs w:val="21"/>
        </w:rPr>
        <w:t>. 所有价格应按“招标文件”中规定的货币单位填写；投标总价应为以上各分项价格之和；投标总价和项目报价表中单个采购预算条目报价均不得超过对应的财政预算限额，否则将导致无效投标。</w:t>
      </w:r>
    </w:p>
    <w:p>
      <w:pPr>
        <w:spacing w:line="360" w:lineRule="auto"/>
        <w:ind w:firstLine="422" w:firstLineChars="200"/>
        <w:rPr>
          <w:rFonts w:ascii="新宋体" w:hAnsi="新宋体" w:eastAsia="新宋体"/>
          <w:b/>
          <w:color w:val="FF0000"/>
          <w:szCs w:val="21"/>
        </w:rPr>
      </w:pPr>
      <w:r>
        <w:rPr>
          <w:rFonts w:hint="eastAsia" w:ascii="新宋体" w:hAnsi="新宋体" w:eastAsia="新宋体"/>
          <w:b/>
          <w:color w:val="FF0000"/>
          <w:szCs w:val="21"/>
        </w:rPr>
        <w:t>3.</w:t>
      </w:r>
      <w:r>
        <w:rPr>
          <w:rFonts w:ascii="新宋体" w:hAnsi="新宋体" w:eastAsia="新宋体"/>
          <w:b/>
          <w:color w:val="FF0000"/>
          <w:szCs w:val="21"/>
        </w:rPr>
        <w:t xml:space="preserve"> </w:t>
      </w:r>
      <w:r>
        <w:rPr>
          <w:rFonts w:hint="eastAsia" w:ascii="新宋体" w:hAnsi="新宋体" w:eastAsia="新宋体"/>
          <w:b/>
          <w:color w:val="FF0000"/>
          <w:szCs w:val="21"/>
        </w:rPr>
        <w:t>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2" w:firstLineChars="200"/>
        <w:rPr>
          <w:rFonts w:ascii="新宋体" w:hAnsi="新宋体" w:eastAsia="新宋体"/>
          <w:b/>
          <w:color w:val="FF0000"/>
          <w:szCs w:val="21"/>
        </w:rPr>
      </w:pPr>
      <w:r>
        <w:rPr>
          <w:rFonts w:hint="eastAsia" w:ascii="新宋体" w:hAnsi="新宋体" w:eastAsia="新宋体"/>
          <w:b/>
          <w:color w:val="FF0000"/>
          <w:szCs w:val="21"/>
        </w:rPr>
        <w:t>4.</w:t>
      </w:r>
      <w:r>
        <w:rPr>
          <w:rFonts w:ascii="新宋体" w:hAnsi="新宋体" w:eastAsia="新宋体"/>
          <w:b/>
          <w:color w:val="FF0000"/>
          <w:szCs w:val="21"/>
        </w:rPr>
        <w:t xml:space="preserve"> </w:t>
      </w:r>
      <w:r>
        <w:rPr>
          <w:rFonts w:hint="eastAsia" w:ascii="新宋体" w:hAnsi="新宋体" w:eastAsia="新宋体"/>
          <w:b/>
          <w:color w:val="FF0000"/>
          <w:szCs w:val="21"/>
        </w:rPr>
        <w:t>开标一览表的投标总价应当与项目报价表的投标总价一致。</w:t>
      </w:r>
    </w:p>
    <w:p>
      <w:pPr>
        <w:spacing w:line="360" w:lineRule="auto"/>
        <w:ind w:firstLine="413" w:firstLineChars="196"/>
        <w:rPr>
          <w:rFonts w:ascii="新宋体" w:hAnsi="新宋体" w:eastAsia="新宋体"/>
          <w:b/>
          <w:color w:val="FF0000"/>
          <w:szCs w:val="21"/>
        </w:rPr>
      </w:pPr>
      <w:r>
        <w:rPr>
          <w:rFonts w:hint="eastAsia" w:ascii="新宋体" w:hAnsi="新宋体" w:eastAsia="新宋体"/>
          <w:b/>
          <w:color w:val="FF0000"/>
          <w:szCs w:val="21"/>
        </w:rPr>
        <w:t>5.</w:t>
      </w:r>
      <w:r>
        <w:rPr>
          <w:rFonts w:ascii="新宋体" w:hAnsi="新宋体" w:eastAsia="新宋体"/>
          <w:b/>
          <w:color w:val="FF0000"/>
          <w:szCs w:val="21"/>
        </w:rPr>
        <w:t xml:space="preserve"> </w:t>
      </w:r>
      <w:r>
        <w:rPr>
          <w:rFonts w:hint="eastAsia" w:ascii="新宋体" w:hAnsi="新宋体" w:eastAsia="新宋体"/>
          <w:b/>
          <w:color w:val="FF0000"/>
          <w:szCs w:val="21"/>
        </w:rPr>
        <w:t>“原产地”是指该产品的实际生产加工地，而非品牌总公司所在地。</w:t>
      </w:r>
    </w:p>
    <w:p>
      <w:pPr>
        <w:spacing w:line="360" w:lineRule="auto"/>
        <w:ind w:firstLine="413" w:firstLineChars="196"/>
        <w:rPr>
          <w:rFonts w:ascii="新宋体" w:hAnsi="新宋体" w:eastAsia="新宋体"/>
          <w:b/>
          <w:color w:val="FF0000"/>
          <w:szCs w:val="21"/>
        </w:rPr>
      </w:pPr>
      <w:r>
        <w:rPr>
          <w:rFonts w:hint="eastAsia" w:ascii="新宋体" w:hAnsi="新宋体" w:eastAsia="新宋体"/>
          <w:b/>
          <w:color w:val="FF0000"/>
          <w:szCs w:val="21"/>
        </w:rPr>
        <w:t>6.</w:t>
      </w:r>
      <w:r>
        <w:rPr>
          <w:rFonts w:hint="eastAsia" w:ascii="新宋体" w:hAnsi="新宋体" w:eastAsia="新宋体"/>
          <w:szCs w:val="21"/>
        </w:rPr>
        <w:t xml:space="preserve"> </w:t>
      </w:r>
      <w:r>
        <w:rPr>
          <w:rFonts w:hint="eastAsia" w:ascii="新宋体" w:hAnsi="新宋体" w:eastAsia="新宋体"/>
          <w:b/>
          <w:color w:val="FF0000"/>
          <w:szCs w:val="21"/>
        </w:rPr>
        <w:t>详细填写所投货物的制造商名称；若如所投产品属于定制类的非量产货物或无具体型号的货物，可以不填写型号等信息，但应当标注投标产品为定制产品。</w:t>
      </w:r>
    </w:p>
    <w:p>
      <w:pPr>
        <w:ind w:firstLine="482" w:firstLineChars="200"/>
        <w:rPr>
          <w:rFonts w:ascii="宋体" w:hAnsi="宋体"/>
          <w:b/>
          <w:color w:val="FF0000"/>
          <w:sz w:val="24"/>
        </w:rPr>
      </w:pPr>
    </w:p>
    <w:p>
      <w:pPr>
        <w:ind w:firstLine="482" w:firstLineChars="200"/>
        <w:rPr>
          <w:rFonts w:ascii="宋体" w:hAnsi="宋体"/>
          <w:b/>
          <w:color w:val="FF0000"/>
          <w:sz w:val="24"/>
        </w:rPr>
      </w:pPr>
    </w:p>
    <w:p>
      <w:pPr>
        <w:ind w:firstLine="482" w:firstLineChars="200"/>
        <w:rPr>
          <w:rFonts w:ascii="宋体" w:hAnsi="宋体"/>
          <w:b/>
          <w:color w:val="FF0000"/>
          <w:sz w:val="24"/>
        </w:rPr>
      </w:pPr>
    </w:p>
    <w:p>
      <w:pPr>
        <w:numPr>
          <w:ilvl w:val="0"/>
          <w:numId w:val="9"/>
        </w:numPr>
        <w:ind w:left="482" w:hanging="482"/>
        <w:jc w:val="center"/>
        <w:rPr>
          <w:rFonts w:ascii="新宋体" w:hAnsi="新宋体" w:eastAsia="新宋体"/>
          <w:b/>
          <w:szCs w:val="21"/>
        </w:rPr>
      </w:pPr>
      <w:r>
        <w:rPr>
          <w:rFonts w:hint="eastAsia" w:ascii="新宋体" w:hAnsi="新宋体" w:eastAsia="新宋体"/>
          <w:b/>
          <w:szCs w:val="21"/>
        </w:rPr>
        <w:t>核心产品的品牌情况</w:t>
      </w:r>
    </w:p>
    <w:p>
      <w:pPr>
        <w:ind w:firstLine="422" w:firstLineChars="200"/>
        <w:rPr>
          <w:rFonts w:ascii="新宋体" w:hAnsi="新宋体" w:eastAsia="新宋体"/>
          <w:b/>
          <w:color w:val="FF0000"/>
          <w:szCs w:val="21"/>
        </w:rPr>
      </w:pPr>
    </w:p>
    <w:p>
      <w:pPr>
        <w:ind w:firstLine="422" w:firstLineChars="200"/>
        <w:rPr>
          <w:rFonts w:ascii="新宋体" w:hAnsi="新宋体" w:eastAsia="新宋体"/>
          <w:b/>
          <w:color w:val="FF0000"/>
          <w:szCs w:val="21"/>
        </w:rPr>
      </w:pPr>
      <w:r>
        <w:rPr>
          <w:rFonts w:hint="eastAsia" w:ascii="新宋体" w:hAnsi="新宋体" w:eastAsia="新宋体"/>
          <w:b/>
          <w:color w:val="FF0000"/>
          <w:szCs w:val="21"/>
        </w:rPr>
        <w:t>我公司所投核心产品的品牌为：</w:t>
      </w:r>
      <w:r>
        <w:rPr>
          <w:rFonts w:hint="eastAsia" w:ascii="新宋体" w:hAnsi="新宋体" w:eastAsia="新宋体"/>
          <w:b/>
          <w:color w:val="FF0000"/>
          <w:szCs w:val="21"/>
          <w:u w:val="single"/>
        </w:rPr>
        <w:t xml:space="preserve">               </w:t>
      </w:r>
      <w:r>
        <w:rPr>
          <w:rFonts w:hint="eastAsia" w:ascii="新宋体" w:hAnsi="新宋体" w:eastAsia="新宋体"/>
          <w:b/>
          <w:color w:val="FF0000"/>
          <w:szCs w:val="21"/>
        </w:rPr>
        <w:t>。</w:t>
      </w:r>
    </w:p>
    <w:p>
      <w:pPr>
        <w:ind w:firstLine="422" w:firstLineChars="200"/>
        <w:rPr>
          <w:rFonts w:ascii="新宋体" w:hAnsi="新宋体" w:eastAsia="新宋体"/>
          <w:b/>
          <w:color w:val="FF0000"/>
          <w:szCs w:val="21"/>
        </w:rPr>
      </w:pPr>
    </w:p>
    <w:p>
      <w:pPr>
        <w:ind w:firstLine="420" w:firstLineChars="200"/>
        <w:rPr>
          <w:rFonts w:ascii="新宋体" w:hAnsi="新宋体" w:eastAsia="新宋体"/>
          <w:szCs w:val="21"/>
        </w:rPr>
      </w:pPr>
      <w:r>
        <w:rPr>
          <w:rFonts w:hint="eastAsia" w:ascii="新宋体" w:hAnsi="新宋体" w:eastAsia="新宋体"/>
          <w:szCs w:val="21"/>
        </w:rPr>
        <w:t>备注：招标文件未列明核心产品的，无需填写该项。</w:t>
      </w:r>
    </w:p>
    <w:p>
      <w:pPr>
        <w:ind w:firstLine="422" w:firstLineChars="200"/>
        <w:rPr>
          <w:rFonts w:ascii="新宋体" w:hAnsi="新宋体" w:eastAsia="新宋体"/>
          <w:b/>
          <w:color w:val="FF0000"/>
          <w:szCs w:val="21"/>
        </w:rPr>
      </w:pPr>
    </w:p>
    <w:p>
      <w:pPr>
        <w:ind w:firstLine="422" w:firstLineChars="200"/>
        <w:rPr>
          <w:rFonts w:ascii="新宋体" w:hAnsi="新宋体" w:eastAsia="新宋体"/>
          <w:b/>
          <w:color w:val="FF0000"/>
          <w:szCs w:val="21"/>
        </w:rPr>
      </w:pPr>
    </w:p>
    <w:p>
      <w:pPr>
        <w:rPr>
          <w:rFonts w:ascii="新宋体" w:hAnsi="新宋体" w:eastAsia="新宋体"/>
          <w:b/>
          <w:szCs w:val="21"/>
        </w:rPr>
      </w:pPr>
    </w:p>
    <w:p>
      <w:pPr>
        <w:numPr>
          <w:ilvl w:val="0"/>
          <w:numId w:val="9"/>
        </w:numPr>
        <w:ind w:left="482" w:hanging="482"/>
        <w:jc w:val="center"/>
        <w:rPr>
          <w:rFonts w:ascii="新宋体" w:hAnsi="新宋体" w:eastAsia="新宋体"/>
          <w:b/>
          <w:szCs w:val="21"/>
        </w:rPr>
      </w:pPr>
      <w:r>
        <w:rPr>
          <w:rFonts w:hint="eastAsia" w:ascii="新宋体" w:hAnsi="新宋体" w:eastAsia="新宋体"/>
          <w:b/>
          <w:szCs w:val="21"/>
        </w:rPr>
        <w:t>可选配件报价清单（不包括在总报价内）</w:t>
      </w:r>
    </w:p>
    <w:p>
      <w:pPr>
        <w:ind w:firstLine="422" w:firstLineChars="200"/>
        <w:rPr>
          <w:rFonts w:ascii="新宋体" w:hAnsi="新宋体" w:eastAsia="新宋体"/>
          <w:b/>
          <w:bCs/>
          <w:szCs w:val="21"/>
        </w:rPr>
      </w:pPr>
      <w:r>
        <w:rPr>
          <w:rFonts w:hint="eastAsia" w:ascii="新宋体" w:hAnsi="新宋体" w:eastAsia="新宋体"/>
          <w:b/>
          <w:bCs/>
          <w:szCs w:val="21"/>
        </w:rPr>
        <w:t>注：格式参照《（一）项目报价表》表格，但须提供相应的品牌（没有品牌的，可提供制造商名称）、规格型号、原产地、单价等详细信息</w:t>
      </w:r>
    </w:p>
    <w:p>
      <w:pPr>
        <w:ind w:firstLine="422" w:firstLineChars="200"/>
        <w:rPr>
          <w:rFonts w:ascii="新宋体" w:hAnsi="新宋体" w:eastAsia="新宋体"/>
          <w:b/>
          <w:bCs/>
          <w:szCs w:val="21"/>
        </w:rPr>
      </w:pPr>
    </w:p>
    <w:p>
      <w:pPr>
        <w:ind w:firstLine="422" w:firstLineChars="200"/>
        <w:rPr>
          <w:rFonts w:ascii="新宋体" w:hAnsi="新宋体" w:eastAsia="新宋体"/>
          <w:b/>
          <w:bCs/>
          <w:szCs w:val="21"/>
        </w:rPr>
      </w:pPr>
    </w:p>
    <w:p>
      <w:pPr>
        <w:numPr>
          <w:ilvl w:val="0"/>
          <w:numId w:val="9"/>
        </w:numPr>
        <w:ind w:left="482" w:hanging="482"/>
        <w:jc w:val="center"/>
        <w:rPr>
          <w:rFonts w:ascii="新宋体" w:hAnsi="新宋体" w:eastAsia="新宋体"/>
          <w:b/>
          <w:szCs w:val="21"/>
        </w:rPr>
      </w:pPr>
      <w:r>
        <w:rPr>
          <w:rFonts w:hint="eastAsia" w:ascii="新宋体" w:hAnsi="新宋体" w:eastAsia="新宋体"/>
          <w:b/>
          <w:szCs w:val="21"/>
        </w:rPr>
        <w:t>供应商认为需要涉及的其他内容报价清单</w:t>
      </w:r>
    </w:p>
    <w:p>
      <w:pPr>
        <w:ind w:firstLine="422" w:firstLineChars="200"/>
        <w:jc w:val="center"/>
        <w:rPr>
          <w:rFonts w:ascii="新宋体" w:hAnsi="新宋体" w:eastAsia="新宋体"/>
          <w:b/>
          <w:bCs/>
          <w:szCs w:val="21"/>
        </w:rPr>
      </w:pPr>
    </w:p>
    <w:p>
      <w:pPr>
        <w:pStyle w:val="4"/>
        <w:jc w:val="center"/>
        <w:rPr>
          <w:rFonts w:ascii="新宋体" w:hAnsi="新宋体" w:eastAsia="新宋体"/>
          <w:b w:val="0"/>
          <w:sz w:val="21"/>
          <w:szCs w:val="21"/>
        </w:rPr>
      </w:pPr>
      <w:r>
        <w:rPr>
          <w:rFonts w:hint="eastAsia" w:ascii="新宋体" w:hAnsi="新宋体" w:eastAsia="新宋体"/>
          <w:b w:val="0"/>
          <w:sz w:val="21"/>
          <w:szCs w:val="21"/>
        </w:rPr>
        <w:t>四、投标人情况介绍</w:t>
      </w:r>
    </w:p>
    <w:p>
      <w:pPr>
        <w:rPr>
          <w:b/>
          <w:bCs/>
          <w:sz w:val="24"/>
        </w:rPr>
      </w:pPr>
    </w:p>
    <w:p>
      <w:pPr>
        <w:rPr>
          <w:b/>
          <w:bCs/>
          <w:sz w:val="24"/>
        </w:rPr>
      </w:pPr>
    </w:p>
    <w:p>
      <w:pPr>
        <w:spacing w:line="360" w:lineRule="auto"/>
        <w:rPr>
          <w:rFonts w:ascii="新宋体" w:hAnsi="新宋体" w:eastAsia="新宋体"/>
          <w:b/>
          <w:bCs/>
          <w:szCs w:val="21"/>
        </w:rPr>
      </w:pPr>
    </w:p>
    <w:p>
      <w:pPr>
        <w:spacing w:line="360" w:lineRule="auto"/>
        <w:outlineLvl w:val="3"/>
        <w:rPr>
          <w:rFonts w:ascii="新宋体" w:hAnsi="新宋体" w:eastAsia="新宋体"/>
          <w:b/>
          <w:bCs/>
          <w:szCs w:val="21"/>
        </w:rPr>
      </w:pPr>
      <w:r>
        <w:rPr>
          <w:rFonts w:hint="eastAsia" w:ascii="新宋体" w:hAnsi="新宋体" w:eastAsia="新宋体"/>
          <w:b/>
          <w:bCs/>
          <w:szCs w:val="21"/>
        </w:rPr>
        <w:t>（一）投标人</w:t>
      </w:r>
      <w:r>
        <w:rPr>
          <w:rFonts w:hint="eastAsia" w:ascii="新宋体" w:hAnsi="新宋体" w:eastAsia="新宋体"/>
          <w:b/>
          <w:szCs w:val="21"/>
        </w:rPr>
        <w:t>资格证明文件</w:t>
      </w:r>
    </w:p>
    <w:p>
      <w:pPr>
        <w:spacing w:before="120" w:beforeLines="50" w:line="360" w:lineRule="auto"/>
        <w:rPr>
          <w:rFonts w:ascii="新宋体" w:hAnsi="新宋体" w:eastAsia="新宋体"/>
          <w:b/>
          <w:bCs/>
          <w:color w:val="FF0000"/>
          <w:szCs w:val="21"/>
        </w:rPr>
      </w:pPr>
      <w:r>
        <w:rPr>
          <w:rFonts w:hint="eastAsia" w:ascii="新宋体" w:hAnsi="新宋体" w:eastAsia="新宋体"/>
          <w:b/>
          <w:bCs/>
          <w:color w:val="FF0000"/>
          <w:szCs w:val="21"/>
        </w:rPr>
        <w:t>（特别提示：投标人须按本招标文件第一章招标公告 “投标人资质要求”提供相关的资质证明，未提供或提供不完整、不符合要求的，投标文件将按无效投标处理。）</w:t>
      </w:r>
    </w:p>
    <w:p>
      <w:pPr>
        <w:spacing w:line="360" w:lineRule="auto"/>
        <w:rPr>
          <w:rFonts w:ascii="新宋体" w:hAnsi="新宋体" w:eastAsia="新宋体"/>
          <w:b/>
          <w:bCs/>
          <w:szCs w:val="21"/>
        </w:rPr>
      </w:pPr>
    </w:p>
    <w:p>
      <w:pPr>
        <w:spacing w:line="360" w:lineRule="auto"/>
        <w:rPr>
          <w:rFonts w:ascii="新宋体" w:hAnsi="新宋体" w:eastAsia="新宋体"/>
          <w:b/>
          <w:bCs/>
          <w:szCs w:val="21"/>
        </w:rPr>
      </w:pPr>
    </w:p>
    <w:p>
      <w:pPr>
        <w:spacing w:line="360" w:lineRule="auto"/>
        <w:rPr>
          <w:rFonts w:ascii="新宋体" w:hAnsi="新宋体" w:eastAsia="新宋体"/>
          <w:b/>
          <w:bCs/>
          <w:szCs w:val="21"/>
        </w:rPr>
      </w:pPr>
    </w:p>
    <w:p>
      <w:pPr>
        <w:spacing w:line="360" w:lineRule="auto"/>
        <w:outlineLvl w:val="3"/>
        <w:rPr>
          <w:rFonts w:ascii="新宋体" w:hAnsi="新宋体" w:eastAsia="新宋体"/>
          <w:b/>
          <w:szCs w:val="21"/>
        </w:rPr>
      </w:pPr>
      <w:r>
        <w:rPr>
          <w:rFonts w:hint="eastAsia" w:ascii="新宋体" w:hAnsi="新宋体" w:eastAsia="新宋体"/>
          <w:b/>
          <w:bCs/>
          <w:szCs w:val="21"/>
        </w:rPr>
        <w:t>（二）技术保障措施及</w:t>
      </w:r>
      <w:r>
        <w:rPr>
          <w:rFonts w:hint="eastAsia" w:ascii="新宋体" w:hAnsi="新宋体" w:eastAsia="新宋体"/>
          <w:b/>
          <w:szCs w:val="21"/>
        </w:rPr>
        <w:t>实施本项目的主要技术人员情况表（格式自定，可选）</w:t>
      </w:r>
    </w:p>
    <w:p>
      <w:pPr>
        <w:spacing w:line="360" w:lineRule="auto"/>
        <w:rPr>
          <w:rFonts w:ascii="新宋体" w:hAnsi="新宋体" w:eastAsia="新宋体"/>
          <w:b/>
          <w:bCs/>
          <w:color w:val="FF0000"/>
          <w:szCs w:val="21"/>
        </w:rPr>
      </w:pPr>
      <w:r>
        <w:rPr>
          <w:rFonts w:hint="eastAsia" w:ascii="新宋体" w:hAnsi="新宋体" w:eastAsia="新宋体"/>
          <w:b/>
          <w:bCs/>
          <w:color w:val="FF0000"/>
          <w:szCs w:val="21"/>
        </w:rPr>
        <w:t>（特别提示：投标人须按本招标文件评标信息中 “技术保障措施”这一评审因素要求，提供相关技术保障方案或其它证明资料）</w:t>
      </w:r>
    </w:p>
    <w:p>
      <w:pPr>
        <w:spacing w:line="360" w:lineRule="auto"/>
        <w:rPr>
          <w:rFonts w:ascii="新宋体" w:hAnsi="新宋体" w:eastAsia="新宋体"/>
          <w:b/>
          <w:bCs/>
          <w:szCs w:val="21"/>
        </w:rPr>
      </w:pPr>
    </w:p>
    <w:p>
      <w:pPr>
        <w:spacing w:line="360" w:lineRule="auto"/>
        <w:outlineLvl w:val="3"/>
        <w:rPr>
          <w:rFonts w:ascii="新宋体" w:hAnsi="新宋体" w:eastAsia="新宋体"/>
          <w:b/>
          <w:bCs/>
          <w:szCs w:val="21"/>
        </w:rPr>
      </w:pPr>
      <w:r>
        <w:rPr>
          <w:rFonts w:hint="eastAsia" w:ascii="新宋体" w:hAnsi="新宋体" w:eastAsia="新宋体"/>
          <w:b/>
          <w:bCs/>
          <w:szCs w:val="21"/>
        </w:rPr>
        <w:t>（三）施工安全保障措施（可选）</w:t>
      </w:r>
    </w:p>
    <w:p>
      <w:pPr>
        <w:spacing w:line="360" w:lineRule="auto"/>
        <w:rPr>
          <w:rFonts w:ascii="新宋体" w:hAnsi="新宋体" w:eastAsia="新宋体"/>
          <w:b/>
          <w:bCs/>
          <w:color w:val="FF0000"/>
          <w:szCs w:val="21"/>
        </w:rPr>
      </w:pPr>
      <w:r>
        <w:rPr>
          <w:rFonts w:hint="eastAsia" w:ascii="新宋体" w:hAnsi="新宋体" w:eastAsia="新宋体"/>
          <w:b/>
          <w:bCs/>
          <w:color w:val="FF0000"/>
          <w:szCs w:val="21"/>
        </w:rPr>
        <w:t>（特别提示：投标人须按本招标文件评标信息中 “施工安全保障措施”这一评审因素要求，提供详细的施工安全保障方案或其它证明资料）</w:t>
      </w:r>
    </w:p>
    <w:p>
      <w:pPr>
        <w:spacing w:line="360" w:lineRule="auto"/>
        <w:rPr>
          <w:rFonts w:ascii="新宋体" w:hAnsi="新宋体" w:eastAsia="新宋体"/>
          <w:b/>
          <w:szCs w:val="21"/>
        </w:rPr>
      </w:pPr>
    </w:p>
    <w:p>
      <w:pPr>
        <w:spacing w:line="360" w:lineRule="auto"/>
        <w:outlineLvl w:val="3"/>
        <w:rPr>
          <w:rFonts w:ascii="新宋体" w:hAnsi="新宋体" w:eastAsia="新宋体"/>
          <w:b/>
          <w:szCs w:val="21"/>
        </w:rPr>
      </w:pPr>
      <w:r>
        <w:rPr>
          <w:rFonts w:hint="eastAsia" w:ascii="新宋体" w:hAnsi="新宋体" w:eastAsia="新宋体"/>
          <w:b/>
          <w:szCs w:val="21"/>
        </w:rPr>
        <w:t>（四）检测报告（可选）</w:t>
      </w:r>
    </w:p>
    <w:p>
      <w:pPr>
        <w:spacing w:line="360" w:lineRule="auto"/>
        <w:rPr>
          <w:rFonts w:ascii="新宋体" w:hAnsi="新宋体" w:eastAsia="新宋体"/>
          <w:b/>
          <w:bCs/>
          <w:color w:val="FF0000"/>
          <w:szCs w:val="21"/>
        </w:rPr>
      </w:pPr>
      <w:r>
        <w:rPr>
          <w:rFonts w:hint="eastAsia" w:ascii="新宋体" w:hAnsi="新宋体" w:eastAsia="新宋体"/>
          <w:b/>
          <w:bCs/>
          <w:color w:val="FF0000"/>
          <w:szCs w:val="21"/>
        </w:rPr>
        <w:t>（特别提示：投标人须按本招标文件评标信息中 “检测报告”这一评审因素要求，提供详细的检测报告或其它证明资料）</w:t>
      </w:r>
    </w:p>
    <w:p>
      <w:pPr>
        <w:spacing w:line="360" w:lineRule="auto"/>
        <w:rPr>
          <w:rFonts w:ascii="新宋体" w:hAnsi="新宋体" w:eastAsia="新宋体"/>
          <w:b/>
          <w:szCs w:val="21"/>
        </w:rPr>
      </w:pPr>
    </w:p>
    <w:p>
      <w:pPr>
        <w:spacing w:line="360" w:lineRule="auto"/>
        <w:outlineLvl w:val="3"/>
        <w:rPr>
          <w:rFonts w:ascii="新宋体" w:hAnsi="新宋体" w:eastAsia="新宋体"/>
          <w:b/>
          <w:color w:val="000000"/>
          <w:szCs w:val="21"/>
        </w:rPr>
      </w:pPr>
      <w:r>
        <w:rPr>
          <w:rFonts w:hint="eastAsia" w:ascii="新宋体" w:hAnsi="新宋体" w:eastAsia="新宋体"/>
          <w:b/>
          <w:szCs w:val="21"/>
        </w:rPr>
        <w:t>（五）奖项（可选）</w:t>
      </w:r>
    </w:p>
    <w:p>
      <w:pPr>
        <w:spacing w:line="360" w:lineRule="auto"/>
        <w:rPr>
          <w:rFonts w:ascii="新宋体" w:hAnsi="新宋体" w:eastAsia="新宋体"/>
          <w:b/>
          <w:bCs/>
          <w:color w:val="FF0000"/>
          <w:szCs w:val="21"/>
        </w:rPr>
      </w:pPr>
      <w:r>
        <w:rPr>
          <w:rFonts w:hint="eastAsia" w:ascii="新宋体" w:hAnsi="新宋体" w:eastAsia="新宋体"/>
          <w:b/>
          <w:bCs/>
          <w:color w:val="FF0000"/>
          <w:szCs w:val="21"/>
        </w:rPr>
        <w:t>（特别提示：投标人须按本招标文件评标信息中 “奖项”这一评审因素要求，提供相提供详细证明资料）</w:t>
      </w:r>
    </w:p>
    <w:p>
      <w:pPr>
        <w:spacing w:line="360" w:lineRule="auto"/>
        <w:rPr>
          <w:rFonts w:ascii="新宋体" w:hAnsi="新宋体" w:eastAsia="新宋体"/>
          <w:b/>
          <w:szCs w:val="21"/>
        </w:rPr>
      </w:pPr>
    </w:p>
    <w:p>
      <w:pPr>
        <w:spacing w:line="360" w:lineRule="auto"/>
        <w:outlineLvl w:val="3"/>
        <w:rPr>
          <w:rFonts w:ascii="新宋体" w:hAnsi="新宋体" w:eastAsia="新宋体"/>
          <w:b/>
          <w:bCs/>
          <w:szCs w:val="21"/>
        </w:rPr>
      </w:pPr>
      <w:r>
        <w:rPr>
          <w:rFonts w:hint="eastAsia" w:ascii="新宋体" w:hAnsi="新宋体" w:eastAsia="新宋体"/>
          <w:b/>
          <w:bCs/>
          <w:szCs w:val="21"/>
        </w:rPr>
        <w:t>（</w:t>
      </w:r>
      <w:r>
        <w:rPr>
          <w:rFonts w:hint="eastAsia" w:ascii="新宋体" w:hAnsi="新宋体" w:eastAsia="新宋体"/>
          <w:b/>
          <w:szCs w:val="21"/>
        </w:rPr>
        <w:t>六）</w:t>
      </w:r>
      <w:r>
        <w:rPr>
          <w:rFonts w:hint="eastAsia" w:ascii="新宋体" w:hAnsi="新宋体" w:eastAsia="新宋体"/>
          <w:b/>
          <w:bCs/>
          <w:szCs w:val="21"/>
        </w:rPr>
        <w:t>近三年同类业绩</w:t>
      </w:r>
      <w:r>
        <w:rPr>
          <w:rFonts w:hint="eastAsia" w:ascii="新宋体" w:hAnsi="新宋体" w:eastAsia="新宋体"/>
          <w:b/>
          <w:szCs w:val="21"/>
        </w:rPr>
        <w:t>（可选）</w:t>
      </w:r>
    </w:p>
    <w:tbl>
      <w:tblPr>
        <w:tblStyle w:val="43"/>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726"/>
        <w:gridCol w:w="1548"/>
        <w:gridCol w:w="1464"/>
        <w:gridCol w:w="1465"/>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ind w:firstLine="420" w:firstLineChars="200"/>
              <w:rPr>
                <w:rFonts w:ascii="宋体" w:hAnsi="宋体"/>
                <w:szCs w:val="21"/>
              </w:rPr>
            </w:pPr>
            <w:r>
              <w:rPr>
                <w:rFonts w:hint="eastAsia" w:ascii="宋体" w:hAnsi="宋体"/>
                <w:szCs w:val="21"/>
              </w:rPr>
              <w:t>采购人</w:t>
            </w:r>
          </w:p>
        </w:tc>
        <w:tc>
          <w:tcPr>
            <w:tcW w:w="1726" w:type="dxa"/>
            <w:vAlign w:val="center"/>
          </w:tcPr>
          <w:p>
            <w:pPr>
              <w:ind w:firstLine="420" w:firstLineChars="200"/>
              <w:rPr>
                <w:rFonts w:ascii="宋体" w:hAnsi="宋体"/>
                <w:szCs w:val="21"/>
              </w:rPr>
            </w:pPr>
            <w:r>
              <w:rPr>
                <w:rFonts w:hint="eastAsia" w:ascii="宋体" w:hAnsi="宋体"/>
                <w:szCs w:val="21"/>
              </w:rPr>
              <w:t>项目名称</w:t>
            </w:r>
          </w:p>
        </w:tc>
        <w:tc>
          <w:tcPr>
            <w:tcW w:w="1548" w:type="dxa"/>
            <w:vAlign w:val="center"/>
          </w:tcPr>
          <w:p>
            <w:pPr>
              <w:ind w:firstLine="420" w:firstLineChars="200"/>
              <w:rPr>
                <w:rFonts w:ascii="宋体" w:hAnsi="宋体"/>
                <w:szCs w:val="21"/>
              </w:rPr>
            </w:pPr>
            <w:r>
              <w:rPr>
                <w:rFonts w:hint="eastAsia" w:ascii="宋体" w:hAnsi="宋体"/>
                <w:szCs w:val="21"/>
              </w:rPr>
              <w:t>项目规模（金额）</w:t>
            </w:r>
          </w:p>
        </w:tc>
        <w:tc>
          <w:tcPr>
            <w:tcW w:w="1464" w:type="dxa"/>
            <w:vAlign w:val="center"/>
          </w:tcPr>
          <w:p>
            <w:pPr>
              <w:ind w:firstLine="420" w:firstLineChars="200"/>
              <w:rPr>
                <w:rFonts w:ascii="宋体" w:hAnsi="宋体"/>
                <w:szCs w:val="21"/>
              </w:rPr>
            </w:pPr>
            <w:r>
              <w:rPr>
                <w:rFonts w:hint="eastAsia" w:ascii="宋体" w:hAnsi="宋体"/>
                <w:szCs w:val="21"/>
              </w:rPr>
              <w:t>合同签订日期</w:t>
            </w:r>
          </w:p>
        </w:tc>
        <w:tc>
          <w:tcPr>
            <w:tcW w:w="1465" w:type="dxa"/>
            <w:vAlign w:val="center"/>
          </w:tcPr>
          <w:p>
            <w:pPr>
              <w:ind w:firstLine="420" w:firstLineChars="200"/>
              <w:rPr>
                <w:rFonts w:ascii="宋体" w:hAnsi="宋体"/>
                <w:szCs w:val="21"/>
              </w:rPr>
            </w:pPr>
            <w:r>
              <w:rPr>
                <w:rFonts w:hint="eastAsia" w:ascii="宋体" w:hAnsi="宋体"/>
                <w:szCs w:val="21"/>
              </w:rPr>
              <w:t>履约验收时间</w:t>
            </w:r>
          </w:p>
        </w:tc>
        <w:tc>
          <w:tcPr>
            <w:tcW w:w="1465" w:type="dxa"/>
            <w:vAlign w:val="center"/>
          </w:tcPr>
          <w:p>
            <w:pPr>
              <w:ind w:firstLine="420" w:firstLineChars="200"/>
              <w:rPr>
                <w:rFonts w:ascii="宋体" w:hAnsi="宋体"/>
                <w:szCs w:val="21"/>
              </w:rPr>
            </w:pPr>
            <w:r>
              <w:rPr>
                <w:rFonts w:hint="eastAsia" w:ascii="宋体" w:hAnsi="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ind w:firstLine="420" w:firstLineChars="200"/>
              <w:rPr>
                <w:rFonts w:ascii="宋体" w:hAnsi="宋体"/>
                <w:szCs w:val="21"/>
              </w:rPr>
            </w:pPr>
          </w:p>
        </w:tc>
        <w:tc>
          <w:tcPr>
            <w:tcW w:w="1726" w:type="dxa"/>
            <w:vAlign w:val="center"/>
          </w:tcPr>
          <w:p>
            <w:pPr>
              <w:ind w:firstLine="420" w:firstLineChars="200"/>
              <w:rPr>
                <w:rFonts w:ascii="宋体" w:hAnsi="宋体"/>
                <w:szCs w:val="21"/>
              </w:rPr>
            </w:pPr>
          </w:p>
        </w:tc>
        <w:tc>
          <w:tcPr>
            <w:tcW w:w="1548" w:type="dxa"/>
            <w:vAlign w:val="center"/>
          </w:tcPr>
          <w:p>
            <w:pPr>
              <w:ind w:firstLine="420" w:firstLineChars="200"/>
              <w:rPr>
                <w:rFonts w:ascii="宋体" w:hAnsi="宋体"/>
                <w:szCs w:val="21"/>
              </w:rPr>
            </w:pPr>
          </w:p>
        </w:tc>
        <w:tc>
          <w:tcPr>
            <w:tcW w:w="1464"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ind w:firstLine="420" w:firstLineChars="200"/>
              <w:rPr>
                <w:rFonts w:ascii="宋体" w:hAnsi="宋体"/>
                <w:szCs w:val="21"/>
              </w:rPr>
            </w:pPr>
          </w:p>
        </w:tc>
        <w:tc>
          <w:tcPr>
            <w:tcW w:w="1726" w:type="dxa"/>
            <w:vAlign w:val="center"/>
          </w:tcPr>
          <w:p>
            <w:pPr>
              <w:ind w:firstLine="420" w:firstLineChars="200"/>
              <w:rPr>
                <w:rFonts w:ascii="宋体" w:hAnsi="宋体"/>
                <w:szCs w:val="21"/>
              </w:rPr>
            </w:pPr>
          </w:p>
        </w:tc>
        <w:tc>
          <w:tcPr>
            <w:tcW w:w="1548" w:type="dxa"/>
            <w:vAlign w:val="center"/>
          </w:tcPr>
          <w:p>
            <w:pPr>
              <w:ind w:firstLine="420" w:firstLineChars="200"/>
              <w:rPr>
                <w:rFonts w:ascii="宋体" w:hAnsi="宋体"/>
                <w:szCs w:val="21"/>
              </w:rPr>
            </w:pPr>
          </w:p>
        </w:tc>
        <w:tc>
          <w:tcPr>
            <w:tcW w:w="1464"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ind w:firstLine="420" w:firstLineChars="200"/>
              <w:rPr>
                <w:rFonts w:ascii="宋体" w:hAnsi="宋体"/>
                <w:szCs w:val="21"/>
              </w:rPr>
            </w:pPr>
          </w:p>
        </w:tc>
        <w:tc>
          <w:tcPr>
            <w:tcW w:w="1726" w:type="dxa"/>
            <w:vAlign w:val="center"/>
          </w:tcPr>
          <w:p>
            <w:pPr>
              <w:ind w:firstLine="420" w:firstLineChars="200"/>
              <w:rPr>
                <w:rFonts w:ascii="宋体" w:hAnsi="宋体"/>
                <w:szCs w:val="21"/>
              </w:rPr>
            </w:pPr>
          </w:p>
        </w:tc>
        <w:tc>
          <w:tcPr>
            <w:tcW w:w="1548" w:type="dxa"/>
            <w:vAlign w:val="center"/>
          </w:tcPr>
          <w:p>
            <w:pPr>
              <w:ind w:firstLine="420" w:firstLineChars="200"/>
              <w:rPr>
                <w:rFonts w:ascii="宋体" w:hAnsi="宋体"/>
                <w:szCs w:val="21"/>
              </w:rPr>
            </w:pPr>
          </w:p>
        </w:tc>
        <w:tc>
          <w:tcPr>
            <w:tcW w:w="1464"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ind w:firstLine="420" w:firstLineChars="200"/>
              <w:rPr>
                <w:rFonts w:ascii="宋体" w:hAnsi="宋体"/>
                <w:szCs w:val="21"/>
              </w:rPr>
            </w:pPr>
          </w:p>
        </w:tc>
        <w:tc>
          <w:tcPr>
            <w:tcW w:w="1726" w:type="dxa"/>
            <w:vAlign w:val="center"/>
          </w:tcPr>
          <w:p>
            <w:pPr>
              <w:ind w:firstLine="420" w:firstLineChars="200"/>
              <w:rPr>
                <w:rFonts w:ascii="宋体" w:hAnsi="宋体"/>
                <w:szCs w:val="21"/>
              </w:rPr>
            </w:pPr>
          </w:p>
        </w:tc>
        <w:tc>
          <w:tcPr>
            <w:tcW w:w="1548" w:type="dxa"/>
            <w:vAlign w:val="center"/>
          </w:tcPr>
          <w:p>
            <w:pPr>
              <w:ind w:firstLine="420" w:firstLineChars="200"/>
              <w:rPr>
                <w:rFonts w:ascii="宋体" w:hAnsi="宋体"/>
                <w:szCs w:val="21"/>
              </w:rPr>
            </w:pPr>
          </w:p>
        </w:tc>
        <w:tc>
          <w:tcPr>
            <w:tcW w:w="1464"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ind w:firstLine="420" w:firstLineChars="200"/>
              <w:rPr>
                <w:rFonts w:ascii="宋体" w:hAnsi="宋体"/>
                <w:szCs w:val="21"/>
              </w:rPr>
            </w:pPr>
          </w:p>
        </w:tc>
        <w:tc>
          <w:tcPr>
            <w:tcW w:w="1726" w:type="dxa"/>
            <w:vAlign w:val="center"/>
          </w:tcPr>
          <w:p>
            <w:pPr>
              <w:ind w:firstLine="420" w:firstLineChars="200"/>
              <w:rPr>
                <w:rFonts w:ascii="宋体" w:hAnsi="宋体"/>
                <w:szCs w:val="21"/>
              </w:rPr>
            </w:pPr>
          </w:p>
        </w:tc>
        <w:tc>
          <w:tcPr>
            <w:tcW w:w="1548" w:type="dxa"/>
            <w:vAlign w:val="center"/>
          </w:tcPr>
          <w:p>
            <w:pPr>
              <w:ind w:firstLine="420" w:firstLineChars="200"/>
              <w:rPr>
                <w:rFonts w:ascii="宋体" w:hAnsi="宋体"/>
                <w:szCs w:val="21"/>
              </w:rPr>
            </w:pPr>
          </w:p>
        </w:tc>
        <w:tc>
          <w:tcPr>
            <w:tcW w:w="1464"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ind w:firstLine="420" w:firstLineChars="200"/>
              <w:rPr>
                <w:rFonts w:ascii="宋体" w:hAnsi="宋体"/>
                <w:szCs w:val="21"/>
              </w:rPr>
            </w:pPr>
          </w:p>
        </w:tc>
        <w:tc>
          <w:tcPr>
            <w:tcW w:w="1726" w:type="dxa"/>
            <w:vAlign w:val="center"/>
          </w:tcPr>
          <w:p>
            <w:pPr>
              <w:ind w:firstLine="420" w:firstLineChars="200"/>
              <w:rPr>
                <w:rFonts w:ascii="宋体" w:hAnsi="宋体"/>
                <w:szCs w:val="21"/>
              </w:rPr>
            </w:pPr>
          </w:p>
        </w:tc>
        <w:tc>
          <w:tcPr>
            <w:tcW w:w="1548" w:type="dxa"/>
            <w:vAlign w:val="center"/>
          </w:tcPr>
          <w:p>
            <w:pPr>
              <w:ind w:firstLine="420" w:firstLineChars="200"/>
              <w:rPr>
                <w:rFonts w:ascii="宋体" w:hAnsi="宋体"/>
                <w:szCs w:val="21"/>
              </w:rPr>
            </w:pPr>
          </w:p>
        </w:tc>
        <w:tc>
          <w:tcPr>
            <w:tcW w:w="1464"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ind w:firstLine="420" w:firstLineChars="200"/>
              <w:rPr>
                <w:rFonts w:ascii="宋体" w:hAnsi="宋体"/>
                <w:szCs w:val="21"/>
              </w:rPr>
            </w:pPr>
          </w:p>
        </w:tc>
        <w:tc>
          <w:tcPr>
            <w:tcW w:w="1726" w:type="dxa"/>
            <w:vAlign w:val="center"/>
          </w:tcPr>
          <w:p>
            <w:pPr>
              <w:ind w:firstLine="420" w:firstLineChars="200"/>
              <w:rPr>
                <w:rFonts w:ascii="宋体" w:hAnsi="宋体"/>
                <w:szCs w:val="21"/>
              </w:rPr>
            </w:pPr>
          </w:p>
        </w:tc>
        <w:tc>
          <w:tcPr>
            <w:tcW w:w="1548" w:type="dxa"/>
            <w:vAlign w:val="center"/>
          </w:tcPr>
          <w:p>
            <w:pPr>
              <w:ind w:firstLine="420" w:firstLineChars="200"/>
              <w:rPr>
                <w:rFonts w:ascii="宋体" w:hAnsi="宋体"/>
                <w:szCs w:val="21"/>
              </w:rPr>
            </w:pPr>
          </w:p>
        </w:tc>
        <w:tc>
          <w:tcPr>
            <w:tcW w:w="1464"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ind w:firstLine="420" w:firstLineChars="200"/>
              <w:rPr>
                <w:rFonts w:ascii="宋体" w:hAnsi="宋体"/>
                <w:szCs w:val="21"/>
              </w:rPr>
            </w:pPr>
          </w:p>
        </w:tc>
        <w:tc>
          <w:tcPr>
            <w:tcW w:w="1726" w:type="dxa"/>
            <w:vAlign w:val="center"/>
          </w:tcPr>
          <w:p>
            <w:pPr>
              <w:ind w:firstLine="420" w:firstLineChars="200"/>
              <w:rPr>
                <w:rFonts w:ascii="宋体" w:hAnsi="宋体"/>
                <w:szCs w:val="21"/>
              </w:rPr>
            </w:pPr>
          </w:p>
        </w:tc>
        <w:tc>
          <w:tcPr>
            <w:tcW w:w="1548" w:type="dxa"/>
            <w:vAlign w:val="center"/>
          </w:tcPr>
          <w:p>
            <w:pPr>
              <w:ind w:firstLine="420" w:firstLineChars="200"/>
              <w:rPr>
                <w:rFonts w:ascii="宋体" w:hAnsi="宋体"/>
                <w:szCs w:val="21"/>
              </w:rPr>
            </w:pPr>
          </w:p>
        </w:tc>
        <w:tc>
          <w:tcPr>
            <w:tcW w:w="1464"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c>
          <w:tcPr>
            <w:tcW w:w="1465" w:type="dxa"/>
            <w:vAlign w:val="center"/>
          </w:tcPr>
          <w:p>
            <w:pPr>
              <w:ind w:firstLine="420" w:firstLineChars="200"/>
              <w:rPr>
                <w:rFonts w:ascii="宋体" w:hAnsi="宋体"/>
                <w:szCs w:val="21"/>
              </w:rPr>
            </w:pPr>
          </w:p>
        </w:tc>
      </w:tr>
    </w:tbl>
    <w:p>
      <w:pPr>
        <w:ind w:firstLine="420" w:firstLineChars="200"/>
        <w:rPr>
          <w:rFonts w:ascii="宋体" w:hAnsi="宋体"/>
          <w:szCs w:val="21"/>
        </w:rPr>
      </w:pPr>
    </w:p>
    <w:p>
      <w:pPr>
        <w:ind w:firstLine="420" w:firstLineChars="200"/>
        <w:rPr>
          <w:rFonts w:ascii="宋体" w:hAnsi="宋体"/>
          <w:szCs w:val="21"/>
        </w:rPr>
      </w:pPr>
    </w:p>
    <w:p>
      <w:pPr>
        <w:spacing w:line="360" w:lineRule="auto"/>
        <w:jc w:val="center"/>
        <w:outlineLvl w:val="3"/>
        <w:rPr>
          <w:rFonts w:ascii="新宋体" w:hAnsi="新宋体" w:eastAsia="新宋体"/>
          <w:bCs/>
          <w:kern w:val="0"/>
          <w:szCs w:val="21"/>
        </w:rPr>
      </w:pPr>
      <w:r>
        <w:rPr>
          <w:rFonts w:hint="eastAsia" w:ascii="新宋体" w:hAnsi="新宋体" w:eastAsia="新宋体"/>
          <w:bCs/>
          <w:kern w:val="0"/>
          <w:szCs w:val="21"/>
        </w:rPr>
        <w:t>（七）中小企业声明函、残疾人福利性单位声明函及监狱企业声明函</w:t>
      </w:r>
      <w:r>
        <w:rPr>
          <w:rFonts w:hint="eastAsia" w:ascii="新宋体" w:hAnsi="新宋体" w:eastAsia="新宋体"/>
          <w:b/>
          <w:color w:val="FF0000"/>
          <w:szCs w:val="21"/>
        </w:rPr>
        <w:t>(可选项)</w:t>
      </w:r>
    </w:p>
    <w:p>
      <w:pPr>
        <w:spacing w:line="360" w:lineRule="auto"/>
        <w:ind w:firstLine="422" w:firstLineChars="200"/>
        <w:rPr>
          <w:rFonts w:ascii="新宋体" w:hAnsi="新宋体" w:eastAsia="新宋体"/>
          <w:b/>
          <w:color w:val="FF0000"/>
          <w:szCs w:val="21"/>
        </w:rPr>
      </w:pPr>
    </w:p>
    <w:p>
      <w:pPr>
        <w:spacing w:line="360" w:lineRule="auto"/>
        <w:ind w:firstLine="422" w:firstLineChars="200"/>
        <w:rPr>
          <w:rFonts w:hint="eastAsia" w:ascii="新宋体" w:hAnsi="新宋体" w:eastAsia="新宋体"/>
          <w:b/>
          <w:color w:val="FF0000"/>
          <w:szCs w:val="21"/>
        </w:rPr>
      </w:pPr>
      <w:r>
        <w:rPr>
          <w:rFonts w:hint="eastAsia" w:ascii="新宋体" w:hAnsi="新宋体" w:eastAsia="新宋体"/>
          <w:b/>
          <w:color w:val="FF0000"/>
          <w:szCs w:val="21"/>
        </w:rPr>
        <w:t>填写指引：</w:t>
      </w:r>
    </w:p>
    <w:p>
      <w:pPr>
        <w:spacing w:line="360" w:lineRule="auto"/>
        <w:ind w:firstLine="422" w:firstLineChars="200"/>
        <w:rPr>
          <w:rFonts w:hint="eastAsia" w:ascii="新宋体" w:hAnsi="新宋体" w:eastAsia="新宋体"/>
          <w:b/>
          <w:color w:val="FF0000"/>
          <w:szCs w:val="21"/>
        </w:rPr>
      </w:pPr>
      <w:r>
        <w:rPr>
          <w:rFonts w:hint="eastAsia" w:ascii="新宋体" w:hAnsi="新宋体" w:eastAsia="新宋体"/>
          <w:b/>
          <w:color w:val="FF0000"/>
          <w:szCs w:val="21"/>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pPr>
        <w:spacing w:line="360" w:lineRule="auto"/>
        <w:ind w:firstLine="422" w:firstLineChars="200"/>
        <w:rPr>
          <w:rFonts w:hint="eastAsia" w:ascii="新宋体" w:hAnsi="新宋体" w:eastAsia="新宋体"/>
          <w:b/>
          <w:color w:val="FF0000"/>
          <w:szCs w:val="21"/>
        </w:rPr>
      </w:pPr>
      <w:r>
        <w:rPr>
          <w:rFonts w:hint="eastAsia" w:ascii="新宋体" w:hAnsi="新宋体" w:eastAsia="新宋体"/>
          <w:b/>
          <w:color w:val="FF0000"/>
          <w:szCs w:val="21"/>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pPr>
        <w:spacing w:line="360" w:lineRule="auto"/>
        <w:ind w:firstLine="422" w:firstLineChars="200"/>
        <w:rPr>
          <w:b/>
          <w:color w:val="FF0000"/>
        </w:rPr>
      </w:pPr>
      <w:r>
        <w:rPr>
          <w:rFonts w:hint="eastAsia" w:ascii="新宋体" w:hAnsi="新宋体" w:eastAsia="新宋体"/>
          <w:b/>
          <w:color w:val="FF0000"/>
          <w:szCs w:val="21"/>
        </w:rPr>
        <w:t>3、请依照提供的格式和内容填写声明函，不要随意变更格式或增删内容；满足多项优惠政策的企业，不重复享受多项价格扣除政策。</w:t>
      </w:r>
    </w:p>
    <w:p>
      <w:pPr>
        <w:ind w:firstLine="422" w:firstLineChars="200"/>
        <w:rPr>
          <w:b/>
          <w:color w:val="FF0000"/>
        </w:rPr>
      </w:pPr>
    </w:p>
    <w:p>
      <w:pPr>
        <w:ind w:firstLine="422" w:firstLineChars="200"/>
        <w:rPr>
          <w:b/>
          <w:color w:val="FF0000"/>
        </w:rPr>
      </w:pPr>
    </w:p>
    <w:p>
      <w:pPr>
        <w:ind w:firstLine="422" w:firstLineChars="200"/>
        <w:rPr>
          <w:b/>
          <w:color w:val="FF0000"/>
        </w:rPr>
      </w:pPr>
    </w:p>
    <w:p>
      <w:pPr>
        <w:spacing w:line="360" w:lineRule="auto"/>
        <w:jc w:val="center"/>
        <w:outlineLvl w:val="3"/>
        <w:rPr>
          <w:rFonts w:ascii="新宋体" w:hAnsi="新宋体" w:eastAsia="新宋体"/>
          <w:b/>
          <w:szCs w:val="21"/>
        </w:rPr>
      </w:pPr>
      <w:r>
        <w:rPr>
          <w:rFonts w:hint="eastAsia" w:ascii="新宋体" w:hAnsi="新宋体" w:eastAsia="新宋体"/>
          <w:b/>
          <w:szCs w:val="21"/>
        </w:rPr>
        <w:t xml:space="preserve"> 1、中小企业声明函</w:t>
      </w:r>
    </w:p>
    <w:p>
      <w:pPr>
        <w:spacing w:line="360" w:lineRule="auto"/>
        <w:ind w:firstLine="420" w:firstLineChars="200"/>
        <w:rPr>
          <w:rFonts w:ascii="新宋体" w:hAnsi="新宋体" w:eastAsia="新宋体"/>
        </w:rPr>
      </w:pPr>
      <w:r>
        <w:rPr>
          <w:rFonts w:hint="eastAsia" w:ascii="新宋体" w:hAnsi="新宋体" w:eastAsia="新宋体"/>
        </w:rPr>
        <w:t>本公司（联合体）郑重声明，根据《政府采购促进中小企业发展管理办法》（财库﹝</w:t>
      </w:r>
      <w:r>
        <w:rPr>
          <w:rFonts w:ascii="新宋体" w:hAnsi="新宋体" w:eastAsia="新宋体"/>
        </w:rPr>
        <w:t>2020</w:t>
      </w:r>
      <w:r>
        <w:rPr>
          <w:rFonts w:hint="eastAsia" w:ascii="新宋体" w:hAnsi="新宋体" w:eastAsia="新宋体"/>
        </w:rPr>
        <w:t>﹞</w:t>
      </w:r>
      <w:r>
        <w:rPr>
          <w:rFonts w:ascii="新宋体" w:hAnsi="新宋体" w:eastAsia="新宋体"/>
        </w:rPr>
        <w:t xml:space="preserve">46 </w:t>
      </w:r>
      <w:r>
        <w:rPr>
          <w:rFonts w:hint="eastAsia" w:ascii="新宋体" w:hAnsi="新宋体" w:eastAsia="新宋体"/>
        </w:rPr>
        <w:t>号）的规定，本公司（联合体）参加</w:t>
      </w:r>
      <w:r>
        <w:rPr>
          <w:rFonts w:hint="eastAsia" w:ascii="新宋体" w:hAnsi="新宋体" w:eastAsia="新宋体"/>
          <w:u w:val="single"/>
        </w:rPr>
        <w:t>（单位名称）</w:t>
      </w:r>
      <w:r>
        <w:rPr>
          <w:rFonts w:hint="eastAsia" w:ascii="新宋体" w:hAnsi="新宋体" w:eastAsia="新宋体"/>
        </w:rPr>
        <w:t>的</w:t>
      </w:r>
      <w:r>
        <w:rPr>
          <w:rFonts w:hint="eastAsia" w:ascii="新宋体" w:hAnsi="新宋体" w:eastAsia="新宋体"/>
          <w:u w:val="single"/>
        </w:rPr>
        <w:t>（项目名称）</w:t>
      </w:r>
      <w:r>
        <w:rPr>
          <w:rFonts w:hint="eastAsia" w:ascii="新宋体" w:hAnsi="新宋体" w:eastAsia="新宋体"/>
        </w:rPr>
        <w:t>采购活动，提供的货物全部由符合政策要求的中小企业制造。相关企业（含联合体中的中小企业、签订分包意向协议的中小企业）的具体情况如下：</w:t>
      </w:r>
    </w:p>
    <w:p>
      <w:pPr>
        <w:spacing w:line="360" w:lineRule="auto"/>
        <w:ind w:firstLine="409" w:firstLineChars="195"/>
        <w:rPr>
          <w:rFonts w:ascii="新宋体" w:hAnsi="新宋体" w:eastAsia="新宋体"/>
        </w:rPr>
      </w:pPr>
      <w:r>
        <w:rPr>
          <w:rFonts w:ascii="新宋体" w:hAnsi="新宋体" w:eastAsia="新宋体"/>
        </w:rPr>
        <w:t xml:space="preserve">1. </w:t>
      </w:r>
      <w:r>
        <w:rPr>
          <w:rFonts w:hint="eastAsia" w:ascii="新宋体" w:hAnsi="新宋体" w:eastAsia="新宋体"/>
          <w:u w:val="single"/>
        </w:rPr>
        <w:t>（标的名称）</w:t>
      </w:r>
      <w:r>
        <w:rPr>
          <w:rFonts w:hint="eastAsia" w:ascii="新宋体" w:hAnsi="新宋体" w:eastAsia="新宋体"/>
        </w:rPr>
        <w:t>，属于</w:t>
      </w:r>
      <w:r>
        <w:rPr>
          <w:rFonts w:hint="eastAsia" w:ascii="新宋体" w:hAnsi="新宋体" w:eastAsia="新宋体"/>
          <w:u w:val="single"/>
        </w:rPr>
        <w:t>（采购文件中明确的所属行业）</w:t>
      </w:r>
      <w:r>
        <w:rPr>
          <w:rFonts w:hint="eastAsia" w:ascii="新宋体" w:hAnsi="新宋体" w:eastAsia="新宋体"/>
        </w:rPr>
        <w:t>行业；制造商为</w:t>
      </w:r>
      <w:r>
        <w:rPr>
          <w:rFonts w:hint="eastAsia" w:ascii="新宋体" w:hAnsi="新宋体" w:eastAsia="新宋体"/>
          <w:u w:val="single"/>
        </w:rPr>
        <w:t>（企业名称）</w:t>
      </w:r>
      <w:r>
        <w:rPr>
          <w:rFonts w:hint="eastAsia" w:ascii="新宋体" w:hAnsi="新宋体" w:eastAsia="新宋体"/>
        </w:rPr>
        <w:t>，从业人员人，营业收入为万元，资产总额为万元</w:t>
      </w:r>
      <w:r>
        <w:fldChar w:fldCharType="begin"/>
      </w:r>
      <w:r>
        <w:instrText xml:space="preserve"> HYPERLINK \l "_bookmark1" </w:instrText>
      </w:r>
      <w:r>
        <w:fldChar w:fldCharType="separate"/>
      </w:r>
      <w:r>
        <w:rPr>
          <w:position w:val="16"/>
          <w:sz w:val="16"/>
        </w:rPr>
        <w:t>1</w:t>
      </w:r>
      <w:r>
        <w:rPr>
          <w:position w:val="16"/>
          <w:sz w:val="16"/>
        </w:rPr>
        <w:fldChar w:fldCharType="end"/>
      </w:r>
      <w:r>
        <w:rPr>
          <w:rFonts w:hint="eastAsia" w:ascii="新宋体" w:hAnsi="新宋体" w:eastAsia="新宋体"/>
        </w:rPr>
        <w:t>，属于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（请填写：中型企业、小型企业、微型企业）</w:t>
      </w:r>
      <w:r>
        <w:rPr>
          <w:rFonts w:hint="eastAsia" w:ascii="新宋体" w:hAnsi="新宋体" w:eastAsia="新宋体"/>
        </w:rPr>
        <w:t>；</w:t>
      </w:r>
    </w:p>
    <w:p>
      <w:pPr>
        <w:spacing w:line="360" w:lineRule="auto"/>
        <w:ind w:firstLine="420" w:firstLineChars="200"/>
        <w:rPr>
          <w:rFonts w:ascii="新宋体" w:hAnsi="新宋体" w:eastAsia="新宋体"/>
        </w:rPr>
      </w:pPr>
      <w:r>
        <w:rPr>
          <w:rFonts w:ascii="新宋体" w:hAnsi="新宋体" w:eastAsia="新宋体"/>
        </w:rPr>
        <w:t>2.</w:t>
      </w:r>
      <w:r>
        <w:rPr>
          <w:rFonts w:hint="eastAsia" w:ascii="新宋体" w:hAnsi="新宋体" w:eastAsia="新宋体"/>
          <w:u w:val="single"/>
        </w:rPr>
        <w:t>（标的名称）</w:t>
      </w:r>
      <w:r>
        <w:rPr>
          <w:rFonts w:hint="eastAsia" w:ascii="新宋体" w:hAnsi="新宋体" w:eastAsia="新宋体"/>
        </w:rPr>
        <w:t>，属于</w:t>
      </w:r>
      <w:r>
        <w:rPr>
          <w:rFonts w:hint="eastAsia" w:ascii="新宋体" w:hAnsi="新宋体" w:eastAsia="新宋体"/>
          <w:u w:val="single"/>
        </w:rPr>
        <w:t>（采购文件中明确的所属行业）行业</w:t>
      </w:r>
      <w:r>
        <w:rPr>
          <w:rFonts w:hint="eastAsia" w:ascii="新宋体" w:hAnsi="新宋体" w:eastAsia="新宋体"/>
        </w:rPr>
        <w:t>；制造商为</w:t>
      </w:r>
      <w:r>
        <w:rPr>
          <w:rFonts w:hint="eastAsia" w:ascii="新宋体" w:hAnsi="新宋体" w:eastAsia="新宋体"/>
          <w:u w:val="single"/>
        </w:rPr>
        <w:t>（企业名称）</w:t>
      </w:r>
      <w:r>
        <w:rPr>
          <w:rFonts w:hint="eastAsia" w:ascii="新宋体" w:hAnsi="新宋体" w:eastAsia="新宋体"/>
        </w:rPr>
        <w:t>，从业人员人，营业收入为万元，资产总额为万元，属于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（请填写：中型企业、小型企业、微型企业）</w:t>
      </w:r>
      <w:r>
        <w:rPr>
          <w:rFonts w:hint="eastAsia" w:ascii="新宋体" w:hAnsi="新宋体" w:eastAsia="新宋体"/>
        </w:rPr>
        <w:t>；</w:t>
      </w:r>
    </w:p>
    <w:p>
      <w:pPr>
        <w:spacing w:line="360" w:lineRule="auto"/>
        <w:ind w:firstLine="420" w:firstLineChars="200"/>
        <w:rPr>
          <w:rFonts w:ascii="新宋体" w:hAnsi="新宋体" w:eastAsia="新宋体"/>
        </w:rPr>
      </w:pPr>
      <w:r>
        <w:rPr>
          <w:rFonts w:hint="eastAsia" w:ascii="新宋体" w:hAnsi="新宋体" w:eastAsia="新宋体"/>
        </w:rPr>
        <w:t>……</w:t>
      </w:r>
    </w:p>
    <w:p>
      <w:pPr>
        <w:spacing w:line="360" w:lineRule="auto"/>
        <w:ind w:firstLine="420" w:firstLineChars="200"/>
        <w:rPr>
          <w:rFonts w:ascii="新宋体" w:hAnsi="新宋体" w:eastAsia="新宋体"/>
        </w:rPr>
      </w:pPr>
      <w:r>
        <w:rPr>
          <w:rFonts w:hint="eastAsia" w:ascii="新宋体" w:hAnsi="新宋体" w:eastAsia="新宋体"/>
        </w:rPr>
        <w:t>以上企业，不属于大企业的分支机构，不存在控股股东为大企业的情形，也不存在与大企业的负责人为同一人的情形。</w:t>
      </w:r>
    </w:p>
    <w:p>
      <w:pPr>
        <w:spacing w:line="360" w:lineRule="auto"/>
        <w:ind w:firstLine="420" w:firstLineChars="200"/>
        <w:rPr>
          <w:rFonts w:ascii="新宋体" w:hAnsi="新宋体" w:eastAsia="新宋体"/>
        </w:rPr>
      </w:pPr>
      <w:r>
        <w:rPr>
          <w:rFonts w:hint="eastAsia" w:ascii="新宋体" w:hAnsi="新宋体" w:eastAsia="新宋体"/>
        </w:rPr>
        <w:t>本企业对上述声明内容的真实性负责。如有虚假，将依法承担相应责任。</w:t>
      </w:r>
    </w:p>
    <w:p>
      <w:pPr>
        <w:spacing w:line="360" w:lineRule="auto"/>
        <w:ind w:firstLine="420" w:firstLineChars="200"/>
        <w:rPr>
          <w:rFonts w:ascii="新宋体" w:hAnsi="新宋体" w:eastAsia="新宋体"/>
        </w:rPr>
      </w:pPr>
      <w:r>
        <w:rPr>
          <w:rFonts w:hint="eastAsia" w:ascii="新宋体" w:hAnsi="新宋体" w:eastAsia="新宋体"/>
        </w:rPr>
        <w:t>备注：</w:t>
      </w:r>
      <w:r>
        <w:fldChar w:fldCharType="begin"/>
      </w:r>
      <w:r>
        <w:instrText xml:space="preserve"> HYPERLINK \l "_bookmark1" </w:instrText>
      </w:r>
      <w:r>
        <w:fldChar w:fldCharType="separate"/>
      </w:r>
      <w:r>
        <w:rPr>
          <w:position w:val="16"/>
          <w:sz w:val="16"/>
        </w:rPr>
        <w:t>1</w:t>
      </w:r>
      <w:r>
        <w:rPr>
          <w:position w:val="16"/>
          <w:sz w:val="16"/>
        </w:rPr>
        <w:fldChar w:fldCharType="end"/>
      </w:r>
      <w:r>
        <w:rPr>
          <w:rFonts w:hint="eastAsia" w:ascii="新宋体" w:hAnsi="新宋体" w:eastAsia="新宋体"/>
        </w:rPr>
        <w:t>从业人员、营业收入、资产总额填报上一年度数据，无上一年度数据的新成立企业可不填报。企业名称（盖章）：</w:t>
      </w:r>
    </w:p>
    <w:p>
      <w:pPr>
        <w:spacing w:line="360" w:lineRule="auto"/>
        <w:ind w:right="840" w:firstLine="5670" w:firstLineChars="2700"/>
        <w:rPr>
          <w:rFonts w:ascii="新宋体" w:hAnsi="新宋体" w:eastAsia="新宋体"/>
        </w:rPr>
      </w:pPr>
      <w:r>
        <w:rPr>
          <w:rFonts w:hint="eastAsia" w:ascii="新宋体" w:hAnsi="新宋体" w:eastAsia="新宋体"/>
        </w:rPr>
        <w:t>日期：</w:t>
      </w:r>
    </w:p>
    <w:p>
      <w:pPr>
        <w:spacing w:line="360" w:lineRule="auto"/>
        <w:ind w:firstLine="420" w:firstLineChars="200"/>
        <w:rPr>
          <w:rFonts w:ascii="新宋体" w:hAnsi="新宋体" w:eastAsia="新宋体"/>
          <w:szCs w:val="21"/>
        </w:rPr>
      </w:pPr>
    </w:p>
    <w:p>
      <w:pPr>
        <w:spacing w:line="360" w:lineRule="auto"/>
        <w:ind w:firstLine="420" w:firstLineChars="200"/>
        <w:rPr>
          <w:rFonts w:ascii="新宋体" w:hAnsi="新宋体" w:eastAsia="新宋体"/>
          <w:szCs w:val="21"/>
        </w:rPr>
      </w:pPr>
    </w:p>
    <w:p>
      <w:pPr>
        <w:wordWrap w:val="0"/>
        <w:spacing w:line="360" w:lineRule="auto"/>
        <w:ind w:right="420" w:firstLine="420" w:firstLineChars="200"/>
        <w:jc w:val="center"/>
        <w:rPr>
          <w:rFonts w:ascii="新宋体" w:hAnsi="新宋体" w:eastAsia="新宋体"/>
          <w:szCs w:val="21"/>
        </w:rPr>
      </w:pPr>
      <w:r>
        <w:rPr>
          <w:rFonts w:hint="eastAsia" w:ascii="新宋体" w:hAnsi="新宋体" w:eastAsia="新宋体"/>
          <w:szCs w:val="21"/>
        </w:rPr>
        <w:t xml:space="preserve">                                                  </w:t>
      </w:r>
    </w:p>
    <w:p>
      <w:pPr>
        <w:spacing w:line="360" w:lineRule="auto"/>
        <w:ind w:firstLine="420" w:firstLineChars="200"/>
        <w:rPr>
          <w:rFonts w:ascii="新宋体" w:hAnsi="新宋体" w:eastAsia="新宋体"/>
          <w:szCs w:val="21"/>
        </w:rPr>
      </w:pPr>
    </w:p>
    <w:p>
      <w:pPr>
        <w:wordWrap w:val="0"/>
        <w:spacing w:line="360" w:lineRule="auto"/>
        <w:ind w:firstLine="420" w:firstLineChars="200"/>
        <w:jc w:val="right"/>
        <w:rPr>
          <w:rFonts w:ascii="新宋体" w:hAnsi="新宋体" w:eastAsia="新宋体"/>
          <w:szCs w:val="21"/>
        </w:rPr>
      </w:pPr>
      <w:r>
        <w:rPr>
          <w:rFonts w:hint="eastAsia" w:ascii="新宋体" w:hAnsi="新宋体" w:eastAsia="新宋体"/>
          <w:szCs w:val="21"/>
        </w:rPr>
        <w:t xml:space="preserve">             </w:t>
      </w:r>
    </w:p>
    <w:p>
      <w:pPr>
        <w:spacing w:line="360" w:lineRule="auto"/>
        <w:ind w:firstLine="420" w:firstLineChars="200"/>
        <w:jc w:val="right"/>
        <w:rPr>
          <w:rFonts w:ascii="新宋体" w:hAnsi="新宋体" w:eastAsia="新宋体"/>
          <w:szCs w:val="21"/>
        </w:rPr>
      </w:pPr>
    </w:p>
    <w:p>
      <w:pPr>
        <w:spacing w:line="360" w:lineRule="auto"/>
        <w:jc w:val="center"/>
        <w:outlineLvl w:val="3"/>
        <w:rPr>
          <w:rFonts w:ascii="新宋体" w:hAnsi="新宋体" w:eastAsia="新宋体"/>
          <w:b/>
          <w:szCs w:val="21"/>
        </w:rPr>
      </w:pPr>
      <w:r>
        <w:rPr>
          <w:rFonts w:hint="eastAsia" w:ascii="新宋体" w:hAnsi="新宋体" w:eastAsia="新宋体"/>
          <w:b/>
          <w:szCs w:val="21"/>
        </w:rPr>
        <w:t>2、残疾人福利性单位声明函</w:t>
      </w:r>
    </w:p>
    <w:p>
      <w:pPr>
        <w:spacing w:line="360" w:lineRule="auto"/>
        <w:rPr>
          <w:rFonts w:ascii="新宋体" w:hAnsi="新宋体" w:eastAsia="新宋体"/>
          <w:b/>
          <w:bCs/>
          <w:szCs w:val="21"/>
        </w:rPr>
      </w:pPr>
    </w:p>
    <w:p>
      <w:pPr>
        <w:spacing w:line="360" w:lineRule="auto"/>
        <w:ind w:firstLine="420" w:firstLineChars="200"/>
        <w:rPr>
          <w:rFonts w:ascii="新宋体" w:hAnsi="新宋体" w:eastAsia="新宋体"/>
          <w:szCs w:val="21"/>
        </w:rPr>
      </w:pPr>
      <w:r>
        <w:rPr>
          <w:rFonts w:hint="eastAsia" w:ascii="新宋体" w:hAnsi="新宋体" w:eastAsia="新宋体"/>
          <w:szCs w:val="21"/>
        </w:rPr>
        <w:t>本单位郑重声明，根据《财政部民政部中国残疾人联合会关于促进残疾人就业政府采购政策的通知》（财库〔</w:t>
      </w:r>
      <w:r>
        <w:rPr>
          <w:rFonts w:ascii="新宋体" w:hAnsi="新宋体" w:eastAsia="新宋体"/>
          <w:szCs w:val="21"/>
        </w:rPr>
        <w:t>2017</w:t>
      </w:r>
      <w:r>
        <w:rPr>
          <w:rFonts w:hint="eastAsia" w:ascii="新宋体" w:hAnsi="新宋体" w:eastAsia="新宋体"/>
          <w:szCs w:val="21"/>
        </w:rPr>
        <w:t>〕</w:t>
      </w:r>
      <w:r>
        <w:rPr>
          <w:rFonts w:ascii="新宋体" w:hAnsi="新宋体" w:eastAsia="新宋体"/>
          <w:szCs w:val="21"/>
        </w:rPr>
        <w:t xml:space="preserve">141 </w:t>
      </w:r>
      <w:r>
        <w:rPr>
          <w:rFonts w:hint="eastAsia" w:ascii="新宋体" w:hAnsi="新宋体" w:eastAsia="新宋体"/>
          <w:szCs w:val="21"/>
        </w:rPr>
        <w:t>号）的规定，本单位为符合条件的残疾人福利性单位，且本单位参加</w:t>
      </w:r>
      <w:r>
        <w:rPr>
          <w:rFonts w:ascii="新宋体" w:hAnsi="新宋体" w:eastAsia="新宋体"/>
          <w:b/>
          <w:szCs w:val="21"/>
        </w:rPr>
        <w:t>_</w:t>
      </w:r>
      <w:r>
        <w:rPr>
          <w:rFonts w:hint="eastAsia" w:ascii="新宋体" w:hAnsi="新宋体" w:eastAsia="新宋体"/>
          <w:b/>
          <w:szCs w:val="21"/>
        </w:rPr>
        <w:t>（采购单位名称）</w:t>
      </w:r>
      <w:r>
        <w:rPr>
          <w:rFonts w:ascii="新宋体" w:hAnsi="新宋体" w:eastAsia="新宋体"/>
          <w:b/>
          <w:szCs w:val="21"/>
        </w:rPr>
        <w:t>_</w:t>
      </w:r>
      <w:r>
        <w:rPr>
          <w:rFonts w:hint="eastAsia" w:ascii="新宋体" w:hAnsi="新宋体" w:eastAsia="新宋体"/>
          <w:szCs w:val="21"/>
        </w:rPr>
        <w:t>单位的</w:t>
      </w:r>
      <w:r>
        <w:rPr>
          <w:rFonts w:ascii="新宋体" w:hAnsi="新宋体" w:eastAsia="新宋体"/>
          <w:b/>
          <w:szCs w:val="21"/>
        </w:rPr>
        <w:t>_</w:t>
      </w:r>
      <w:r>
        <w:rPr>
          <w:rFonts w:hint="eastAsia" w:ascii="新宋体" w:hAnsi="新宋体" w:eastAsia="新宋体"/>
          <w:b/>
          <w:szCs w:val="21"/>
        </w:rPr>
        <w:t>（采购项目名称）</w:t>
      </w:r>
      <w:r>
        <w:rPr>
          <w:rFonts w:hint="eastAsia" w:ascii="新宋体" w:hAnsi="新宋体" w:eastAsia="新宋体"/>
          <w:szCs w:val="21"/>
        </w:rPr>
        <w:t>项目采购活动，并提供</w:t>
      </w:r>
      <w:r>
        <w:rPr>
          <w:rFonts w:ascii="新宋体" w:hAnsi="新宋体" w:eastAsia="新宋体"/>
          <w:szCs w:val="21"/>
        </w:rPr>
        <w:t>:</w:t>
      </w:r>
      <w:r>
        <w:rPr>
          <w:rFonts w:hint="eastAsia" w:ascii="新宋体" w:hAnsi="新宋体" w:eastAsia="新宋体"/>
          <w:b/>
          <w:szCs w:val="21"/>
        </w:rPr>
        <w:t>□本单位制造的货物</w:t>
      </w:r>
      <w:r>
        <w:rPr>
          <w:rFonts w:ascii="新宋体" w:hAnsi="新宋体" w:eastAsia="新宋体"/>
          <w:b/>
          <w:szCs w:val="21"/>
        </w:rPr>
        <w:t>;</w:t>
      </w:r>
      <w:r>
        <w:rPr>
          <w:rFonts w:hint="eastAsia" w:ascii="新宋体" w:hAnsi="新宋体" w:eastAsia="新宋体"/>
          <w:b/>
          <w:szCs w:val="21"/>
        </w:rPr>
        <w:t>□提供其他残疾人福利性单位制造的货物（承诺人在□处打√）。</w:t>
      </w:r>
      <w:r>
        <w:rPr>
          <w:rFonts w:hint="eastAsia" w:ascii="新宋体" w:hAnsi="新宋体" w:eastAsia="新宋体"/>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360" w:lineRule="auto"/>
        <w:ind w:firstLine="420" w:firstLineChars="200"/>
        <w:rPr>
          <w:rFonts w:ascii="新宋体" w:hAnsi="新宋体" w:eastAsia="新宋体"/>
          <w:szCs w:val="21"/>
        </w:rPr>
      </w:pPr>
    </w:p>
    <w:p>
      <w:pPr>
        <w:spacing w:line="360" w:lineRule="auto"/>
        <w:ind w:right="840" w:firstLine="420" w:firstLineChars="200"/>
        <w:jc w:val="center"/>
        <w:rPr>
          <w:rFonts w:ascii="新宋体" w:hAnsi="新宋体" w:eastAsia="新宋体"/>
          <w:szCs w:val="21"/>
        </w:rPr>
      </w:pPr>
      <w:r>
        <w:rPr>
          <w:rFonts w:hint="eastAsia" w:ascii="新宋体" w:hAnsi="新宋体" w:eastAsia="新宋体"/>
          <w:szCs w:val="21"/>
        </w:rPr>
        <w:t xml:space="preserve">                                                       </w:t>
      </w:r>
    </w:p>
    <w:p>
      <w:pPr>
        <w:wordWrap w:val="0"/>
        <w:spacing w:line="360" w:lineRule="auto"/>
        <w:ind w:right="420" w:firstLine="420" w:firstLineChars="200"/>
        <w:jc w:val="center"/>
        <w:rPr>
          <w:rFonts w:ascii="新宋体" w:hAnsi="新宋体" w:eastAsia="新宋体"/>
          <w:szCs w:val="21"/>
        </w:rPr>
      </w:pPr>
      <w:r>
        <w:rPr>
          <w:rFonts w:hint="eastAsia" w:ascii="新宋体" w:hAnsi="新宋体" w:eastAsia="新宋体"/>
          <w:szCs w:val="21"/>
        </w:rPr>
        <w:t xml:space="preserve">                                                     </w:t>
      </w:r>
    </w:p>
    <w:p>
      <w:pPr>
        <w:spacing w:line="360" w:lineRule="auto"/>
        <w:ind w:firstLine="420" w:firstLineChars="200"/>
        <w:jc w:val="right"/>
        <w:rPr>
          <w:rFonts w:ascii="新宋体" w:hAnsi="新宋体" w:eastAsia="新宋体"/>
          <w:szCs w:val="21"/>
        </w:rPr>
      </w:pPr>
    </w:p>
    <w:p>
      <w:pPr>
        <w:spacing w:line="360" w:lineRule="auto"/>
        <w:jc w:val="center"/>
        <w:outlineLvl w:val="3"/>
        <w:rPr>
          <w:rFonts w:ascii="新宋体" w:hAnsi="新宋体" w:eastAsia="新宋体"/>
          <w:b/>
          <w:szCs w:val="21"/>
        </w:rPr>
      </w:pPr>
      <w:r>
        <w:rPr>
          <w:rFonts w:hint="eastAsia" w:ascii="新宋体" w:hAnsi="新宋体" w:eastAsia="新宋体"/>
          <w:b/>
          <w:szCs w:val="21"/>
        </w:rPr>
        <w:t>3、监狱企业声明函【监狱企业或者代理提供监狱企业货物的供应商如需享受优惠政策，还须同时提供省级以上监狱管理局、戒毒管理局（含新疆生产建设兵团）出具的监狱企业证明文件】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本单位郑重声明，根据《财政部司法部关于政府采购支持监狱企业发展有关问题的通知》（财库〔</w:t>
      </w:r>
      <w:r>
        <w:rPr>
          <w:rFonts w:ascii="新宋体" w:hAnsi="新宋体" w:eastAsia="新宋体"/>
          <w:szCs w:val="21"/>
        </w:rPr>
        <w:t>2014</w:t>
      </w:r>
      <w:r>
        <w:rPr>
          <w:rFonts w:hint="eastAsia" w:ascii="新宋体" w:hAnsi="新宋体" w:eastAsia="新宋体"/>
          <w:szCs w:val="21"/>
        </w:rPr>
        <w:t>〕</w:t>
      </w:r>
      <w:r>
        <w:rPr>
          <w:rFonts w:ascii="新宋体" w:hAnsi="新宋体" w:eastAsia="新宋体"/>
          <w:szCs w:val="21"/>
        </w:rPr>
        <w:t>68</w:t>
      </w:r>
      <w:r>
        <w:rPr>
          <w:rFonts w:hint="eastAsia" w:ascii="新宋体" w:hAnsi="新宋体" w:eastAsia="新宋体"/>
          <w:szCs w:val="21"/>
        </w:rPr>
        <w:t>号）的规定，本单位为符合条件的监狱企业，且本单位参加</w:t>
      </w:r>
      <w:r>
        <w:rPr>
          <w:rFonts w:ascii="新宋体" w:hAnsi="新宋体" w:eastAsia="新宋体"/>
          <w:b/>
          <w:szCs w:val="21"/>
        </w:rPr>
        <w:t>_</w:t>
      </w:r>
      <w:r>
        <w:rPr>
          <w:rFonts w:hint="eastAsia" w:ascii="新宋体" w:hAnsi="新宋体" w:eastAsia="新宋体"/>
          <w:b/>
          <w:szCs w:val="21"/>
        </w:rPr>
        <w:t>（采购单位名称）</w:t>
      </w:r>
      <w:r>
        <w:rPr>
          <w:rFonts w:ascii="新宋体" w:hAnsi="新宋体" w:eastAsia="新宋体"/>
          <w:b/>
          <w:szCs w:val="21"/>
        </w:rPr>
        <w:t>_</w:t>
      </w:r>
      <w:r>
        <w:rPr>
          <w:rFonts w:hint="eastAsia" w:ascii="新宋体" w:hAnsi="新宋体" w:eastAsia="新宋体"/>
          <w:szCs w:val="21"/>
        </w:rPr>
        <w:t>单位的</w:t>
      </w:r>
      <w:r>
        <w:rPr>
          <w:rFonts w:hint="eastAsia" w:ascii="新宋体" w:hAnsi="新宋体" w:eastAsia="新宋体"/>
          <w:b/>
          <w:szCs w:val="21"/>
        </w:rPr>
        <w:t>_（采购项目名称）_</w:t>
      </w:r>
      <w:r>
        <w:rPr>
          <w:rFonts w:hint="eastAsia" w:ascii="新宋体" w:hAnsi="新宋体" w:eastAsia="新宋体"/>
          <w:szCs w:val="21"/>
        </w:rPr>
        <w:t>项目采购活动，并提供</w:t>
      </w:r>
      <w:r>
        <w:rPr>
          <w:rFonts w:ascii="新宋体" w:hAnsi="新宋体" w:eastAsia="新宋体"/>
          <w:szCs w:val="21"/>
        </w:rPr>
        <w:t>:</w:t>
      </w:r>
      <w:r>
        <w:rPr>
          <w:rFonts w:hint="eastAsia" w:ascii="新宋体" w:hAnsi="新宋体" w:eastAsia="新宋体"/>
          <w:b/>
          <w:szCs w:val="21"/>
        </w:rPr>
        <w:t>□本单位制造的货物</w:t>
      </w:r>
      <w:r>
        <w:rPr>
          <w:rFonts w:ascii="新宋体" w:hAnsi="新宋体" w:eastAsia="新宋体"/>
          <w:b/>
          <w:szCs w:val="21"/>
        </w:rPr>
        <w:t>;</w:t>
      </w:r>
      <w:r>
        <w:rPr>
          <w:rFonts w:hint="eastAsia" w:ascii="新宋体" w:hAnsi="新宋体" w:eastAsia="新宋体"/>
          <w:b/>
          <w:szCs w:val="21"/>
        </w:rPr>
        <w:t>□提供其他监狱企业制造的货物（承诺人在□处打√）</w:t>
      </w:r>
      <w:r>
        <w:rPr>
          <w:rFonts w:hint="eastAsia" w:ascii="新宋体" w:hAnsi="新宋体" w:eastAsia="新宋体"/>
          <w:szCs w:val="21"/>
        </w:rPr>
        <w:t>。本条所称货物是指单一产品采购项目中的货物，或者非单一产品采购项目中的核心产品（货物）。</w:t>
      </w:r>
    </w:p>
    <w:p>
      <w:pPr>
        <w:spacing w:line="360" w:lineRule="auto"/>
        <w:ind w:firstLine="420" w:firstLineChars="200"/>
        <w:rPr>
          <w:rFonts w:ascii="新宋体" w:hAnsi="新宋体" w:eastAsia="新宋体"/>
          <w:szCs w:val="21"/>
        </w:rPr>
      </w:pPr>
      <w:r>
        <w:rPr>
          <w:rFonts w:hint="eastAsia" w:ascii="新宋体" w:hAnsi="新宋体" w:eastAsia="新宋体"/>
          <w:szCs w:val="21"/>
        </w:rPr>
        <w:t>本单位对上述声明的真实性负责。如有虚假，将依法承担相应责任。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附：省级以上监狱管理局、戒毒管理局（含新疆生产建设兵团）出具的监狱企业证明文件。</w:t>
      </w:r>
    </w:p>
    <w:p>
      <w:pPr>
        <w:spacing w:line="360" w:lineRule="auto"/>
        <w:rPr>
          <w:rFonts w:ascii="新宋体" w:hAnsi="新宋体" w:eastAsia="新宋体"/>
          <w:szCs w:val="21"/>
        </w:rPr>
      </w:pPr>
    </w:p>
    <w:p>
      <w:pPr>
        <w:spacing w:line="360" w:lineRule="auto"/>
        <w:outlineLvl w:val="3"/>
        <w:rPr>
          <w:rFonts w:ascii="新宋体" w:hAnsi="新宋体" w:eastAsia="新宋体"/>
          <w:b/>
          <w:szCs w:val="21"/>
        </w:rPr>
      </w:pPr>
      <w:r>
        <w:rPr>
          <w:rFonts w:hint="eastAsia" w:ascii="新宋体" w:hAnsi="新宋体" w:eastAsia="新宋体"/>
          <w:b/>
          <w:szCs w:val="21"/>
        </w:rPr>
        <w:t>（八）疫情防控证明文件（可选）</w:t>
      </w:r>
    </w:p>
    <w:p>
      <w:pPr>
        <w:spacing w:line="360" w:lineRule="auto"/>
        <w:outlineLvl w:val="3"/>
        <w:rPr>
          <w:rFonts w:ascii="新宋体" w:hAnsi="新宋体" w:eastAsia="新宋体"/>
          <w:b/>
          <w:bCs/>
          <w:color w:val="FF0000"/>
          <w:szCs w:val="21"/>
        </w:rPr>
      </w:pPr>
      <w:r>
        <w:rPr>
          <w:rFonts w:hint="eastAsia" w:ascii="新宋体" w:hAnsi="新宋体" w:eastAsia="新宋体"/>
          <w:b/>
          <w:bCs/>
          <w:color w:val="FF0000"/>
          <w:szCs w:val="21"/>
        </w:rPr>
        <w:t>（特别提示：对照相关评分因素及评分准则提供相关资料，以便评委判断得分情况。）</w:t>
      </w:r>
    </w:p>
    <w:p>
      <w:pPr>
        <w:spacing w:line="360" w:lineRule="auto"/>
        <w:outlineLvl w:val="3"/>
        <w:rPr>
          <w:rFonts w:ascii="新宋体" w:hAnsi="新宋体" w:eastAsia="新宋体"/>
          <w:b/>
          <w:szCs w:val="21"/>
        </w:rPr>
      </w:pPr>
    </w:p>
    <w:p>
      <w:pPr>
        <w:spacing w:line="360" w:lineRule="auto"/>
        <w:outlineLvl w:val="3"/>
        <w:rPr>
          <w:rFonts w:ascii="新宋体" w:hAnsi="新宋体" w:eastAsia="新宋体"/>
          <w:b/>
          <w:szCs w:val="21"/>
        </w:rPr>
      </w:pPr>
      <w:r>
        <w:rPr>
          <w:rFonts w:hint="eastAsia" w:ascii="新宋体" w:hAnsi="新宋体" w:eastAsia="新宋体"/>
          <w:b/>
          <w:szCs w:val="21"/>
        </w:rPr>
        <w:t>（九）投标人认为需提供的其他证明文件</w:t>
      </w:r>
    </w:p>
    <w:p>
      <w:pPr>
        <w:rPr>
          <w:b/>
          <w:bCs/>
          <w:color w:val="FF0000"/>
          <w:sz w:val="24"/>
        </w:rPr>
      </w:pPr>
    </w:p>
    <w:p>
      <w:pPr>
        <w:rPr>
          <w:b/>
          <w:bCs/>
        </w:rPr>
      </w:pPr>
    </w:p>
    <w:p>
      <w:pPr>
        <w:pStyle w:val="4"/>
        <w:jc w:val="center"/>
        <w:rPr>
          <w:b w:val="0"/>
          <w:sz w:val="24"/>
          <w:szCs w:val="24"/>
        </w:rPr>
      </w:pPr>
      <w:r>
        <w:rPr>
          <w:rFonts w:hint="eastAsia" w:ascii="黑体" w:eastAsia="黑体"/>
          <w:b w:val="0"/>
          <w:sz w:val="24"/>
          <w:szCs w:val="24"/>
        </w:rPr>
        <w:t>五、货物说明一览表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26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新宋体" w:hAnsi="新宋体" w:eastAsia="新宋体"/>
                <w:szCs w:val="21"/>
              </w:rPr>
            </w:pPr>
            <w:r>
              <w:rPr>
                <w:rFonts w:hint="eastAsia" w:ascii="新宋体" w:hAnsi="新宋体" w:eastAsia="新宋体"/>
                <w:szCs w:val="21"/>
              </w:rPr>
              <w:t>序号</w:t>
            </w:r>
          </w:p>
        </w:tc>
        <w:tc>
          <w:tcPr>
            <w:tcW w:w="1620" w:type="dxa"/>
          </w:tcPr>
          <w:p>
            <w:pPr>
              <w:jc w:val="center"/>
              <w:rPr>
                <w:rFonts w:ascii="新宋体" w:hAnsi="新宋体" w:eastAsia="新宋体"/>
                <w:szCs w:val="21"/>
              </w:rPr>
            </w:pPr>
            <w:r>
              <w:rPr>
                <w:rFonts w:hint="eastAsia" w:ascii="新宋体" w:hAnsi="新宋体" w:eastAsia="新宋体"/>
                <w:szCs w:val="21"/>
              </w:rPr>
              <w:t>货物名称</w:t>
            </w:r>
          </w:p>
        </w:tc>
        <w:tc>
          <w:tcPr>
            <w:tcW w:w="1260" w:type="dxa"/>
          </w:tcPr>
          <w:p>
            <w:pPr>
              <w:jc w:val="center"/>
              <w:rPr>
                <w:rFonts w:ascii="新宋体" w:hAnsi="新宋体" w:eastAsia="新宋体"/>
                <w:szCs w:val="21"/>
              </w:rPr>
            </w:pPr>
            <w:r>
              <w:rPr>
                <w:rFonts w:hint="eastAsia" w:ascii="新宋体" w:hAnsi="新宋体" w:eastAsia="新宋体"/>
                <w:szCs w:val="21"/>
              </w:rPr>
              <w:t>型号</w:t>
            </w:r>
          </w:p>
        </w:tc>
        <w:tc>
          <w:tcPr>
            <w:tcW w:w="1260" w:type="dxa"/>
          </w:tcPr>
          <w:p>
            <w:pPr>
              <w:jc w:val="center"/>
              <w:rPr>
                <w:rFonts w:ascii="新宋体" w:hAnsi="新宋体" w:eastAsia="新宋体"/>
                <w:szCs w:val="21"/>
              </w:rPr>
            </w:pPr>
            <w:r>
              <w:rPr>
                <w:rFonts w:hint="eastAsia" w:ascii="新宋体" w:hAnsi="新宋体" w:eastAsia="新宋体"/>
                <w:szCs w:val="21"/>
              </w:rPr>
              <w:t>数量</w:t>
            </w:r>
          </w:p>
        </w:tc>
        <w:tc>
          <w:tcPr>
            <w:tcW w:w="1440" w:type="dxa"/>
          </w:tcPr>
          <w:p>
            <w:pPr>
              <w:jc w:val="center"/>
              <w:rPr>
                <w:rFonts w:ascii="新宋体" w:hAnsi="新宋体" w:eastAsia="新宋体"/>
                <w:szCs w:val="21"/>
              </w:rPr>
            </w:pPr>
            <w:r>
              <w:rPr>
                <w:rFonts w:hint="eastAsia" w:ascii="新宋体" w:hAnsi="新宋体" w:eastAsia="新宋体"/>
                <w:szCs w:val="21"/>
              </w:rPr>
              <w:t>单位</w:t>
            </w:r>
          </w:p>
        </w:tc>
        <w:tc>
          <w:tcPr>
            <w:tcW w:w="1440" w:type="dxa"/>
          </w:tcPr>
          <w:p>
            <w:pPr>
              <w:jc w:val="center"/>
              <w:rPr>
                <w:rFonts w:ascii="新宋体" w:hAnsi="新宋体" w:eastAsia="新宋体"/>
                <w:szCs w:val="21"/>
              </w:rPr>
            </w:pPr>
            <w:r>
              <w:rPr>
                <w:rFonts w:hint="eastAsia" w:ascii="新宋体" w:hAnsi="新宋体" w:eastAsia="新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bl>
    <w:p>
      <w:pPr>
        <w:rPr>
          <w:sz w:val="24"/>
        </w:rPr>
      </w:pPr>
    </w:p>
    <w:p>
      <w:pPr>
        <w:rPr>
          <w:sz w:val="24"/>
        </w:rPr>
      </w:pPr>
    </w:p>
    <w:p>
      <w:pPr>
        <w:rPr>
          <w:sz w:val="24"/>
        </w:rPr>
      </w:pPr>
    </w:p>
    <w:p>
      <w:pPr>
        <w:pStyle w:val="4"/>
        <w:jc w:val="center"/>
        <w:rPr>
          <w:rFonts w:ascii="黑体" w:eastAsia="黑体"/>
          <w:b w:val="0"/>
          <w:sz w:val="24"/>
          <w:szCs w:val="24"/>
        </w:rPr>
      </w:pPr>
      <w:r>
        <w:rPr>
          <w:rFonts w:hint="eastAsia" w:ascii="黑体" w:eastAsia="黑体"/>
          <w:b w:val="0"/>
          <w:sz w:val="24"/>
          <w:szCs w:val="24"/>
        </w:rPr>
        <w:t>六、技术规格偏离表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r>
              <w:rPr>
                <w:rFonts w:hint="eastAsia" w:ascii="新宋体" w:hAnsi="新宋体" w:eastAsia="新宋体"/>
                <w:szCs w:val="21"/>
              </w:rPr>
              <w:t>序号</w:t>
            </w:r>
          </w:p>
        </w:tc>
        <w:tc>
          <w:tcPr>
            <w:tcW w:w="1356" w:type="dxa"/>
          </w:tcPr>
          <w:p>
            <w:pPr>
              <w:rPr>
                <w:rFonts w:ascii="新宋体" w:hAnsi="新宋体" w:eastAsia="新宋体"/>
                <w:szCs w:val="21"/>
              </w:rPr>
            </w:pPr>
            <w:r>
              <w:rPr>
                <w:rFonts w:hint="eastAsia" w:ascii="新宋体" w:hAnsi="新宋体" w:eastAsia="新宋体"/>
                <w:szCs w:val="21"/>
              </w:rPr>
              <w:t>货物名称</w:t>
            </w:r>
          </w:p>
        </w:tc>
        <w:tc>
          <w:tcPr>
            <w:tcW w:w="1356" w:type="dxa"/>
          </w:tcPr>
          <w:p>
            <w:pPr>
              <w:rPr>
                <w:rFonts w:ascii="新宋体" w:hAnsi="新宋体" w:eastAsia="新宋体"/>
                <w:szCs w:val="21"/>
              </w:rPr>
            </w:pPr>
            <w:r>
              <w:rPr>
                <w:rFonts w:hint="eastAsia" w:ascii="新宋体" w:hAnsi="新宋体" w:eastAsia="新宋体"/>
                <w:szCs w:val="21"/>
              </w:rPr>
              <w:t>招标技术要求</w:t>
            </w:r>
          </w:p>
        </w:tc>
        <w:tc>
          <w:tcPr>
            <w:tcW w:w="1356" w:type="dxa"/>
          </w:tcPr>
          <w:p>
            <w:pPr>
              <w:rPr>
                <w:rFonts w:ascii="新宋体" w:hAnsi="新宋体" w:eastAsia="新宋体"/>
                <w:szCs w:val="21"/>
              </w:rPr>
            </w:pPr>
            <w:r>
              <w:rPr>
                <w:rFonts w:hint="eastAsia" w:ascii="新宋体" w:hAnsi="新宋体" w:eastAsia="新宋体"/>
                <w:szCs w:val="21"/>
              </w:rPr>
              <w:t>投标技术响应</w:t>
            </w:r>
          </w:p>
        </w:tc>
        <w:tc>
          <w:tcPr>
            <w:tcW w:w="1484" w:type="dxa"/>
          </w:tcPr>
          <w:p>
            <w:pPr>
              <w:rPr>
                <w:rFonts w:ascii="新宋体" w:hAnsi="新宋体" w:eastAsia="新宋体"/>
                <w:szCs w:val="21"/>
              </w:rPr>
            </w:pPr>
            <w:r>
              <w:rPr>
                <w:rFonts w:hint="eastAsia" w:ascii="新宋体" w:hAnsi="新宋体" w:eastAsia="新宋体"/>
                <w:szCs w:val="21"/>
              </w:rPr>
              <w:t>偏离情况</w:t>
            </w:r>
          </w:p>
        </w:tc>
        <w:tc>
          <w:tcPr>
            <w:tcW w:w="1530" w:type="dxa"/>
          </w:tcPr>
          <w:p>
            <w:pPr>
              <w:rPr>
                <w:rFonts w:ascii="新宋体" w:hAnsi="新宋体" w:eastAsia="新宋体"/>
                <w:szCs w:val="21"/>
              </w:rPr>
            </w:pPr>
            <w:r>
              <w:rPr>
                <w:rFonts w:hint="eastAsia" w:ascii="新宋体" w:hAnsi="新宋体" w:eastAsia="新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bl>
    <w:p>
      <w:pPr>
        <w:spacing w:line="360" w:lineRule="auto"/>
        <w:rPr>
          <w:rFonts w:ascii="新宋体" w:hAnsi="新宋体" w:eastAsia="新宋体"/>
          <w:szCs w:val="21"/>
        </w:rPr>
      </w:pPr>
      <w:r>
        <w:rPr>
          <w:rFonts w:hint="eastAsia" w:ascii="新宋体" w:hAnsi="新宋体" w:eastAsia="新宋体"/>
          <w:szCs w:val="21"/>
        </w:rPr>
        <w:t>备注：</w:t>
      </w:r>
    </w:p>
    <w:p>
      <w:pPr>
        <w:spacing w:line="360" w:lineRule="auto"/>
        <w:rPr>
          <w:rFonts w:ascii="新宋体" w:hAnsi="新宋体" w:eastAsia="新宋体"/>
          <w:color w:val="FF0000"/>
          <w:szCs w:val="21"/>
        </w:rPr>
      </w:pPr>
      <w:r>
        <w:rPr>
          <w:rFonts w:hint="eastAsia" w:ascii="新宋体" w:hAnsi="新宋体" w:eastAsia="新宋体"/>
          <w:color w:val="FF0000"/>
          <w:szCs w:val="21"/>
        </w:rPr>
        <w:t>1、“招标技术要求”一栏应</w:t>
      </w:r>
      <w:r>
        <w:rPr>
          <w:rFonts w:hint="eastAsia" w:ascii="新宋体" w:hAnsi="新宋体" w:eastAsia="新宋体"/>
          <w:b/>
          <w:color w:val="FF0000"/>
          <w:szCs w:val="21"/>
        </w:rPr>
        <w:t>填写招标文件第二章</w:t>
      </w:r>
      <w:r>
        <w:rPr>
          <w:rFonts w:hint="eastAsia" w:ascii="新宋体" w:hAnsi="新宋体" w:eastAsia="新宋体"/>
          <w:color w:val="FF0000"/>
          <w:szCs w:val="21"/>
        </w:rPr>
        <w:t>“具体技术要求”的内容；</w:t>
      </w:r>
    </w:p>
    <w:p>
      <w:pPr>
        <w:spacing w:line="360" w:lineRule="auto"/>
        <w:rPr>
          <w:rFonts w:ascii="新宋体" w:hAnsi="新宋体" w:eastAsia="新宋体"/>
          <w:color w:val="FF0000"/>
          <w:szCs w:val="21"/>
        </w:rPr>
      </w:pPr>
      <w:r>
        <w:rPr>
          <w:rFonts w:hint="eastAsia" w:ascii="新宋体" w:hAnsi="新宋体" w:eastAsia="新宋体"/>
          <w:color w:val="FF0000"/>
          <w:szCs w:val="21"/>
        </w:rPr>
        <w:t>2、“投标技术响应”一栏必须详细填写投标产品的具体参数，并应对照招标技术要求一一对应响应；</w:t>
      </w:r>
    </w:p>
    <w:p>
      <w:pPr>
        <w:spacing w:line="360" w:lineRule="auto"/>
        <w:rPr>
          <w:rFonts w:ascii="新宋体" w:hAnsi="新宋体" w:eastAsia="新宋体"/>
          <w:color w:val="FF0000"/>
          <w:szCs w:val="21"/>
        </w:rPr>
      </w:pPr>
      <w:r>
        <w:rPr>
          <w:rFonts w:hint="eastAsia" w:ascii="新宋体" w:hAnsi="新宋体" w:eastAsia="新宋体"/>
          <w:color w:val="FF0000"/>
          <w:szCs w:val="21"/>
        </w:rPr>
        <w:t>3、“偏离情况”一栏应如实填写“正偏离”、“负偏离”或“无偏离”。</w:t>
      </w:r>
    </w:p>
    <w:p>
      <w:pPr>
        <w:spacing w:line="360" w:lineRule="auto"/>
        <w:rPr>
          <w:rFonts w:ascii="新宋体" w:hAnsi="新宋体" w:eastAsia="新宋体"/>
          <w:color w:val="FF0000"/>
          <w:szCs w:val="21"/>
        </w:rPr>
      </w:pPr>
      <w:r>
        <w:rPr>
          <w:rFonts w:hint="eastAsia" w:ascii="新宋体" w:hAnsi="新宋体" w:eastAsia="新宋体"/>
          <w:color w:val="FF0000"/>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pPr>
        <w:spacing w:line="360" w:lineRule="auto"/>
        <w:rPr>
          <w:rFonts w:ascii="新宋体" w:hAnsi="新宋体" w:eastAsia="新宋体"/>
          <w:color w:val="FF0000"/>
          <w:szCs w:val="21"/>
        </w:rPr>
      </w:pPr>
      <w:r>
        <w:rPr>
          <w:rFonts w:hint="eastAsia" w:ascii="新宋体" w:hAnsi="新宋体" w:eastAsia="新宋体"/>
          <w:color w:val="FF0000"/>
          <w:szCs w:val="21"/>
        </w:rPr>
        <w:t>5、投标人所填写的“偏离情况”与评审委员会判定不一致时</w:t>
      </w:r>
      <w:r>
        <w:rPr>
          <w:rFonts w:hint="eastAsia" w:ascii="新宋体" w:hAnsi="新宋体" w:eastAsia="新宋体"/>
          <w:b/>
          <w:color w:val="FF0000"/>
          <w:szCs w:val="21"/>
        </w:rPr>
        <w:t>，以评审委员会意见为主。另，判定结果不一致的参数超过一定数量的，则评分项“技术偏离情况”将不得分（即计为0分）。</w:t>
      </w:r>
    </w:p>
    <w:p>
      <w:pPr>
        <w:spacing w:line="360" w:lineRule="auto"/>
        <w:rPr>
          <w:rFonts w:ascii="新宋体" w:hAnsi="新宋体" w:eastAsia="新宋体"/>
          <w:color w:val="FF0000"/>
          <w:szCs w:val="21"/>
        </w:rPr>
      </w:pPr>
      <w:r>
        <w:rPr>
          <w:rFonts w:hint="eastAsia" w:ascii="新宋体" w:hAnsi="新宋体" w:eastAsia="新宋体"/>
          <w:b/>
          <w:color w:val="FF0000"/>
          <w:szCs w:val="21"/>
        </w:rPr>
        <w:t>一定数量的设置：</w:t>
      </w:r>
      <w:r>
        <w:rPr>
          <w:rFonts w:hint="eastAsia" w:ascii="新宋体" w:hAnsi="新宋体" w:eastAsia="新宋体"/>
          <w:color w:val="FF0000"/>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pPr>
        <w:spacing w:line="360" w:lineRule="auto"/>
        <w:rPr>
          <w:rFonts w:ascii="新宋体" w:hAnsi="新宋体" w:eastAsia="新宋体"/>
          <w:b/>
          <w:color w:val="FF0000"/>
          <w:szCs w:val="21"/>
        </w:rPr>
      </w:pPr>
      <w:r>
        <w:rPr>
          <w:rFonts w:hint="eastAsia" w:ascii="新宋体" w:hAnsi="新宋体" w:eastAsia="新宋体"/>
          <w:szCs w:val="21"/>
        </w:rPr>
        <w:t>6、投标产品的技术参数应按</w:t>
      </w:r>
      <w:r>
        <w:rPr>
          <w:rFonts w:hint="eastAsia" w:ascii="新宋体" w:hAnsi="新宋体" w:eastAsia="新宋体"/>
          <w:color w:val="FF0000"/>
          <w:szCs w:val="21"/>
        </w:rPr>
        <w:t>《技术规格偏离表》中的要求</w:t>
      </w:r>
      <w:r>
        <w:rPr>
          <w:rFonts w:hint="eastAsia" w:ascii="新宋体" w:hAnsi="新宋体" w:eastAsia="新宋体"/>
          <w:szCs w:val="21"/>
        </w:rPr>
        <w:t>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hint="eastAsia" w:ascii="新宋体" w:hAnsi="新宋体" w:eastAsia="新宋体"/>
          <w:b/>
          <w:color w:val="FF0000"/>
          <w:szCs w:val="21"/>
        </w:rPr>
        <w:t>若《技术规格偏离表》中未要求提供相应证明材料的，投标人可以不提供。</w:t>
      </w:r>
    </w:p>
    <w:p>
      <w:pPr>
        <w:spacing w:line="360" w:lineRule="auto"/>
        <w:rPr>
          <w:rFonts w:ascii="新宋体" w:hAnsi="新宋体" w:eastAsia="新宋体"/>
          <w:szCs w:val="21"/>
        </w:rPr>
      </w:pPr>
      <w:r>
        <w:rPr>
          <w:rFonts w:hint="eastAsia" w:ascii="新宋体" w:hAnsi="新宋体" w:eastAsia="新宋体"/>
          <w:szCs w:val="21"/>
        </w:rPr>
        <w:t>7、证明资料（均为扫描件）的提供要求：</w:t>
      </w:r>
    </w:p>
    <w:p>
      <w:pPr>
        <w:spacing w:line="360" w:lineRule="auto"/>
        <w:rPr>
          <w:rFonts w:ascii="新宋体" w:hAnsi="新宋体" w:eastAsia="新宋体"/>
          <w:szCs w:val="21"/>
        </w:rPr>
      </w:pPr>
      <w:r>
        <w:rPr>
          <w:rFonts w:hint="eastAsia" w:ascii="新宋体" w:hAnsi="新宋体" w:eastAsia="新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rPr>
          <w:rFonts w:ascii="新宋体" w:hAnsi="新宋体" w:eastAsia="新宋体"/>
          <w:szCs w:val="21"/>
        </w:rPr>
      </w:pPr>
      <w:r>
        <w:rPr>
          <w:rFonts w:hint="eastAsia" w:ascii="新宋体" w:hAnsi="新宋体" w:eastAsia="新宋体"/>
          <w:szCs w:val="21"/>
        </w:rPr>
        <w:t>（2）我国政府机构出具的产品检验和核准证件应为证件正面、背面和附件标注的全部具体内容；产品检验和核准证件的尺寸和清晰度应该能够在电脑上被阅读、识别和判断。</w:t>
      </w:r>
    </w:p>
    <w:p>
      <w:pPr>
        <w:spacing w:line="360" w:lineRule="auto"/>
        <w:rPr>
          <w:rFonts w:ascii="新宋体" w:hAnsi="新宋体" w:eastAsia="新宋体"/>
          <w:szCs w:val="21"/>
        </w:rPr>
      </w:pPr>
      <w:r>
        <w:rPr>
          <w:rFonts w:hint="eastAsia" w:ascii="新宋体" w:hAnsi="新宋体" w:eastAsia="新宋体"/>
          <w:szCs w:val="21"/>
        </w:rPr>
        <w:t>8、评审委员会有权对以谋取中标为目的的技术规格模糊响应（如有意照搬照抄招标文件的技术要求）或虚假响应予以认定，并视情况经集中采购机构报市政府采购监督管理部门予以处罚。</w:t>
      </w:r>
    </w:p>
    <w:p>
      <w:pPr>
        <w:spacing w:line="360" w:lineRule="auto"/>
        <w:rPr>
          <w:rFonts w:ascii="新宋体" w:hAnsi="新宋体" w:eastAsia="新宋体"/>
          <w:szCs w:val="21"/>
        </w:rPr>
      </w:pPr>
    </w:p>
    <w:p>
      <w:pPr>
        <w:pStyle w:val="4"/>
        <w:spacing w:line="360" w:lineRule="auto"/>
        <w:jc w:val="center"/>
        <w:rPr>
          <w:rFonts w:ascii="新宋体" w:hAnsi="新宋体" w:eastAsia="新宋体"/>
          <w:b w:val="0"/>
          <w:bCs w:val="0"/>
          <w:sz w:val="21"/>
          <w:szCs w:val="21"/>
        </w:rPr>
      </w:pPr>
      <w:r>
        <w:rPr>
          <w:rFonts w:hint="eastAsia" w:ascii="新宋体" w:hAnsi="新宋体" w:eastAsia="新宋体"/>
          <w:b w:val="0"/>
          <w:bCs w:val="0"/>
          <w:sz w:val="21"/>
          <w:szCs w:val="21"/>
        </w:rPr>
        <w:t>七、商务需求偏离表</w:t>
      </w:r>
    </w:p>
    <w:tbl>
      <w:tblPr>
        <w:tblStyle w:val="4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序号</w:t>
            </w:r>
          </w:p>
        </w:tc>
        <w:tc>
          <w:tcPr>
            <w:tcW w:w="1080" w:type="dxa"/>
          </w:tcPr>
          <w:p>
            <w:pPr>
              <w:spacing w:line="360" w:lineRule="auto"/>
              <w:rPr>
                <w:rFonts w:ascii="新宋体" w:hAnsi="新宋体" w:eastAsia="新宋体"/>
                <w:szCs w:val="21"/>
              </w:rPr>
            </w:pPr>
            <w:r>
              <w:rPr>
                <w:rFonts w:hint="eastAsia" w:ascii="新宋体" w:hAnsi="新宋体" w:eastAsia="新宋体"/>
                <w:szCs w:val="21"/>
              </w:rPr>
              <w:t>目录</w:t>
            </w:r>
          </w:p>
        </w:tc>
        <w:tc>
          <w:tcPr>
            <w:tcW w:w="1980" w:type="dxa"/>
          </w:tcPr>
          <w:p>
            <w:pPr>
              <w:spacing w:line="360" w:lineRule="auto"/>
              <w:rPr>
                <w:rFonts w:ascii="新宋体" w:hAnsi="新宋体" w:eastAsia="新宋体"/>
                <w:szCs w:val="21"/>
              </w:rPr>
            </w:pPr>
            <w:r>
              <w:rPr>
                <w:rFonts w:hint="eastAsia" w:ascii="新宋体" w:hAnsi="新宋体" w:eastAsia="新宋体"/>
                <w:szCs w:val="21"/>
              </w:rPr>
              <w:t>招标商务条款</w:t>
            </w:r>
          </w:p>
        </w:tc>
        <w:tc>
          <w:tcPr>
            <w:tcW w:w="1980" w:type="dxa"/>
          </w:tcPr>
          <w:p>
            <w:pPr>
              <w:spacing w:line="360" w:lineRule="auto"/>
              <w:rPr>
                <w:rFonts w:ascii="新宋体" w:hAnsi="新宋体" w:eastAsia="新宋体"/>
                <w:szCs w:val="21"/>
              </w:rPr>
            </w:pPr>
            <w:r>
              <w:rPr>
                <w:rFonts w:hint="eastAsia" w:ascii="新宋体" w:hAnsi="新宋体" w:eastAsia="新宋体"/>
                <w:szCs w:val="21"/>
              </w:rPr>
              <w:t>投标商务条款</w:t>
            </w:r>
          </w:p>
        </w:tc>
        <w:tc>
          <w:tcPr>
            <w:tcW w:w="1440" w:type="dxa"/>
          </w:tcPr>
          <w:p>
            <w:pPr>
              <w:spacing w:line="360" w:lineRule="auto"/>
              <w:rPr>
                <w:rFonts w:ascii="新宋体" w:hAnsi="新宋体" w:eastAsia="新宋体"/>
                <w:szCs w:val="21"/>
              </w:rPr>
            </w:pPr>
            <w:r>
              <w:rPr>
                <w:rFonts w:hint="eastAsia" w:ascii="新宋体" w:hAnsi="新宋体" w:eastAsia="新宋体"/>
                <w:szCs w:val="21"/>
              </w:rPr>
              <w:t>偏离情况</w:t>
            </w:r>
          </w:p>
        </w:tc>
        <w:tc>
          <w:tcPr>
            <w:tcW w:w="1620" w:type="dxa"/>
          </w:tcPr>
          <w:p>
            <w:pPr>
              <w:spacing w:line="360" w:lineRule="auto"/>
              <w:rPr>
                <w:rFonts w:ascii="新宋体" w:hAnsi="新宋体" w:eastAsia="新宋体"/>
                <w:szCs w:val="21"/>
              </w:rPr>
            </w:pPr>
            <w:r>
              <w:rPr>
                <w:rFonts w:hint="eastAsia" w:ascii="新宋体" w:hAnsi="新宋体" w:eastAsia="新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rPr>
                <w:rFonts w:ascii="新宋体" w:hAnsi="新宋体" w:eastAsia="新宋体"/>
                <w:szCs w:val="21"/>
              </w:rPr>
            </w:pPr>
            <w:r>
              <w:rPr>
                <w:rFonts w:hint="eastAsia" w:ascii="新宋体" w:hAnsi="新宋体" w:eastAsia="新宋体"/>
                <w:szCs w:val="21"/>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1</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2</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rPr>
                <w:rFonts w:ascii="新宋体" w:hAnsi="新宋体" w:eastAsia="新宋体"/>
                <w:szCs w:val="21"/>
              </w:rPr>
            </w:pPr>
            <w:r>
              <w:rPr>
                <w:rFonts w:hint="eastAsia" w:ascii="新宋体" w:hAnsi="新宋体" w:eastAsia="新宋体"/>
                <w:szCs w:val="21"/>
              </w:rPr>
              <w:t>（二）免费保修期外售后服务条款偏离表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1</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2</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rPr>
                <w:rFonts w:ascii="新宋体" w:hAnsi="新宋体" w:eastAsia="新宋体"/>
                <w:szCs w:val="21"/>
              </w:rPr>
            </w:pPr>
            <w:r>
              <w:rPr>
                <w:rFonts w:hint="eastAsia" w:ascii="新宋体" w:hAnsi="新宋体" w:eastAsia="新宋体"/>
                <w:szCs w:val="21"/>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1</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2</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bl>
    <w:p>
      <w:pPr>
        <w:spacing w:line="360" w:lineRule="auto"/>
        <w:rPr>
          <w:rFonts w:ascii="新宋体" w:hAnsi="新宋体" w:eastAsia="新宋体"/>
          <w:szCs w:val="21"/>
        </w:rPr>
      </w:pPr>
      <w:r>
        <w:rPr>
          <w:rFonts w:hint="eastAsia" w:ascii="新宋体" w:hAnsi="新宋体" w:eastAsia="新宋体"/>
          <w:szCs w:val="21"/>
        </w:rPr>
        <w:t>备注：</w:t>
      </w:r>
    </w:p>
    <w:p>
      <w:pPr>
        <w:spacing w:line="360" w:lineRule="auto"/>
        <w:rPr>
          <w:rFonts w:ascii="新宋体" w:hAnsi="新宋体" w:eastAsia="新宋体"/>
          <w:color w:val="FF0000"/>
          <w:szCs w:val="21"/>
        </w:rPr>
      </w:pPr>
      <w:r>
        <w:rPr>
          <w:rFonts w:hint="eastAsia" w:ascii="新宋体" w:hAnsi="新宋体" w:eastAsia="新宋体"/>
          <w:color w:val="FF0000"/>
          <w:szCs w:val="21"/>
        </w:rPr>
        <w:t>1. “招标商务条款”一栏必须填写招标文件第二章“商务需求”的内容分别对应“（一）免费保修期内售后服务要求、（二）免费保修期外售后服务要求、（三）其他商务要求”的内容进行填写。</w:t>
      </w:r>
    </w:p>
    <w:p>
      <w:pPr>
        <w:spacing w:line="360" w:lineRule="auto"/>
        <w:rPr>
          <w:rFonts w:ascii="新宋体" w:hAnsi="新宋体" w:eastAsia="新宋体"/>
          <w:color w:val="FF0000"/>
          <w:szCs w:val="21"/>
        </w:rPr>
      </w:pPr>
      <w:r>
        <w:rPr>
          <w:rFonts w:hint="eastAsia" w:ascii="新宋体" w:hAnsi="新宋体" w:eastAsia="新宋体"/>
          <w:color w:val="FF0000"/>
          <w:szCs w:val="21"/>
        </w:rPr>
        <w:t>2. “投标商务条款”一栏必须详细填写投标商务条款的内容。</w:t>
      </w:r>
    </w:p>
    <w:p>
      <w:pPr>
        <w:spacing w:line="360" w:lineRule="auto"/>
        <w:rPr>
          <w:rFonts w:ascii="新宋体" w:hAnsi="新宋体" w:eastAsia="新宋体"/>
          <w:color w:val="FF0000"/>
          <w:szCs w:val="21"/>
        </w:rPr>
      </w:pPr>
      <w:r>
        <w:rPr>
          <w:rFonts w:hint="eastAsia" w:ascii="新宋体" w:hAnsi="新宋体" w:eastAsia="新宋体"/>
          <w:color w:val="FF0000"/>
          <w:szCs w:val="21"/>
        </w:rPr>
        <w:t>3. “偏离情况”栏中应如实填写“正偏离”、“负偏离”或“无偏离”。</w:t>
      </w:r>
    </w:p>
    <w:p>
      <w:pPr>
        <w:spacing w:line="360" w:lineRule="auto"/>
        <w:rPr>
          <w:rFonts w:ascii="新宋体" w:hAnsi="新宋体" w:eastAsia="新宋体"/>
          <w:color w:val="FF0000"/>
          <w:szCs w:val="21"/>
        </w:rPr>
      </w:pPr>
      <w:r>
        <w:rPr>
          <w:rFonts w:hint="eastAsia" w:ascii="新宋体" w:hAnsi="新宋体" w:eastAsia="新宋体"/>
          <w:color w:val="FF0000"/>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pPr>
        <w:spacing w:line="360" w:lineRule="auto"/>
        <w:rPr>
          <w:rFonts w:ascii="新宋体" w:hAnsi="新宋体" w:eastAsia="新宋体"/>
          <w:color w:val="FF0000"/>
          <w:szCs w:val="21"/>
        </w:rPr>
      </w:pPr>
      <w:r>
        <w:rPr>
          <w:rFonts w:hint="eastAsia" w:ascii="新宋体" w:hAnsi="新宋体" w:eastAsia="新宋体"/>
          <w:b/>
          <w:color w:val="FF0000"/>
          <w:szCs w:val="21"/>
        </w:rPr>
        <w:t>5．</w:t>
      </w:r>
      <w:r>
        <w:rPr>
          <w:rFonts w:hint="eastAsia" w:ascii="新宋体" w:hAnsi="新宋体" w:eastAsia="新宋体"/>
          <w:color w:val="FF0000"/>
          <w:szCs w:val="21"/>
        </w:rPr>
        <w:t>投标人所填写的“偏离情况”与评审委员会判定不一致时</w:t>
      </w:r>
      <w:r>
        <w:rPr>
          <w:rFonts w:hint="eastAsia" w:ascii="新宋体" w:hAnsi="新宋体" w:eastAsia="新宋体"/>
          <w:b/>
          <w:color w:val="FF0000"/>
          <w:szCs w:val="21"/>
        </w:rPr>
        <w:t>，以评审委员会意见为主。另，判定结果不一致的参数超过一定数量的，则评分项“商务偏离情况”将不得分（即计为0分）。</w:t>
      </w:r>
    </w:p>
    <w:p>
      <w:pPr>
        <w:spacing w:line="360" w:lineRule="auto"/>
        <w:rPr>
          <w:rFonts w:ascii="新宋体" w:hAnsi="新宋体" w:eastAsia="新宋体"/>
          <w:color w:val="FF0000"/>
          <w:szCs w:val="21"/>
        </w:rPr>
      </w:pPr>
      <w:r>
        <w:rPr>
          <w:rFonts w:hint="eastAsia" w:ascii="新宋体" w:hAnsi="新宋体" w:eastAsia="新宋体"/>
          <w:b/>
          <w:color w:val="FF0000"/>
          <w:szCs w:val="21"/>
        </w:rPr>
        <w:t>一定数量的设置：</w:t>
      </w:r>
      <w:r>
        <w:rPr>
          <w:rFonts w:hint="eastAsia" w:ascii="新宋体" w:hAnsi="新宋体" w:eastAsia="新宋体"/>
          <w:color w:val="FF0000"/>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pPr>
        <w:spacing w:line="360" w:lineRule="auto"/>
        <w:rPr>
          <w:rFonts w:ascii="新宋体" w:hAnsi="新宋体" w:eastAsia="新宋体"/>
          <w:color w:val="FF0000"/>
          <w:szCs w:val="21"/>
        </w:rPr>
      </w:pPr>
      <w:r>
        <w:rPr>
          <w:rFonts w:hint="eastAsia" w:ascii="新宋体" w:hAnsi="新宋体" w:eastAsia="新宋体"/>
          <w:color w:val="FF0000"/>
          <w:szCs w:val="21"/>
        </w:rPr>
        <w:t>6.交货期条款为不可负偏离条款，投标文件响应为“负偏离”的，投标文件将按无效投标处理。</w:t>
      </w:r>
    </w:p>
    <w:p>
      <w:pPr>
        <w:spacing w:line="360" w:lineRule="auto"/>
        <w:rPr>
          <w:rFonts w:ascii="新宋体" w:hAnsi="新宋体" w:eastAsia="新宋体"/>
          <w:color w:val="FF0000"/>
          <w:szCs w:val="21"/>
        </w:rPr>
      </w:pPr>
      <w:r>
        <w:rPr>
          <w:rFonts w:hint="eastAsia" w:ascii="新宋体" w:hAnsi="新宋体" w:eastAsia="新宋体"/>
          <w:color w:val="FF0000"/>
          <w:szCs w:val="21"/>
        </w:rPr>
        <w:t>7.开标一览表中填写的“交货期”应当与本表填写的“交货期”一致。如填写不一致，以本表填写的“交货期”为准。</w:t>
      </w:r>
    </w:p>
    <w:p>
      <w:pPr>
        <w:spacing w:line="360" w:lineRule="auto"/>
        <w:rPr>
          <w:rFonts w:ascii="新宋体" w:hAnsi="新宋体" w:eastAsia="新宋体"/>
          <w:szCs w:val="21"/>
        </w:rPr>
      </w:pPr>
    </w:p>
    <w:p>
      <w:pPr>
        <w:pStyle w:val="4"/>
        <w:spacing w:line="360" w:lineRule="auto"/>
        <w:jc w:val="center"/>
        <w:rPr>
          <w:rFonts w:ascii="新宋体" w:hAnsi="新宋体" w:eastAsia="新宋体"/>
          <w:b w:val="0"/>
          <w:bCs w:val="0"/>
          <w:sz w:val="21"/>
          <w:szCs w:val="21"/>
        </w:rPr>
      </w:pPr>
      <w:r>
        <w:rPr>
          <w:rFonts w:hint="eastAsia" w:ascii="新宋体" w:hAnsi="新宋体" w:eastAsia="新宋体"/>
          <w:b w:val="0"/>
          <w:bCs w:val="0"/>
          <w:sz w:val="21"/>
          <w:szCs w:val="21"/>
        </w:rPr>
        <w:t>八、投标人认为需要加以说明的其他内容</w:t>
      </w: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hint="eastAsia"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b/>
          <w:color w:val="FF0000"/>
          <w:szCs w:val="21"/>
        </w:rPr>
      </w:pPr>
      <w:r>
        <w:rPr>
          <w:rFonts w:hint="eastAsia" w:ascii="新宋体" w:hAnsi="新宋体" w:eastAsia="新宋体"/>
          <w:b/>
          <w:color w:val="FF0000"/>
          <w:szCs w:val="21"/>
        </w:rPr>
        <w:t>（信息公开部分的内容到此为止！往下为信息不公开部分。）</w:t>
      </w:r>
    </w:p>
    <w:p>
      <w:pPr>
        <w:spacing w:line="360" w:lineRule="auto"/>
        <w:rPr>
          <w:rFonts w:ascii="宋体" w:hAnsi="宋体"/>
          <w:b/>
          <w:color w:val="FF0000"/>
          <w:sz w:val="28"/>
          <w:szCs w:val="28"/>
        </w:rPr>
      </w:pPr>
      <w:r>
        <w:rPr>
          <w:rFonts w:hint="eastAsia" w:ascii="宋体" w:hAnsi="宋体"/>
          <w:b/>
          <w:color w:val="FF0000"/>
          <w:sz w:val="28"/>
          <w:szCs w:val="28"/>
        </w:rPr>
        <w:t>投标文件附件（信息不公开部分）</w:t>
      </w:r>
    </w:p>
    <w:p>
      <w:pPr>
        <w:pStyle w:val="4"/>
        <w:spacing w:line="360" w:lineRule="auto"/>
        <w:jc w:val="center"/>
        <w:rPr>
          <w:rFonts w:ascii="新宋体" w:hAnsi="新宋体" w:eastAsia="新宋体"/>
          <w:b w:val="0"/>
          <w:sz w:val="21"/>
          <w:szCs w:val="21"/>
        </w:rPr>
      </w:pPr>
      <w:r>
        <w:rPr>
          <w:rFonts w:hint="eastAsia" w:ascii="新宋体" w:hAnsi="新宋体" w:eastAsia="新宋体"/>
          <w:b w:val="0"/>
          <w:sz w:val="21"/>
          <w:szCs w:val="21"/>
        </w:rPr>
        <w:t>一、法定代表人证明书</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 xml:space="preserve">  </w:t>
      </w:r>
      <w:r>
        <w:rPr>
          <w:rFonts w:hint="eastAsia" w:ascii="新宋体" w:hAnsi="新宋体" w:eastAsia="新宋体"/>
          <w:color w:val="FF0000"/>
          <w:szCs w:val="21"/>
        </w:rPr>
        <w:t xml:space="preserve"> </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同志，现任我单位</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职务</w:t>
      </w:r>
      <w:r>
        <w:rPr>
          <w:rFonts w:hint="eastAsia" w:ascii="新宋体" w:hAnsi="新宋体" w:eastAsia="新宋体"/>
          <w:szCs w:val="21"/>
        </w:rPr>
        <w:t>，为法定代表人，特此证明。</w:t>
      </w:r>
    </w:p>
    <w:p>
      <w:pPr>
        <w:spacing w:line="360" w:lineRule="auto"/>
        <w:rPr>
          <w:rFonts w:ascii="新宋体" w:hAnsi="新宋体" w:eastAsia="新宋体"/>
          <w:szCs w:val="21"/>
        </w:rPr>
      </w:pPr>
      <w:r>
        <w:rPr>
          <w:rFonts w:hint="eastAsia" w:ascii="新宋体" w:hAnsi="新宋体" w:eastAsia="新宋体"/>
          <w:szCs w:val="21"/>
        </w:rPr>
        <w:t xml:space="preserve">         </w:t>
      </w:r>
    </w:p>
    <w:p>
      <w:pPr>
        <w:spacing w:line="360" w:lineRule="auto"/>
        <w:rPr>
          <w:rFonts w:ascii="新宋体" w:hAnsi="新宋体" w:eastAsia="新宋体"/>
          <w:szCs w:val="21"/>
        </w:rPr>
      </w:pPr>
      <w:r>
        <w:rPr>
          <w:rFonts w:hint="eastAsia" w:ascii="新宋体" w:hAnsi="新宋体" w:eastAsia="新宋体"/>
          <w:szCs w:val="21"/>
        </w:rPr>
        <w:t>说明：1、法定代表人为企业事业单位、国家机关、社会团体的主要行政负责人。</w:t>
      </w:r>
    </w:p>
    <w:p>
      <w:pPr>
        <w:spacing w:line="360" w:lineRule="auto"/>
        <w:rPr>
          <w:rFonts w:ascii="新宋体" w:hAnsi="新宋体" w:eastAsia="新宋体"/>
          <w:szCs w:val="21"/>
        </w:rPr>
      </w:pPr>
      <w:r>
        <w:rPr>
          <w:rFonts w:hint="eastAsia" w:ascii="新宋体" w:hAnsi="新宋体" w:eastAsia="新宋体"/>
          <w:szCs w:val="21"/>
        </w:rPr>
        <w:t xml:space="preserve">      2、内容必须填写真实、清楚，涂改无效，不得转让、买卖。</w:t>
      </w:r>
    </w:p>
    <w:p>
      <w:pPr>
        <w:spacing w:line="360" w:lineRule="auto"/>
        <w:rPr>
          <w:rFonts w:ascii="新宋体" w:hAnsi="新宋体" w:eastAsia="新宋体"/>
          <w:szCs w:val="21"/>
        </w:rPr>
      </w:pPr>
    </w:p>
    <w:p>
      <w:pPr>
        <w:spacing w:line="360" w:lineRule="auto"/>
        <w:rPr>
          <w:rFonts w:ascii="新宋体" w:hAnsi="新宋体" w:eastAsia="新宋体"/>
          <w:b/>
          <w:color w:val="FF0000"/>
          <w:szCs w:val="21"/>
        </w:rPr>
      </w:pPr>
      <w:r>
        <w:rPr>
          <w:rFonts w:hint="eastAsia" w:ascii="新宋体" w:hAnsi="新宋体" w:eastAsia="新宋体"/>
          <w:b/>
          <w:color w:val="FF0000"/>
          <w:szCs w:val="21"/>
        </w:rPr>
        <w:t>附： 请提供法定代表人身份证扫描件（正反两面）。</w:t>
      </w:r>
    </w:p>
    <w:p>
      <w:pPr>
        <w:spacing w:line="360" w:lineRule="auto"/>
        <w:rPr>
          <w:rFonts w:ascii="新宋体" w:hAnsi="新宋体" w:eastAsia="新宋体"/>
          <w:b/>
          <w:bCs/>
          <w:szCs w:val="21"/>
        </w:rPr>
      </w:pPr>
    </w:p>
    <w:p>
      <w:pPr>
        <w:pStyle w:val="4"/>
        <w:spacing w:before="120" w:after="120" w:line="360" w:lineRule="auto"/>
        <w:jc w:val="center"/>
        <w:rPr>
          <w:rFonts w:ascii="新宋体" w:hAnsi="新宋体" w:eastAsia="新宋体"/>
          <w:b w:val="0"/>
          <w:sz w:val="21"/>
          <w:szCs w:val="21"/>
        </w:rPr>
      </w:pPr>
      <w:r>
        <w:rPr>
          <w:rFonts w:hint="eastAsia" w:ascii="新宋体" w:hAnsi="新宋体" w:eastAsia="新宋体"/>
          <w:b w:val="0"/>
          <w:sz w:val="21"/>
          <w:szCs w:val="21"/>
        </w:rPr>
        <w:t>二、投标文件签署授权委托书</w:t>
      </w:r>
    </w:p>
    <w:p>
      <w:pPr>
        <w:spacing w:line="360" w:lineRule="auto"/>
        <w:ind w:firstLine="420" w:firstLineChars="200"/>
        <w:rPr>
          <w:rFonts w:ascii="新宋体" w:hAnsi="新宋体" w:eastAsia="新宋体"/>
          <w:szCs w:val="21"/>
        </w:rPr>
      </w:pPr>
      <w:r>
        <w:rPr>
          <w:rFonts w:hint="eastAsia" w:ascii="新宋体" w:hAnsi="新宋体" w:eastAsia="新宋体"/>
          <w:szCs w:val="21"/>
        </w:rPr>
        <w:t>本授权委托书声明</w:t>
      </w:r>
      <w:r>
        <w:rPr>
          <w:rFonts w:hint="eastAsia" w:ascii="新宋体" w:hAnsi="新宋体" w:eastAsia="新宋体"/>
          <w:color w:val="FF0000"/>
          <w:szCs w:val="21"/>
        </w:rPr>
        <w:t>：我</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（姓名）系</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（投标人名称）</w:t>
      </w:r>
      <w:r>
        <w:rPr>
          <w:rFonts w:hint="eastAsia" w:ascii="新宋体" w:hAnsi="新宋体" w:eastAsia="新宋体"/>
          <w:szCs w:val="21"/>
        </w:rPr>
        <w:t>的法定代表人，现授权委托</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（姓名）</w:t>
      </w:r>
      <w:r>
        <w:rPr>
          <w:rFonts w:hint="eastAsia" w:ascii="新宋体" w:hAnsi="新宋体" w:eastAsia="新宋体"/>
          <w:szCs w:val="21"/>
        </w:rPr>
        <w:t>为我公司签署本项目已递交的投标文件的法定代表人的授权委托代理人，代理人全权代表我所签署的本项目已递交的投标文件内容我均承认。</w:t>
      </w:r>
    </w:p>
    <w:p>
      <w:pPr>
        <w:pStyle w:val="7"/>
        <w:spacing w:line="360" w:lineRule="auto"/>
        <w:rPr>
          <w:rFonts w:ascii="新宋体" w:hAnsi="新宋体" w:eastAsia="新宋体"/>
          <w:szCs w:val="21"/>
        </w:rPr>
      </w:pPr>
      <w:r>
        <w:rPr>
          <w:rFonts w:hint="eastAsia" w:ascii="新宋体" w:hAnsi="新宋体" w:eastAsia="新宋体"/>
          <w:szCs w:val="21"/>
        </w:rPr>
        <w:t>代理人无转委托权，特此委托。</w:t>
      </w:r>
    </w:p>
    <w:p>
      <w:pPr>
        <w:pStyle w:val="7"/>
        <w:spacing w:line="360" w:lineRule="auto"/>
        <w:rPr>
          <w:rFonts w:ascii="新宋体" w:hAnsi="新宋体" w:eastAsia="新宋体"/>
          <w:szCs w:val="21"/>
        </w:rPr>
      </w:pPr>
    </w:p>
    <w:p>
      <w:pPr>
        <w:spacing w:line="360" w:lineRule="auto"/>
        <w:ind w:left="540" w:leftChars="257"/>
        <w:rPr>
          <w:rFonts w:ascii="新宋体" w:hAnsi="新宋体" w:eastAsia="新宋体"/>
          <w:color w:val="FF0000"/>
          <w:szCs w:val="21"/>
          <w:u w:val="single"/>
        </w:rPr>
      </w:pPr>
      <w:r>
        <w:rPr>
          <w:rFonts w:hint="eastAsia" w:ascii="新宋体" w:hAnsi="新宋体" w:eastAsia="新宋体"/>
          <w:color w:val="FF0000"/>
          <w:szCs w:val="21"/>
        </w:rPr>
        <w:t>代理人：</w:t>
      </w:r>
      <w:r>
        <w:rPr>
          <w:rFonts w:hint="eastAsia" w:ascii="新宋体" w:hAnsi="新宋体" w:eastAsia="新宋体"/>
          <w:color w:val="FF0000"/>
          <w:szCs w:val="21"/>
          <w:u w:val="single"/>
        </w:rPr>
        <w:t xml:space="preserve">             </w:t>
      </w:r>
    </w:p>
    <w:p>
      <w:pPr>
        <w:spacing w:line="360" w:lineRule="auto"/>
        <w:ind w:left="540" w:leftChars="257"/>
        <w:rPr>
          <w:rFonts w:ascii="新宋体" w:hAnsi="新宋体" w:eastAsia="新宋体"/>
          <w:color w:val="FF0000"/>
          <w:szCs w:val="21"/>
        </w:rPr>
      </w:pPr>
      <w:r>
        <w:rPr>
          <w:rFonts w:hint="eastAsia" w:ascii="新宋体" w:hAnsi="新宋体" w:eastAsia="新宋体"/>
          <w:color w:val="FF0000"/>
          <w:szCs w:val="21"/>
        </w:rPr>
        <w:t>联系电话：</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 xml:space="preserve">  手机：</w:t>
      </w:r>
      <w:r>
        <w:rPr>
          <w:rFonts w:hint="eastAsia" w:ascii="新宋体" w:hAnsi="新宋体" w:eastAsia="新宋体"/>
          <w:color w:val="FF0000"/>
          <w:szCs w:val="21"/>
          <w:u w:val="single"/>
        </w:rPr>
        <w:t xml:space="preserve">                   </w:t>
      </w:r>
    </w:p>
    <w:p>
      <w:pPr>
        <w:spacing w:line="360" w:lineRule="auto"/>
        <w:ind w:left="540" w:leftChars="257"/>
        <w:rPr>
          <w:rFonts w:ascii="新宋体" w:hAnsi="新宋体" w:eastAsia="新宋体"/>
          <w:color w:val="FF0000"/>
          <w:szCs w:val="21"/>
          <w:u w:val="single"/>
        </w:rPr>
      </w:pPr>
      <w:r>
        <w:rPr>
          <w:rFonts w:hint="eastAsia" w:ascii="新宋体" w:hAnsi="新宋体" w:eastAsia="新宋体"/>
          <w:color w:val="FF0000"/>
          <w:szCs w:val="21"/>
        </w:rPr>
        <w:t>身份证号码：</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职务：</w:t>
      </w:r>
      <w:r>
        <w:rPr>
          <w:rFonts w:hint="eastAsia" w:ascii="新宋体" w:hAnsi="新宋体" w:eastAsia="新宋体"/>
          <w:color w:val="FF0000"/>
          <w:szCs w:val="21"/>
          <w:u w:val="single"/>
        </w:rPr>
        <w:t xml:space="preserve">       </w:t>
      </w:r>
    </w:p>
    <w:p>
      <w:pPr>
        <w:spacing w:line="360" w:lineRule="auto"/>
        <w:ind w:left="540" w:leftChars="257"/>
        <w:rPr>
          <w:rFonts w:ascii="新宋体" w:hAnsi="新宋体" w:eastAsia="新宋体"/>
          <w:szCs w:val="21"/>
        </w:rPr>
      </w:pPr>
      <w:r>
        <w:rPr>
          <w:rFonts w:hint="eastAsia" w:ascii="新宋体" w:hAnsi="新宋体" w:eastAsia="新宋体"/>
          <w:color w:val="FF0000"/>
          <w:szCs w:val="21"/>
        </w:rPr>
        <w:t>授权委托日期：</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年</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 xml:space="preserve">月 </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日</w:t>
      </w:r>
    </w:p>
    <w:p>
      <w:pPr>
        <w:spacing w:line="360" w:lineRule="auto"/>
        <w:rPr>
          <w:rFonts w:ascii="新宋体" w:hAnsi="新宋体" w:eastAsia="新宋体"/>
          <w:szCs w:val="21"/>
        </w:rPr>
      </w:pPr>
    </w:p>
    <w:p>
      <w:pPr>
        <w:spacing w:line="360" w:lineRule="auto"/>
        <w:rPr>
          <w:rFonts w:ascii="新宋体" w:hAnsi="新宋体" w:eastAsia="新宋体"/>
          <w:b/>
          <w:color w:val="FF0000"/>
          <w:szCs w:val="21"/>
        </w:rPr>
      </w:pPr>
      <w:r>
        <w:rPr>
          <w:rFonts w:hint="eastAsia" w:ascii="新宋体" w:hAnsi="新宋体" w:eastAsia="新宋体"/>
          <w:b/>
          <w:color w:val="FF0000"/>
          <w:szCs w:val="21"/>
        </w:rPr>
        <w:t>附： 请提供授权委托代理人身份证扫描件（正反两面）。</w:t>
      </w:r>
    </w:p>
    <w:p>
      <w:pPr>
        <w:spacing w:line="360" w:lineRule="auto"/>
        <w:rPr>
          <w:rFonts w:ascii="新宋体" w:hAnsi="新宋体" w:eastAsia="新宋体"/>
          <w:b/>
          <w:szCs w:val="21"/>
        </w:rPr>
      </w:pPr>
    </w:p>
    <w:p>
      <w:pPr>
        <w:pStyle w:val="4"/>
        <w:spacing w:line="360" w:lineRule="auto"/>
        <w:jc w:val="center"/>
        <w:rPr>
          <w:rFonts w:ascii="新宋体" w:hAnsi="新宋体" w:eastAsia="新宋体"/>
          <w:b w:val="0"/>
          <w:kern w:val="0"/>
          <w:sz w:val="21"/>
          <w:szCs w:val="21"/>
          <w:highlight w:val="yellow"/>
        </w:rPr>
      </w:pPr>
      <w:r>
        <w:rPr>
          <w:rFonts w:hint="eastAsia" w:ascii="新宋体" w:hAnsi="新宋体" w:eastAsia="新宋体"/>
          <w:b w:val="0"/>
          <w:kern w:val="0"/>
          <w:sz w:val="21"/>
          <w:szCs w:val="21"/>
          <w:highlight w:val="yellow"/>
        </w:rPr>
        <w:t>三、实质性条款响应情况表</w:t>
      </w:r>
    </w:p>
    <w:tbl>
      <w:tblPr>
        <w:tblStyle w:val="43"/>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569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序号</w:t>
            </w:r>
          </w:p>
        </w:tc>
        <w:tc>
          <w:tcPr>
            <w:tcW w:w="5693"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采购人要求内容</w:t>
            </w:r>
          </w:p>
        </w:tc>
        <w:tc>
          <w:tcPr>
            <w:tcW w:w="2196"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1</w:t>
            </w:r>
          </w:p>
        </w:tc>
        <w:tc>
          <w:tcPr>
            <w:tcW w:w="5693" w:type="dxa"/>
            <w:vAlign w:val="top"/>
          </w:tcPr>
          <w:p>
            <w:pPr>
              <w:adjustRightInd w:val="0"/>
              <w:snapToGrid w:val="0"/>
              <w:spacing w:line="360" w:lineRule="auto"/>
              <w:rPr>
                <w:rFonts w:ascii="新宋体" w:hAnsi="新宋体" w:eastAsia="新宋体"/>
                <w:kern w:val="0"/>
                <w:szCs w:val="21"/>
              </w:rPr>
            </w:pPr>
            <w:r>
              <w:rPr>
                <w:rFonts w:hint="eastAsia" w:hAnsi="宋体"/>
                <w:kern w:val="0"/>
                <w:szCs w:val="21"/>
              </w:rPr>
              <w:t>投标文件载明的交货期不超过招标文件规定的期限</w:t>
            </w:r>
          </w:p>
        </w:tc>
        <w:tc>
          <w:tcPr>
            <w:tcW w:w="2196"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2</w:t>
            </w:r>
          </w:p>
        </w:tc>
        <w:tc>
          <w:tcPr>
            <w:tcW w:w="5693" w:type="dxa"/>
            <w:vAlign w:val="top"/>
          </w:tcPr>
          <w:p>
            <w:pPr>
              <w:adjustRightInd w:val="0"/>
              <w:snapToGrid w:val="0"/>
              <w:spacing w:line="360" w:lineRule="auto"/>
              <w:rPr>
                <w:rFonts w:ascii="新宋体" w:hAnsi="新宋体" w:eastAsia="新宋体"/>
                <w:kern w:val="0"/>
                <w:szCs w:val="21"/>
              </w:rPr>
            </w:pPr>
            <w:r>
              <w:rPr>
                <w:rFonts w:hint="eastAsia" w:hAnsi="宋体"/>
                <w:kern w:val="0"/>
                <w:szCs w:val="21"/>
              </w:rPr>
              <w:t>投标文件载明的免费保修期不低于招标文件规定的期限</w:t>
            </w:r>
          </w:p>
        </w:tc>
        <w:tc>
          <w:tcPr>
            <w:tcW w:w="2196"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hint="eastAsia" w:ascii="新宋体" w:hAnsi="新宋体" w:eastAsia="新宋体"/>
                <w:kern w:val="0"/>
                <w:szCs w:val="21"/>
              </w:rPr>
            </w:pPr>
          </w:p>
        </w:tc>
        <w:tc>
          <w:tcPr>
            <w:tcW w:w="5693" w:type="dxa"/>
            <w:vAlign w:val="top"/>
          </w:tcPr>
          <w:p>
            <w:pPr>
              <w:adjustRightInd w:val="0"/>
              <w:snapToGrid w:val="0"/>
              <w:spacing w:line="360" w:lineRule="auto"/>
              <w:rPr>
                <w:rFonts w:ascii="新宋体" w:hAnsi="新宋体" w:eastAsia="新宋体"/>
                <w:kern w:val="0"/>
                <w:szCs w:val="21"/>
              </w:rPr>
            </w:pPr>
            <w:r>
              <w:rPr>
                <w:rFonts w:hint="eastAsia" w:hAnsi="宋体"/>
                <w:kern w:val="0"/>
                <w:szCs w:val="21"/>
              </w:rPr>
              <w:t>具体技术要求、商务需求中带“★”要求</w:t>
            </w:r>
          </w:p>
        </w:tc>
        <w:tc>
          <w:tcPr>
            <w:tcW w:w="2196"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w:t>
            </w:r>
          </w:p>
        </w:tc>
        <w:tc>
          <w:tcPr>
            <w:tcW w:w="5693" w:type="dxa"/>
          </w:tcPr>
          <w:p>
            <w:pPr>
              <w:adjustRightInd w:val="0"/>
              <w:snapToGrid w:val="0"/>
              <w:spacing w:line="360" w:lineRule="auto"/>
              <w:rPr>
                <w:rFonts w:ascii="新宋体" w:hAnsi="新宋体" w:eastAsia="新宋体"/>
                <w:kern w:val="0"/>
                <w:szCs w:val="21"/>
              </w:rPr>
            </w:pPr>
          </w:p>
        </w:tc>
        <w:tc>
          <w:tcPr>
            <w:tcW w:w="2196" w:type="dxa"/>
          </w:tcPr>
          <w:p>
            <w:pPr>
              <w:adjustRightInd w:val="0"/>
              <w:snapToGrid w:val="0"/>
              <w:spacing w:line="360" w:lineRule="auto"/>
              <w:rPr>
                <w:rFonts w:ascii="新宋体" w:hAnsi="新宋体" w:eastAsia="新宋体"/>
                <w:kern w:val="0"/>
                <w:szCs w:val="21"/>
              </w:rPr>
            </w:pPr>
          </w:p>
        </w:tc>
      </w:tr>
    </w:tbl>
    <w:p>
      <w:pPr>
        <w:spacing w:line="360" w:lineRule="auto"/>
        <w:rPr>
          <w:rFonts w:ascii="新宋体" w:hAnsi="新宋体" w:eastAsia="新宋体"/>
          <w:b/>
          <w:szCs w:val="21"/>
        </w:rPr>
      </w:pPr>
    </w:p>
    <w:p>
      <w:pPr>
        <w:spacing w:line="360" w:lineRule="auto"/>
        <w:rPr>
          <w:rFonts w:ascii="新宋体" w:hAnsi="新宋体" w:eastAsia="新宋体"/>
          <w:b/>
          <w:szCs w:val="21"/>
        </w:rPr>
      </w:pPr>
      <w:r>
        <w:rPr>
          <w:rFonts w:hint="eastAsia" w:ascii="新宋体" w:hAnsi="新宋体" w:eastAsia="新宋体"/>
          <w:b/>
          <w:szCs w:val="21"/>
        </w:rPr>
        <w:t>注：1. 上表所列内容为不可负偏离条款。</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2.“投标人响应情况”一栏应如实填写“响应”或“不响应”。</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3. “实质性响应条款响应情况”与投标文件其它内容冲突的，以“实质性响应条款响应情况”为准。</w:t>
      </w:r>
    </w:p>
    <w:p>
      <w:pPr>
        <w:spacing w:line="360" w:lineRule="auto"/>
        <w:rPr>
          <w:rFonts w:ascii="新宋体" w:hAnsi="新宋体" w:eastAsia="新宋体"/>
          <w:b/>
          <w:szCs w:val="21"/>
        </w:rPr>
      </w:pPr>
    </w:p>
    <w:p>
      <w:pPr>
        <w:pStyle w:val="4"/>
        <w:spacing w:line="360" w:lineRule="auto"/>
        <w:jc w:val="center"/>
        <w:rPr>
          <w:rFonts w:ascii="新宋体" w:hAnsi="新宋体" w:eastAsia="新宋体"/>
          <w:b w:val="0"/>
          <w:sz w:val="21"/>
          <w:szCs w:val="21"/>
        </w:rPr>
      </w:pPr>
      <w:r>
        <w:rPr>
          <w:rFonts w:hint="eastAsia" w:ascii="新宋体" w:hAnsi="新宋体" w:eastAsia="新宋体"/>
          <w:b w:val="0"/>
          <w:sz w:val="21"/>
          <w:szCs w:val="21"/>
        </w:rPr>
        <w:t>四、项目实施方案</w:t>
      </w:r>
    </w:p>
    <w:p>
      <w:pPr>
        <w:spacing w:line="360" w:lineRule="auto"/>
        <w:rPr>
          <w:rFonts w:ascii="新宋体" w:hAnsi="新宋体" w:eastAsia="新宋体"/>
          <w:szCs w:val="21"/>
        </w:rPr>
      </w:pPr>
      <w:r>
        <w:rPr>
          <w:rFonts w:hint="eastAsia" w:ascii="新宋体" w:hAnsi="新宋体" w:eastAsia="新宋体"/>
          <w:szCs w:val="21"/>
        </w:rPr>
        <w:t>主要内容应包括(根据项目实际情况适当调整内容)：</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1、项目交货期、实施进度表</w:t>
      </w:r>
    </w:p>
    <w:p>
      <w:pPr>
        <w:spacing w:line="360" w:lineRule="auto"/>
        <w:rPr>
          <w:rFonts w:ascii="新宋体" w:hAnsi="新宋体" w:eastAsia="新宋体"/>
          <w:szCs w:val="21"/>
        </w:rPr>
      </w:pPr>
      <w:r>
        <w:rPr>
          <w:rFonts w:hint="eastAsia" w:ascii="新宋体" w:hAnsi="新宋体" w:eastAsia="新宋体"/>
          <w:szCs w:val="21"/>
        </w:rPr>
        <w:t>2、相关配套措施</w:t>
      </w:r>
    </w:p>
    <w:p>
      <w:pPr>
        <w:spacing w:line="360" w:lineRule="auto"/>
        <w:rPr>
          <w:rFonts w:ascii="新宋体" w:hAnsi="新宋体" w:eastAsia="新宋体"/>
          <w:b/>
          <w:bCs/>
          <w:color w:val="FF0000"/>
          <w:szCs w:val="21"/>
        </w:rPr>
      </w:pPr>
      <w:r>
        <w:rPr>
          <w:rFonts w:hint="eastAsia" w:ascii="新宋体" w:hAnsi="新宋体" w:eastAsia="新宋体"/>
          <w:b/>
          <w:bCs/>
          <w:color w:val="FF0000"/>
          <w:szCs w:val="21"/>
        </w:rPr>
        <w:t>（备注：该部分须与“技术保障措施”、“施工安全保障措施”、“商务需求”等部分承诺的内容相呼应，不得前后矛盾。）</w:t>
      </w:r>
    </w:p>
    <w:p>
      <w:pPr>
        <w:spacing w:line="360" w:lineRule="auto"/>
        <w:rPr>
          <w:rFonts w:ascii="新宋体" w:hAnsi="新宋体" w:eastAsia="新宋体"/>
          <w:b/>
          <w:bCs/>
          <w:szCs w:val="21"/>
        </w:rPr>
      </w:pPr>
    </w:p>
    <w:p>
      <w:pPr>
        <w:pStyle w:val="4"/>
        <w:spacing w:line="360" w:lineRule="auto"/>
        <w:jc w:val="center"/>
        <w:rPr>
          <w:rFonts w:ascii="新宋体" w:hAnsi="新宋体" w:eastAsia="新宋体"/>
          <w:b w:val="0"/>
          <w:sz w:val="21"/>
          <w:szCs w:val="21"/>
        </w:rPr>
      </w:pPr>
      <w:r>
        <w:rPr>
          <w:rFonts w:hint="eastAsia" w:ascii="新宋体" w:hAnsi="新宋体" w:eastAsia="新宋体"/>
          <w:b w:val="0"/>
          <w:sz w:val="21"/>
          <w:szCs w:val="21"/>
        </w:rPr>
        <w:t>五、售后服务方案</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主要内容应包括(根据项目实际情况适当调整内容)：</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、免费保修期；</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、故障或技术支持响应时间；</w:t>
      </w:r>
    </w:p>
    <w:p>
      <w:pPr>
        <w:spacing w:line="360" w:lineRule="auto"/>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、投标人承诺的其他维修维护方案、措施</w:t>
      </w:r>
    </w:p>
    <w:p>
      <w:pPr>
        <w:spacing w:line="360" w:lineRule="auto"/>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、质量保证及违约承诺。</w:t>
      </w:r>
    </w:p>
    <w:p>
      <w:pPr>
        <w:spacing w:line="360" w:lineRule="auto"/>
        <w:rPr>
          <w:rFonts w:ascii="新宋体" w:hAnsi="新宋体" w:eastAsia="新宋体"/>
          <w:b/>
          <w:color w:val="FF0000"/>
          <w:szCs w:val="21"/>
        </w:rPr>
      </w:pPr>
      <w:r>
        <w:rPr>
          <w:rFonts w:hint="eastAsia" w:ascii="新宋体" w:hAnsi="新宋体" w:eastAsia="新宋体"/>
          <w:b/>
          <w:color w:val="FF0000"/>
          <w:szCs w:val="21"/>
        </w:rPr>
        <w:t>（备注：该部分须与“商务需求”承诺的内容相呼应，不得前后矛盾。）</w:t>
      </w: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pStyle w:val="3"/>
        <w:spacing w:line="360" w:lineRule="auto"/>
        <w:rPr>
          <w:rFonts w:ascii="新宋体" w:hAnsi="新宋体" w:eastAsia="新宋体"/>
          <w:sz w:val="21"/>
          <w:szCs w:val="21"/>
        </w:rPr>
      </w:pPr>
      <w:r>
        <w:rPr>
          <w:rFonts w:hint="eastAsia" w:ascii="新宋体" w:hAnsi="新宋体" w:eastAsia="新宋体"/>
          <w:sz w:val="21"/>
          <w:szCs w:val="21"/>
        </w:rPr>
        <w:t>第四章  合同及履约情况反馈格式</w:t>
      </w:r>
    </w:p>
    <w:p>
      <w:pPr>
        <w:spacing w:line="360" w:lineRule="auto"/>
        <w:ind w:firstLine="411" w:firstLineChars="196"/>
        <w:rPr>
          <w:rFonts w:ascii="新宋体" w:hAnsi="新宋体" w:eastAsia="新宋体"/>
          <w:szCs w:val="21"/>
        </w:rPr>
      </w:pPr>
    </w:p>
    <w:p>
      <w:pPr>
        <w:pStyle w:val="4"/>
        <w:spacing w:line="360" w:lineRule="auto"/>
        <w:jc w:val="center"/>
        <w:rPr>
          <w:rFonts w:ascii="新宋体" w:hAnsi="新宋体" w:eastAsia="新宋体"/>
          <w:b w:val="0"/>
          <w:kern w:val="0"/>
          <w:sz w:val="21"/>
          <w:szCs w:val="21"/>
        </w:rPr>
      </w:pPr>
      <w:r>
        <w:rPr>
          <w:rFonts w:hint="eastAsia" w:ascii="新宋体" w:hAnsi="新宋体" w:eastAsia="新宋体"/>
          <w:b w:val="0"/>
          <w:kern w:val="0"/>
          <w:sz w:val="21"/>
          <w:szCs w:val="21"/>
        </w:rPr>
        <w:t>一、合同条款及格式（仅供参考）</w:t>
      </w:r>
    </w:p>
    <w:p>
      <w:pPr>
        <w:spacing w:line="360" w:lineRule="auto"/>
        <w:ind w:firstLine="411" w:firstLineChars="196"/>
        <w:jc w:val="center"/>
        <w:rPr>
          <w:rFonts w:ascii="新宋体" w:hAnsi="新宋体" w:eastAsia="新宋体"/>
          <w:szCs w:val="21"/>
        </w:rPr>
      </w:pPr>
      <w:bookmarkStart w:id="27" w:name="_Toc73521592"/>
      <w:bookmarkStart w:id="28" w:name="_Toc73518163"/>
      <w:bookmarkStart w:id="29" w:name="_Toc84303603"/>
      <w:bookmarkStart w:id="30" w:name="_Toc101074886"/>
      <w:bookmarkStart w:id="31" w:name="_Toc100052414"/>
      <w:bookmarkStart w:id="32" w:name="_Toc73517685"/>
      <w:bookmarkStart w:id="33" w:name="_Toc73521680"/>
    </w:p>
    <w:p>
      <w:pPr>
        <w:spacing w:line="360" w:lineRule="auto"/>
        <w:ind w:firstLine="411" w:firstLineChars="196"/>
        <w:jc w:val="center"/>
        <w:rPr>
          <w:rFonts w:ascii="新宋体" w:hAnsi="新宋体" w:eastAsia="新宋体"/>
          <w:szCs w:val="21"/>
        </w:rPr>
      </w:pPr>
    </w:p>
    <w:p>
      <w:pPr>
        <w:spacing w:line="360" w:lineRule="auto"/>
        <w:jc w:val="center"/>
        <w:rPr>
          <w:rFonts w:ascii="新宋体" w:hAnsi="新宋体" w:eastAsia="新宋体"/>
          <w:b/>
          <w:szCs w:val="21"/>
        </w:rPr>
      </w:pPr>
      <w:r>
        <w:rPr>
          <w:rFonts w:hint="eastAsia" w:ascii="新宋体" w:hAnsi="新宋体" w:eastAsia="新宋体"/>
          <w:b/>
          <w:szCs w:val="21"/>
        </w:rPr>
        <w:t>合同条款</w:t>
      </w:r>
      <w:bookmarkEnd w:id="27"/>
      <w:bookmarkEnd w:id="28"/>
      <w:bookmarkEnd w:id="29"/>
      <w:bookmarkEnd w:id="30"/>
      <w:bookmarkEnd w:id="31"/>
      <w:bookmarkEnd w:id="32"/>
      <w:bookmarkEnd w:id="33"/>
    </w:p>
    <w:p>
      <w:pPr>
        <w:spacing w:line="360" w:lineRule="auto"/>
        <w:jc w:val="center"/>
        <w:rPr>
          <w:rFonts w:ascii="新宋体" w:hAnsi="新宋体" w:eastAsia="新宋体"/>
          <w:szCs w:val="21"/>
        </w:rPr>
      </w:pPr>
      <w:r>
        <w:rPr>
          <w:rFonts w:hint="eastAsia" w:ascii="新宋体" w:hAnsi="新宋体" w:eastAsia="新宋体"/>
          <w:b/>
          <w:szCs w:val="21"/>
        </w:rPr>
        <w:t>（仅供参考，项目具体要求以招标项目需求为准）</w:t>
      </w:r>
    </w:p>
    <w:p>
      <w:pPr>
        <w:spacing w:line="360" w:lineRule="auto"/>
        <w:rPr>
          <w:rFonts w:ascii="新宋体" w:hAnsi="新宋体" w:eastAsia="新宋体"/>
          <w:b/>
          <w:bCs/>
          <w:szCs w:val="21"/>
        </w:rPr>
      </w:pPr>
      <w:r>
        <w:rPr>
          <w:rFonts w:hint="eastAsia" w:ascii="新宋体" w:hAnsi="新宋体" w:eastAsia="新宋体"/>
          <w:b/>
          <w:bCs/>
          <w:szCs w:val="21"/>
        </w:rPr>
        <w:t>甲方：</w:t>
      </w:r>
      <w:r>
        <w:rPr>
          <w:rFonts w:ascii="新宋体" w:hAnsi="新宋体" w:eastAsia="新宋体"/>
          <w:b/>
          <w:bCs/>
          <w:szCs w:val="21"/>
        </w:rPr>
        <w:t xml:space="preserve"> </w:t>
      </w:r>
      <w:r>
        <w:rPr>
          <w:rFonts w:hint="eastAsia" w:ascii="新宋体" w:hAnsi="新宋体" w:eastAsia="新宋体"/>
          <w:b/>
          <w:bCs/>
          <w:szCs w:val="21"/>
        </w:rPr>
        <w:t xml:space="preserve"> </w:t>
      </w:r>
      <w:r>
        <w:rPr>
          <w:rFonts w:ascii="新宋体" w:hAnsi="新宋体" w:eastAsia="新宋体"/>
          <w:b/>
          <w:bCs/>
          <w:szCs w:val="21"/>
        </w:rPr>
        <w:t xml:space="preserve"> </w:t>
      </w:r>
    </w:p>
    <w:p>
      <w:pPr>
        <w:spacing w:line="360" w:lineRule="auto"/>
        <w:rPr>
          <w:rFonts w:ascii="新宋体" w:hAnsi="新宋体" w:eastAsia="新宋体"/>
          <w:b/>
          <w:bCs/>
          <w:szCs w:val="21"/>
        </w:rPr>
      </w:pPr>
      <w:r>
        <w:rPr>
          <w:rFonts w:hint="eastAsia" w:ascii="新宋体" w:hAnsi="新宋体" w:eastAsia="新宋体"/>
          <w:b/>
          <w:bCs/>
          <w:szCs w:val="21"/>
        </w:rPr>
        <w:t>乙方：</w:t>
      </w:r>
      <w:r>
        <w:rPr>
          <w:rFonts w:ascii="新宋体" w:hAnsi="新宋体" w:eastAsia="新宋体"/>
          <w:b/>
          <w:bCs/>
          <w:szCs w:val="21"/>
        </w:rPr>
        <w:t xml:space="preserve">            </w:t>
      </w:r>
      <w:r>
        <w:rPr>
          <w:rFonts w:hint="eastAsia" w:ascii="新宋体" w:hAnsi="新宋体" w:eastAsia="新宋体"/>
          <w:b/>
          <w:bCs/>
          <w:szCs w:val="21"/>
        </w:rPr>
        <w:t xml:space="preserve">                            </w:t>
      </w:r>
      <w:r>
        <w:rPr>
          <w:rFonts w:ascii="新宋体" w:hAnsi="新宋体" w:eastAsia="新宋体"/>
          <w:b/>
          <w:bCs/>
          <w:szCs w:val="21"/>
        </w:rPr>
        <w:t xml:space="preserve">  </w:t>
      </w: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ind w:firstLine="560"/>
        <w:jc w:val="left"/>
        <w:rPr>
          <w:rFonts w:ascii="新宋体" w:hAnsi="新宋体" w:eastAsia="新宋体"/>
          <w:szCs w:val="21"/>
        </w:rPr>
      </w:pPr>
      <w:r>
        <w:rPr>
          <w:rFonts w:hint="eastAsia" w:ascii="新宋体" w:hAnsi="新宋体" w:eastAsia="新宋体"/>
          <w:szCs w:val="21"/>
        </w:rPr>
        <w:t>根据</w:t>
      </w:r>
      <w:r>
        <w:rPr>
          <w:rFonts w:hint="eastAsia" w:ascii="新宋体" w:hAnsi="新宋体" w:eastAsia="新宋体" w:cs="宋体"/>
          <w:kern w:val="0"/>
          <w:szCs w:val="21"/>
        </w:rPr>
        <w:t>深圳市瑞凝信招标咨询有限公司</w:t>
      </w:r>
      <w:r>
        <w:rPr>
          <w:rFonts w:hint="eastAsia" w:ascii="新宋体" w:hAnsi="新宋体" w:eastAsia="新宋体"/>
          <w:szCs w:val="21"/>
          <w:u w:val="single"/>
        </w:rPr>
        <w:t xml:space="preserve">        </w:t>
      </w:r>
      <w:r>
        <w:rPr>
          <w:rFonts w:hint="eastAsia" w:ascii="新宋体" w:hAnsi="新宋体" w:eastAsia="新宋体"/>
          <w:szCs w:val="21"/>
        </w:rPr>
        <w:t>号招标项目的投标结果，由</w:t>
      </w:r>
      <w:r>
        <w:rPr>
          <w:rFonts w:hint="eastAsia" w:ascii="新宋体" w:hAnsi="新宋体" w:eastAsia="新宋体"/>
          <w:szCs w:val="21"/>
          <w:u w:val="single"/>
        </w:rPr>
        <w:t xml:space="preserve">       </w:t>
      </w:r>
      <w:r>
        <w:rPr>
          <w:rFonts w:hint="eastAsia" w:ascii="新宋体" w:hAnsi="新宋体" w:eastAsia="新宋体"/>
          <w:szCs w:val="21"/>
        </w:rPr>
        <w:t>单位为中标方。按照《中华人民共和国合同法》和《深圳经济特区政府采购条例》，经深圳市</w:t>
      </w:r>
      <w:r>
        <w:rPr>
          <w:rFonts w:hint="eastAsia" w:ascii="新宋体" w:hAnsi="新宋体" w:eastAsia="新宋体"/>
          <w:szCs w:val="21"/>
          <w:u w:val="single"/>
        </w:rPr>
        <w:t xml:space="preserve">           </w:t>
      </w:r>
      <w:r>
        <w:rPr>
          <w:rFonts w:hint="eastAsia" w:ascii="新宋体" w:hAnsi="新宋体" w:eastAsia="新宋体"/>
          <w:szCs w:val="21"/>
        </w:rPr>
        <w:t>（以下简称甲方）和</w:t>
      </w:r>
      <w:r>
        <w:rPr>
          <w:rFonts w:hint="eastAsia" w:ascii="新宋体" w:hAnsi="新宋体" w:eastAsia="新宋体"/>
          <w:szCs w:val="21"/>
          <w:u w:val="single"/>
        </w:rPr>
        <w:t xml:space="preserve">           </w:t>
      </w:r>
      <w:r>
        <w:rPr>
          <w:rFonts w:hint="eastAsia" w:ascii="新宋体" w:hAnsi="新宋体" w:eastAsia="新宋体"/>
          <w:szCs w:val="21"/>
        </w:rPr>
        <w:t>单位（以下简称乙方）协商，达成以下合同条款：</w:t>
      </w:r>
    </w:p>
    <w:p>
      <w:pPr>
        <w:spacing w:line="360" w:lineRule="auto"/>
        <w:ind w:firstLine="560"/>
        <w:jc w:val="left"/>
        <w:rPr>
          <w:rFonts w:ascii="新宋体" w:hAnsi="新宋体" w:eastAsia="新宋体"/>
          <w:b/>
          <w:szCs w:val="21"/>
        </w:rPr>
      </w:pPr>
      <w:r>
        <w:rPr>
          <w:rFonts w:hint="eastAsia" w:ascii="新宋体" w:hAnsi="新宋体" w:eastAsia="新宋体"/>
          <w:b/>
          <w:szCs w:val="21"/>
        </w:rPr>
        <w:t>第一条  合同标的</w:t>
      </w:r>
    </w:p>
    <w:p>
      <w:pPr>
        <w:spacing w:line="360" w:lineRule="auto"/>
        <w:ind w:firstLine="560"/>
        <w:jc w:val="left"/>
        <w:rPr>
          <w:rFonts w:ascii="新宋体" w:hAnsi="新宋体" w:eastAsia="新宋体"/>
          <w:szCs w:val="21"/>
        </w:rPr>
      </w:pPr>
      <w:r>
        <w:rPr>
          <w:rFonts w:hint="eastAsia" w:ascii="新宋体" w:hAnsi="新宋体" w:eastAsia="新宋体"/>
          <w:szCs w:val="21"/>
        </w:rPr>
        <w:t>乙方根据甲方需求提供下列货物：</w:t>
      </w:r>
    </w:p>
    <w:p>
      <w:pPr>
        <w:spacing w:line="360" w:lineRule="auto"/>
        <w:ind w:firstLine="560"/>
        <w:jc w:val="left"/>
        <w:rPr>
          <w:rFonts w:ascii="新宋体" w:hAnsi="新宋体" w:eastAsia="新宋体"/>
          <w:szCs w:val="21"/>
        </w:rPr>
      </w:pPr>
      <w:r>
        <w:rPr>
          <w:rFonts w:hint="eastAsia" w:ascii="新宋体" w:hAnsi="新宋体" w:eastAsia="新宋体"/>
          <w:szCs w:val="21"/>
        </w:rPr>
        <w:t>货物名称、规格及数量详见</w:t>
      </w:r>
      <w:r>
        <w:rPr>
          <w:rFonts w:hint="eastAsia" w:ascii="新宋体" w:hAnsi="新宋体" w:eastAsia="新宋体"/>
          <w:b/>
          <w:szCs w:val="21"/>
          <w:u w:val="single"/>
        </w:rPr>
        <w:t xml:space="preserve">                  </w:t>
      </w:r>
      <w:r>
        <w:rPr>
          <w:rFonts w:hint="eastAsia" w:ascii="新宋体" w:hAnsi="新宋体" w:eastAsia="新宋体"/>
          <w:szCs w:val="21"/>
        </w:rPr>
        <w:t>。</w:t>
      </w:r>
    </w:p>
    <w:p>
      <w:pPr>
        <w:spacing w:line="360" w:lineRule="auto"/>
        <w:ind w:firstLine="560"/>
        <w:jc w:val="left"/>
        <w:rPr>
          <w:rFonts w:ascii="新宋体" w:hAnsi="新宋体" w:eastAsia="新宋体"/>
          <w:b/>
          <w:szCs w:val="21"/>
        </w:rPr>
      </w:pPr>
      <w:r>
        <w:rPr>
          <w:rFonts w:hint="eastAsia" w:ascii="新宋体" w:hAnsi="新宋体" w:eastAsia="新宋体"/>
          <w:b/>
          <w:szCs w:val="21"/>
        </w:rPr>
        <w:t>第二条  合同价款</w:t>
      </w:r>
    </w:p>
    <w:p>
      <w:pPr>
        <w:spacing w:line="360" w:lineRule="auto"/>
        <w:ind w:firstLine="560"/>
        <w:jc w:val="left"/>
        <w:rPr>
          <w:rFonts w:ascii="新宋体" w:hAnsi="新宋体" w:eastAsia="新宋体"/>
          <w:szCs w:val="21"/>
        </w:rPr>
      </w:pPr>
      <w:r>
        <w:rPr>
          <w:rFonts w:hint="eastAsia" w:ascii="新宋体" w:hAnsi="新宋体" w:eastAsia="新宋体"/>
          <w:szCs w:val="21"/>
        </w:rPr>
        <w:t>本合同项下总价款为</w:t>
      </w:r>
      <w:r>
        <w:rPr>
          <w:rFonts w:hint="eastAsia" w:ascii="新宋体" w:hAnsi="新宋体" w:eastAsia="新宋体"/>
          <w:szCs w:val="21"/>
          <w:u w:val="single"/>
        </w:rPr>
        <w:t xml:space="preserve">              </w:t>
      </w:r>
      <w:r>
        <w:rPr>
          <w:rFonts w:hint="eastAsia" w:ascii="新宋体" w:hAnsi="新宋体" w:eastAsia="新宋体"/>
          <w:szCs w:val="21"/>
        </w:rPr>
        <w:t>（大写）人民币，分项价款详见</w:t>
      </w:r>
      <w:r>
        <w:rPr>
          <w:rFonts w:hint="eastAsia" w:ascii="新宋体" w:hAnsi="新宋体" w:eastAsia="新宋体"/>
          <w:b/>
          <w:szCs w:val="21"/>
          <w:u w:val="single"/>
        </w:rPr>
        <w:t xml:space="preserve">          </w:t>
      </w:r>
      <w:r>
        <w:rPr>
          <w:rFonts w:hint="eastAsia" w:ascii="新宋体" w:hAnsi="新宋体" w:eastAsia="新宋体"/>
          <w:szCs w:val="21"/>
        </w:rPr>
        <w:t>。本合同总价款已包括乙方为履行本合同义务所发生的一切费用，系固定不变价格，且不随通货膨胀的影响而波动。</w:t>
      </w:r>
    </w:p>
    <w:p>
      <w:pPr>
        <w:spacing w:line="360" w:lineRule="auto"/>
        <w:ind w:firstLine="560"/>
        <w:jc w:val="left"/>
        <w:rPr>
          <w:rFonts w:ascii="新宋体" w:hAnsi="新宋体" w:eastAsia="新宋体"/>
          <w:b/>
          <w:szCs w:val="21"/>
        </w:rPr>
      </w:pPr>
      <w:r>
        <w:rPr>
          <w:rFonts w:hint="eastAsia" w:ascii="新宋体" w:hAnsi="新宋体" w:eastAsia="新宋体"/>
          <w:b/>
          <w:szCs w:val="21"/>
        </w:rPr>
        <w:t>第三条  权利保证</w:t>
      </w:r>
    </w:p>
    <w:p>
      <w:pPr>
        <w:spacing w:line="360" w:lineRule="auto"/>
        <w:ind w:firstLine="560"/>
        <w:jc w:val="left"/>
        <w:rPr>
          <w:rFonts w:ascii="新宋体" w:hAnsi="新宋体" w:eastAsia="新宋体"/>
          <w:szCs w:val="21"/>
        </w:rPr>
      </w:pPr>
      <w:r>
        <w:rPr>
          <w:rFonts w:hint="eastAsia" w:ascii="新宋体" w:hAnsi="新宋体" w:eastAsia="新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rFonts w:ascii="新宋体" w:hAnsi="新宋体" w:eastAsia="新宋体"/>
          <w:b/>
          <w:szCs w:val="21"/>
        </w:rPr>
      </w:pPr>
      <w:r>
        <w:rPr>
          <w:rFonts w:hint="eastAsia" w:ascii="新宋体" w:hAnsi="新宋体" w:eastAsia="新宋体"/>
          <w:b/>
          <w:szCs w:val="21"/>
        </w:rPr>
        <w:t>第四条  质量保证</w:t>
      </w:r>
    </w:p>
    <w:p>
      <w:pPr>
        <w:spacing w:line="360" w:lineRule="auto"/>
        <w:ind w:firstLine="560"/>
        <w:jc w:val="left"/>
        <w:rPr>
          <w:rFonts w:ascii="新宋体" w:hAnsi="新宋体" w:eastAsia="新宋体"/>
          <w:szCs w:val="21"/>
        </w:rPr>
      </w:pPr>
      <w:r>
        <w:rPr>
          <w:rFonts w:hint="eastAsia" w:ascii="新宋体" w:hAnsi="新宋体" w:eastAsia="新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新宋体" w:hAnsi="新宋体" w:eastAsia="新宋体"/>
          <w:szCs w:val="21"/>
        </w:rPr>
      </w:pPr>
      <w:r>
        <w:rPr>
          <w:rFonts w:hint="eastAsia" w:ascii="新宋体" w:hAnsi="新宋体" w:eastAsia="新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新宋体" w:hAnsi="新宋体" w:eastAsia="新宋体"/>
          <w:szCs w:val="21"/>
        </w:rPr>
      </w:pPr>
      <w:r>
        <w:rPr>
          <w:rFonts w:hint="eastAsia" w:ascii="新宋体" w:hAnsi="新宋体" w:eastAsia="新宋体"/>
          <w:szCs w:val="21"/>
        </w:rPr>
        <w:t>3、乙方保证交货时一并提供货物的质量合格凭证或文件。</w:t>
      </w: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b/>
          <w:szCs w:val="21"/>
        </w:rPr>
      </w:pPr>
      <w:r>
        <w:rPr>
          <w:rFonts w:hint="eastAsia" w:ascii="新宋体" w:hAnsi="新宋体" w:eastAsia="新宋体"/>
          <w:b/>
          <w:szCs w:val="21"/>
        </w:rPr>
        <w:t>第五条  交货和验收</w:t>
      </w:r>
    </w:p>
    <w:p>
      <w:pPr>
        <w:spacing w:line="360" w:lineRule="auto"/>
        <w:ind w:firstLine="560"/>
        <w:jc w:val="left"/>
        <w:rPr>
          <w:rFonts w:ascii="新宋体" w:hAnsi="新宋体" w:eastAsia="新宋体"/>
          <w:szCs w:val="21"/>
        </w:rPr>
      </w:pPr>
      <w:r>
        <w:rPr>
          <w:rFonts w:hint="eastAsia" w:ascii="新宋体" w:hAnsi="新宋体" w:eastAsia="新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新宋体" w:hAnsi="新宋体" w:eastAsia="新宋体"/>
          <w:szCs w:val="21"/>
        </w:rPr>
      </w:pPr>
      <w:r>
        <w:rPr>
          <w:rFonts w:hint="eastAsia" w:ascii="新宋体" w:hAnsi="新宋体" w:eastAsia="新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新宋体" w:hAnsi="新宋体" w:eastAsia="新宋体"/>
          <w:szCs w:val="21"/>
        </w:rPr>
      </w:pPr>
      <w:r>
        <w:rPr>
          <w:rFonts w:hint="eastAsia" w:ascii="新宋体" w:hAnsi="新宋体" w:eastAsia="新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新宋体" w:hAnsi="新宋体" w:eastAsia="新宋体"/>
          <w:szCs w:val="21"/>
        </w:rPr>
      </w:pPr>
      <w:r>
        <w:rPr>
          <w:rFonts w:hint="eastAsia" w:ascii="新宋体" w:hAnsi="新宋体" w:eastAsia="新宋体"/>
          <w:szCs w:val="21"/>
        </w:rPr>
        <w:t>4、甲方应当在到货后的</w:t>
      </w:r>
      <w:r>
        <w:rPr>
          <w:rFonts w:hint="eastAsia" w:ascii="新宋体" w:hAnsi="新宋体" w:eastAsia="新宋体"/>
          <w:szCs w:val="21"/>
          <w:u w:val="single"/>
        </w:rPr>
        <w:t xml:space="preserve">       </w:t>
      </w:r>
      <w:r>
        <w:rPr>
          <w:rFonts w:hint="eastAsia" w:ascii="新宋体" w:hAnsi="新宋体" w:eastAsia="新宋体"/>
          <w:szCs w:val="21"/>
        </w:rPr>
        <w:t>个工作日内对货物进行验收；需要乙方对货物或系统进行安装调试的，甲方应在货物安装调试完毕后的</w:t>
      </w:r>
      <w:r>
        <w:rPr>
          <w:rFonts w:hint="eastAsia" w:ascii="新宋体" w:hAnsi="新宋体" w:eastAsia="新宋体"/>
          <w:szCs w:val="21"/>
          <w:u w:val="single"/>
        </w:rPr>
        <w:t xml:space="preserve">       </w:t>
      </w:r>
      <w:r>
        <w:rPr>
          <w:rFonts w:hint="eastAsia" w:ascii="新宋体" w:hAnsi="新宋体" w:eastAsia="新宋体"/>
          <w:szCs w:val="21"/>
        </w:rPr>
        <w:t>个工作日内进行质量验收。</w:t>
      </w:r>
    </w:p>
    <w:p>
      <w:pPr>
        <w:spacing w:line="360" w:lineRule="auto"/>
        <w:ind w:firstLine="560"/>
        <w:jc w:val="left"/>
        <w:rPr>
          <w:rFonts w:ascii="新宋体" w:hAnsi="新宋体" w:eastAsia="新宋体"/>
          <w:b/>
          <w:szCs w:val="21"/>
        </w:rPr>
      </w:pPr>
      <w:r>
        <w:rPr>
          <w:rFonts w:hint="eastAsia" w:ascii="新宋体" w:hAnsi="新宋体" w:eastAsia="新宋体"/>
          <w:b/>
          <w:szCs w:val="21"/>
        </w:rPr>
        <w:t>第六条  保修及其他服务</w:t>
      </w:r>
    </w:p>
    <w:p>
      <w:pPr>
        <w:spacing w:line="360" w:lineRule="auto"/>
        <w:ind w:firstLine="560"/>
        <w:jc w:val="left"/>
        <w:rPr>
          <w:rFonts w:ascii="新宋体" w:hAnsi="新宋体" w:eastAsia="新宋体"/>
          <w:szCs w:val="21"/>
        </w:rPr>
      </w:pPr>
      <w:r>
        <w:rPr>
          <w:rFonts w:hint="eastAsia" w:ascii="新宋体" w:hAnsi="新宋体" w:eastAsia="新宋体"/>
          <w:szCs w:val="21"/>
        </w:rPr>
        <w:t>1、乙方应按照国家有关法律法规规章和“三包”规定和招标文件的要求及乙方在投标文件的相关承诺提供保修及其他服务。</w:t>
      </w:r>
    </w:p>
    <w:p>
      <w:pPr>
        <w:spacing w:line="360" w:lineRule="auto"/>
        <w:ind w:firstLine="560"/>
        <w:jc w:val="left"/>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保修期内，乙方负责对其提供的货物进行维修和系统维护，不再收取任何费用。</w:t>
      </w:r>
      <w:r>
        <w:rPr>
          <w:rFonts w:hint="eastAsia" w:ascii="新宋体" w:hAnsi="新宋体" w:eastAsia="新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新宋体" w:hAnsi="新宋体" w:eastAsia="新宋体"/>
          <w:b/>
          <w:szCs w:val="21"/>
        </w:rPr>
      </w:pPr>
      <w:r>
        <w:rPr>
          <w:rFonts w:hint="eastAsia" w:ascii="新宋体" w:hAnsi="新宋体" w:eastAsia="新宋体"/>
          <w:b/>
          <w:szCs w:val="21"/>
        </w:rPr>
        <w:t>第七条  履约保证金</w:t>
      </w:r>
    </w:p>
    <w:p>
      <w:pPr>
        <w:spacing w:line="360" w:lineRule="auto"/>
        <w:ind w:firstLine="560"/>
        <w:jc w:val="left"/>
        <w:rPr>
          <w:rFonts w:ascii="新宋体" w:hAnsi="新宋体" w:eastAsia="新宋体"/>
          <w:szCs w:val="21"/>
        </w:rPr>
      </w:pPr>
      <w:r>
        <w:rPr>
          <w:rFonts w:hint="eastAsia" w:ascii="新宋体" w:hAnsi="新宋体" w:eastAsia="新宋体"/>
          <w:szCs w:val="21"/>
        </w:rPr>
        <w:t>1、乙方应在签订本合同之日，向甲方或甲方指定的机构提交履约保证金_________元。</w:t>
      </w:r>
    </w:p>
    <w:p>
      <w:pPr>
        <w:spacing w:line="360" w:lineRule="auto"/>
        <w:ind w:firstLine="560"/>
        <w:jc w:val="left"/>
        <w:rPr>
          <w:rFonts w:ascii="新宋体" w:hAnsi="新宋体" w:eastAsia="新宋体"/>
          <w:szCs w:val="21"/>
        </w:rPr>
      </w:pPr>
      <w:r>
        <w:rPr>
          <w:rFonts w:hint="eastAsia" w:ascii="新宋体" w:hAnsi="新宋体" w:eastAsia="新宋体"/>
          <w:szCs w:val="21"/>
        </w:rPr>
        <w:t>2、如乙方未能履行合同规定的义务，甲方有权从履约保证金中取得补偿。</w:t>
      </w:r>
    </w:p>
    <w:p>
      <w:pPr>
        <w:spacing w:line="360" w:lineRule="auto"/>
        <w:ind w:firstLine="560"/>
        <w:jc w:val="left"/>
        <w:rPr>
          <w:rFonts w:ascii="新宋体" w:hAnsi="新宋体" w:eastAsia="新宋体"/>
          <w:szCs w:val="21"/>
        </w:rPr>
      </w:pPr>
      <w:r>
        <w:rPr>
          <w:rFonts w:hint="eastAsia" w:ascii="新宋体" w:hAnsi="新宋体" w:eastAsia="新宋体"/>
          <w:szCs w:val="21"/>
        </w:rPr>
        <w:t>3、甲方在乙方履行完毕本合同项下全部义务后______天内无息退还乙方。</w:t>
      </w: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b/>
          <w:szCs w:val="21"/>
        </w:rPr>
      </w:pPr>
      <w:r>
        <w:rPr>
          <w:rFonts w:hint="eastAsia" w:ascii="新宋体" w:hAnsi="新宋体" w:eastAsia="新宋体"/>
          <w:b/>
          <w:szCs w:val="21"/>
        </w:rPr>
        <w:t>第八条   货款支付</w:t>
      </w: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b/>
          <w:szCs w:val="21"/>
        </w:rPr>
      </w:pPr>
      <w:r>
        <w:rPr>
          <w:rFonts w:hint="eastAsia" w:ascii="新宋体" w:hAnsi="新宋体" w:eastAsia="新宋体"/>
          <w:b/>
          <w:szCs w:val="21"/>
        </w:rPr>
        <w:t>第九条    违约责任</w:t>
      </w:r>
    </w:p>
    <w:p>
      <w:pPr>
        <w:spacing w:line="360" w:lineRule="auto"/>
        <w:ind w:firstLine="560"/>
        <w:jc w:val="left"/>
        <w:rPr>
          <w:rFonts w:ascii="新宋体" w:hAnsi="新宋体" w:eastAsia="新宋体"/>
          <w:szCs w:val="21"/>
        </w:rPr>
      </w:pPr>
      <w:r>
        <w:rPr>
          <w:rFonts w:hint="eastAsia" w:ascii="新宋体" w:hAnsi="新宋体" w:eastAsia="新宋体"/>
          <w:szCs w:val="21"/>
        </w:rPr>
        <w:t>１、甲方无正当理由拒收货物、拒付货物款的，由甲方向乙方偿付合同总价的【】%违约金。</w:t>
      </w:r>
    </w:p>
    <w:p>
      <w:pPr>
        <w:spacing w:line="360" w:lineRule="auto"/>
        <w:ind w:firstLine="560"/>
        <w:jc w:val="left"/>
        <w:rPr>
          <w:rFonts w:ascii="新宋体" w:hAnsi="新宋体" w:eastAsia="新宋体"/>
          <w:szCs w:val="21"/>
        </w:rPr>
      </w:pPr>
      <w:r>
        <w:rPr>
          <w:rFonts w:hint="eastAsia" w:ascii="新宋体" w:hAnsi="新宋体" w:eastAsia="新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新宋体" w:hAnsi="新宋体" w:eastAsia="新宋体"/>
          <w:szCs w:val="21"/>
        </w:rPr>
      </w:pPr>
      <w:r>
        <w:rPr>
          <w:rFonts w:hint="eastAsia" w:ascii="新宋体" w:hAnsi="新宋体" w:eastAsia="新宋体"/>
          <w:szCs w:val="21"/>
        </w:rPr>
        <w:t>３、</w:t>
      </w:r>
      <w:r>
        <w:rPr>
          <w:rFonts w:ascii="新宋体" w:hAnsi="新宋体" w:eastAsia="新宋体"/>
          <w:szCs w:val="21"/>
        </w:rPr>
        <w:t>乙方逾期交付货物的，每逾期1天，乙方向甲方偿付逾期交货部分货款总额的</w:t>
      </w:r>
      <w:r>
        <w:rPr>
          <w:rFonts w:hint="eastAsia" w:ascii="新宋体" w:hAnsi="新宋体" w:eastAsia="新宋体"/>
          <w:szCs w:val="21"/>
        </w:rPr>
        <w:t>【】</w:t>
      </w:r>
      <w:r>
        <w:rPr>
          <w:rFonts w:ascii="新宋体" w:hAnsi="新宋体" w:eastAsia="新宋体"/>
          <w:szCs w:val="21"/>
        </w:rPr>
        <w:t>‰的滞纳金</w:t>
      </w:r>
      <w:r>
        <w:rPr>
          <w:rFonts w:hint="eastAsia" w:ascii="新宋体" w:hAnsi="新宋体" w:eastAsia="新宋体"/>
          <w:szCs w:val="21"/>
        </w:rPr>
        <w:t>。如乙方逾期交货达</w:t>
      </w:r>
      <w:r>
        <w:rPr>
          <w:rFonts w:hint="eastAsia" w:ascii="新宋体" w:hAnsi="新宋体" w:eastAsia="新宋体"/>
          <w:szCs w:val="21"/>
          <w:u w:val="single"/>
        </w:rPr>
        <w:t xml:space="preserve">    </w:t>
      </w:r>
      <w:r>
        <w:rPr>
          <w:rFonts w:hint="eastAsia" w:ascii="新宋体" w:hAnsi="新宋体" w:eastAsia="新宋体"/>
          <w:szCs w:val="21"/>
        </w:rPr>
        <w:t>天，甲方有权解除合同，履约保证金不予退回，同时乙方应向甲方支付合同总价【】％的违约金。</w:t>
      </w:r>
    </w:p>
    <w:p>
      <w:pPr>
        <w:spacing w:line="360" w:lineRule="auto"/>
        <w:ind w:firstLine="560"/>
        <w:jc w:val="left"/>
        <w:rPr>
          <w:rFonts w:ascii="新宋体" w:hAnsi="新宋体" w:eastAsia="新宋体"/>
          <w:szCs w:val="21"/>
        </w:rPr>
      </w:pPr>
      <w:r>
        <w:rPr>
          <w:rFonts w:hint="eastAsia" w:ascii="新宋体" w:hAnsi="新宋体" w:eastAsia="新宋体"/>
          <w:szCs w:val="21"/>
        </w:rPr>
        <w:t>4、乙方所交付的货物品种、型号、规格不符合合同规定的，甲方有权拒收。甲方拒收的，乙方应向甲方支付货款总额【】%的违约金。</w:t>
      </w:r>
    </w:p>
    <w:p>
      <w:pPr>
        <w:spacing w:line="360" w:lineRule="auto"/>
        <w:ind w:firstLine="560"/>
        <w:jc w:val="left"/>
        <w:rPr>
          <w:rFonts w:ascii="新宋体" w:hAnsi="新宋体" w:eastAsia="新宋体"/>
          <w:szCs w:val="21"/>
        </w:rPr>
      </w:pPr>
      <w:r>
        <w:rPr>
          <w:rFonts w:hint="eastAsia" w:ascii="新宋体" w:hAnsi="新宋体" w:eastAsia="新宋体"/>
          <w:szCs w:val="21"/>
        </w:rPr>
        <w:t>5、在乙方承诺的或国家规定的质量保证期内（取两者中最长的期限），</w:t>
      </w:r>
      <w:r>
        <w:rPr>
          <w:rFonts w:ascii="新宋体" w:hAnsi="新宋体" w:eastAsia="新宋体"/>
          <w:szCs w:val="21"/>
        </w:rPr>
        <w:t>如经乙方两次维修</w:t>
      </w:r>
      <w:r>
        <w:rPr>
          <w:rFonts w:hint="eastAsia" w:ascii="新宋体" w:hAnsi="新宋体" w:eastAsia="新宋体"/>
          <w:szCs w:val="21"/>
        </w:rPr>
        <w:t>或更换</w:t>
      </w:r>
      <w:r>
        <w:rPr>
          <w:rFonts w:ascii="新宋体" w:hAnsi="新宋体" w:eastAsia="新宋体"/>
          <w:szCs w:val="21"/>
        </w:rPr>
        <w:t>，货物仍不能达到合同约定</w:t>
      </w:r>
      <w:r>
        <w:rPr>
          <w:rFonts w:hint="eastAsia" w:ascii="新宋体" w:hAnsi="新宋体" w:eastAsia="新宋体"/>
          <w:szCs w:val="21"/>
        </w:rPr>
        <w:t>的</w:t>
      </w:r>
      <w:r>
        <w:rPr>
          <w:rFonts w:ascii="新宋体" w:hAnsi="新宋体" w:eastAsia="新宋体"/>
          <w:szCs w:val="21"/>
        </w:rPr>
        <w:t>质量标准，甲方有权退货，乙方</w:t>
      </w:r>
      <w:r>
        <w:rPr>
          <w:rFonts w:hint="eastAsia" w:ascii="新宋体" w:hAnsi="新宋体" w:eastAsia="新宋体"/>
          <w:szCs w:val="21"/>
        </w:rPr>
        <w:t>应</w:t>
      </w:r>
      <w:r>
        <w:rPr>
          <w:rFonts w:ascii="新宋体" w:hAnsi="新宋体" w:eastAsia="新宋体"/>
          <w:szCs w:val="21"/>
        </w:rPr>
        <w:t>退回全部货款</w:t>
      </w:r>
      <w:r>
        <w:rPr>
          <w:rFonts w:hint="eastAsia" w:ascii="新宋体" w:hAnsi="新宋体" w:eastAsia="新宋体"/>
          <w:szCs w:val="21"/>
        </w:rPr>
        <w:t>并</w:t>
      </w:r>
      <w:r>
        <w:rPr>
          <w:rFonts w:ascii="新宋体" w:hAnsi="新宋体" w:eastAsia="新宋体"/>
          <w:szCs w:val="21"/>
        </w:rPr>
        <w:t>赔偿甲方因此遭受的损失。</w:t>
      </w:r>
    </w:p>
    <w:p>
      <w:pPr>
        <w:spacing w:line="360" w:lineRule="auto"/>
        <w:ind w:firstLine="560"/>
        <w:jc w:val="left"/>
        <w:rPr>
          <w:rFonts w:ascii="新宋体" w:hAnsi="新宋体" w:eastAsia="新宋体"/>
          <w:szCs w:val="21"/>
        </w:rPr>
      </w:pPr>
      <w:r>
        <w:rPr>
          <w:rFonts w:hint="eastAsia" w:ascii="新宋体" w:hAnsi="新宋体" w:eastAsia="新宋体"/>
          <w:szCs w:val="21"/>
        </w:rPr>
        <w:t>6、乙方未履行本合同项下的其他义务或违反其在投标文件中的相关承诺的，应按合同总价款的【】%向甲方承担违约责任。</w:t>
      </w:r>
    </w:p>
    <w:p>
      <w:pPr>
        <w:spacing w:line="360" w:lineRule="auto"/>
        <w:ind w:firstLine="560"/>
        <w:jc w:val="left"/>
        <w:rPr>
          <w:rFonts w:ascii="新宋体" w:hAnsi="新宋体" w:eastAsia="新宋体"/>
          <w:szCs w:val="21"/>
        </w:rPr>
      </w:pPr>
      <w:r>
        <w:rPr>
          <w:rFonts w:hint="eastAsia" w:ascii="新宋体" w:hAnsi="新宋体" w:eastAsia="新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rFonts w:ascii="新宋体" w:hAnsi="新宋体" w:eastAsia="新宋体"/>
          <w:b/>
          <w:szCs w:val="21"/>
        </w:rPr>
      </w:pPr>
      <w:r>
        <w:rPr>
          <w:rFonts w:hint="eastAsia" w:ascii="新宋体" w:hAnsi="新宋体" w:eastAsia="新宋体"/>
          <w:b/>
          <w:szCs w:val="21"/>
        </w:rPr>
        <w:t>第十条    合同的变更和终止</w:t>
      </w:r>
    </w:p>
    <w:p>
      <w:pPr>
        <w:spacing w:line="360" w:lineRule="auto"/>
        <w:ind w:firstLine="560"/>
        <w:jc w:val="left"/>
        <w:rPr>
          <w:rFonts w:ascii="新宋体" w:hAnsi="新宋体" w:eastAsia="新宋体"/>
          <w:szCs w:val="21"/>
        </w:rPr>
      </w:pPr>
      <w:r>
        <w:rPr>
          <w:rFonts w:hint="eastAsia" w:ascii="新宋体" w:hAnsi="新宋体" w:eastAsia="新宋体"/>
          <w:szCs w:val="21"/>
        </w:rPr>
        <w:t>除《中华人民共和国政府采购法》第４９条、第５０条第二款规定的情形外，本合同一经签订，甲乙双方不得擅自变更、中止或终止合同。</w:t>
      </w:r>
    </w:p>
    <w:p>
      <w:pPr>
        <w:spacing w:line="360" w:lineRule="auto"/>
        <w:ind w:firstLine="560"/>
        <w:jc w:val="left"/>
        <w:rPr>
          <w:rFonts w:ascii="新宋体" w:hAnsi="新宋体" w:eastAsia="新宋体"/>
          <w:b/>
          <w:szCs w:val="21"/>
        </w:rPr>
      </w:pPr>
      <w:r>
        <w:rPr>
          <w:rFonts w:hint="eastAsia" w:ascii="新宋体" w:hAnsi="新宋体" w:eastAsia="新宋体"/>
          <w:b/>
          <w:szCs w:val="21"/>
        </w:rPr>
        <w:t>第十一条   争议的解决</w:t>
      </w:r>
    </w:p>
    <w:p>
      <w:pPr>
        <w:spacing w:line="360" w:lineRule="auto"/>
        <w:ind w:firstLine="560"/>
        <w:jc w:val="left"/>
        <w:rPr>
          <w:rFonts w:ascii="新宋体" w:hAnsi="新宋体" w:eastAsia="新宋体"/>
          <w:szCs w:val="21"/>
        </w:rPr>
      </w:pPr>
      <w:r>
        <w:rPr>
          <w:rFonts w:hint="eastAsia" w:ascii="新宋体" w:hAnsi="新宋体" w:eastAsia="新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新宋体" w:hAnsi="新宋体" w:eastAsia="新宋体"/>
          <w:szCs w:val="21"/>
        </w:rPr>
      </w:pPr>
      <w:r>
        <w:rPr>
          <w:rFonts w:hint="eastAsia" w:ascii="新宋体" w:hAnsi="新宋体" w:eastAsia="新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rFonts w:ascii="新宋体" w:hAnsi="新宋体" w:eastAsia="新宋体"/>
          <w:b/>
          <w:szCs w:val="21"/>
        </w:rPr>
      </w:pPr>
      <w:r>
        <w:rPr>
          <w:rFonts w:hint="eastAsia" w:ascii="新宋体" w:hAnsi="新宋体" w:eastAsia="新宋体"/>
          <w:b/>
          <w:szCs w:val="21"/>
        </w:rPr>
        <w:t>第十二条   合同生效及其他</w:t>
      </w:r>
    </w:p>
    <w:p>
      <w:pPr>
        <w:spacing w:line="360" w:lineRule="auto"/>
        <w:ind w:firstLine="560"/>
        <w:jc w:val="left"/>
        <w:rPr>
          <w:rFonts w:ascii="新宋体" w:hAnsi="新宋体" w:eastAsia="新宋体"/>
          <w:szCs w:val="21"/>
        </w:rPr>
      </w:pPr>
      <w:r>
        <w:rPr>
          <w:rFonts w:hint="eastAsia" w:ascii="新宋体" w:hAnsi="新宋体" w:eastAsia="新宋体"/>
          <w:szCs w:val="21"/>
        </w:rPr>
        <w:t>1、下列文件均为本合同的组成部分：</w:t>
      </w:r>
    </w:p>
    <w:p>
      <w:pPr>
        <w:spacing w:line="360" w:lineRule="auto"/>
        <w:ind w:firstLine="560"/>
        <w:jc w:val="left"/>
        <w:rPr>
          <w:rFonts w:ascii="新宋体" w:hAnsi="新宋体" w:eastAsia="新宋体"/>
          <w:szCs w:val="21"/>
        </w:rPr>
      </w:pPr>
      <w:r>
        <w:rPr>
          <w:rFonts w:hint="eastAsia" w:ascii="新宋体" w:hAnsi="新宋体" w:eastAsia="新宋体"/>
          <w:szCs w:val="21"/>
        </w:rPr>
        <w:t>（1）</w:t>
      </w:r>
      <w:r>
        <w:rPr>
          <w:rFonts w:hint="eastAsia" w:ascii="新宋体" w:hAnsi="新宋体" w:eastAsia="新宋体"/>
          <w:szCs w:val="21"/>
          <w:u w:val="single"/>
        </w:rPr>
        <w:t xml:space="preserve">         </w:t>
      </w:r>
      <w:r>
        <w:rPr>
          <w:rFonts w:hint="eastAsia" w:ascii="新宋体" w:hAnsi="新宋体" w:eastAsia="新宋体"/>
          <w:szCs w:val="21"/>
        </w:rPr>
        <w:t>号招标文件、答疑及补充通知；</w:t>
      </w:r>
    </w:p>
    <w:p>
      <w:pPr>
        <w:spacing w:line="360" w:lineRule="auto"/>
        <w:ind w:firstLine="560"/>
        <w:jc w:val="left"/>
        <w:rPr>
          <w:rFonts w:ascii="新宋体" w:hAnsi="新宋体" w:eastAsia="新宋体"/>
          <w:szCs w:val="21"/>
        </w:rPr>
      </w:pPr>
      <w:r>
        <w:rPr>
          <w:rFonts w:hint="eastAsia" w:ascii="新宋体" w:hAnsi="新宋体" w:eastAsia="新宋体"/>
          <w:szCs w:val="21"/>
        </w:rPr>
        <w:t>（2）乙方的投标文件；</w:t>
      </w:r>
    </w:p>
    <w:p>
      <w:pPr>
        <w:spacing w:line="360" w:lineRule="auto"/>
        <w:ind w:firstLine="560"/>
        <w:jc w:val="left"/>
        <w:rPr>
          <w:rFonts w:ascii="新宋体" w:hAnsi="新宋体" w:eastAsia="新宋体"/>
          <w:szCs w:val="21"/>
        </w:rPr>
      </w:pPr>
      <w:r>
        <w:rPr>
          <w:rFonts w:hint="eastAsia" w:ascii="新宋体" w:hAnsi="新宋体" w:eastAsia="新宋体"/>
          <w:szCs w:val="21"/>
        </w:rPr>
        <w:t>（3）本合同执行中甲乙双方共同签署的补充与修正文件。</w:t>
      </w:r>
    </w:p>
    <w:p>
      <w:pPr>
        <w:spacing w:line="360" w:lineRule="auto"/>
        <w:ind w:firstLine="560"/>
        <w:jc w:val="left"/>
        <w:rPr>
          <w:rFonts w:ascii="新宋体" w:hAnsi="新宋体" w:eastAsia="新宋体"/>
          <w:szCs w:val="21"/>
        </w:rPr>
      </w:pPr>
      <w:r>
        <w:rPr>
          <w:rFonts w:hint="eastAsia" w:ascii="新宋体" w:hAnsi="新宋体" w:eastAsia="新宋体"/>
          <w:szCs w:val="21"/>
        </w:rPr>
        <w:t>2、本合同一式</w:t>
      </w:r>
      <w:r>
        <w:rPr>
          <w:rFonts w:hint="eastAsia" w:ascii="新宋体" w:hAnsi="新宋体" w:eastAsia="新宋体"/>
          <w:szCs w:val="21"/>
          <w:u w:val="single"/>
        </w:rPr>
        <w:t xml:space="preserve">     </w:t>
      </w:r>
      <w:r>
        <w:rPr>
          <w:rFonts w:hint="eastAsia" w:ascii="新宋体" w:hAnsi="新宋体" w:eastAsia="新宋体"/>
          <w:szCs w:val="21"/>
        </w:rPr>
        <w:t>份，甲、乙方双方各执</w:t>
      </w:r>
      <w:r>
        <w:rPr>
          <w:rFonts w:hint="eastAsia" w:ascii="新宋体" w:hAnsi="新宋体" w:eastAsia="新宋体"/>
          <w:szCs w:val="21"/>
          <w:u w:val="single"/>
        </w:rPr>
        <w:t xml:space="preserve">     </w:t>
      </w:r>
      <w:r>
        <w:rPr>
          <w:rFonts w:hint="eastAsia" w:ascii="新宋体" w:hAnsi="新宋体" w:eastAsia="新宋体"/>
          <w:szCs w:val="21"/>
        </w:rPr>
        <w:t>份，具有同等法律效力。本合同自双方法定代表人（或授权代表）签字并盖章之日起生效。</w:t>
      </w: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szCs w:val="21"/>
        </w:rPr>
      </w:pPr>
      <w:r>
        <w:rPr>
          <w:rFonts w:hint="eastAsia" w:ascii="新宋体" w:hAnsi="新宋体" w:eastAsia="新宋体"/>
          <w:szCs w:val="21"/>
        </w:rPr>
        <w:t>甲方（采购人）：   （盖章）       乙方（供应商）：    （盖章）</w:t>
      </w:r>
    </w:p>
    <w:p>
      <w:pPr>
        <w:spacing w:line="360" w:lineRule="auto"/>
        <w:ind w:firstLine="560"/>
        <w:jc w:val="left"/>
        <w:rPr>
          <w:rFonts w:ascii="新宋体" w:hAnsi="新宋体" w:eastAsia="新宋体"/>
          <w:szCs w:val="21"/>
        </w:rPr>
      </w:pPr>
      <w:r>
        <w:rPr>
          <w:rFonts w:hint="eastAsia" w:ascii="新宋体" w:hAnsi="新宋体" w:eastAsia="新宋体"/>
          <w:szCs w:val="21"/>
        </w:rPr>
        <w:t xml:space="preserve">法定代表人：                     法定代表人： </w:t>
      </w:r>
    </w:p>
    <w:p>
      <w:pPr>
        <w:spacing w:line="360" w:lineRule="auto"/>
        <w:ind w:firstLine="560"/>
        <w:jc w:val="left"/>
        <w:rPr>
          <w:rFonts w:ascii="新宋体" w:hAnsi="新宋体" w:eastAsia="新宋体"/>
          <w:szCs w:val="21"/>
        </w:rPr>
      </w:pPr>
      <w:r>
        <w:rPr>
          <w:rFonts w:hint="eastAsia" w:ascii="新宋体" w:hAnsi="新宋体" w:eastAsia="新宋体"/>
          <w:szCs w:val="21"/>
        </w:rPr>
        <w:t>委托代理人：                     委托代理人：</w:t>
      </w:r>
    </w:p>
    <w:p>
      <w:pPr>
        <w:spacing w:line="360" w:lineRule="auto"/>
        <w:ind w:firstLine="525" w:firstLineChars="250"/>
        <w:rPr>
          <w:rFonts w:ascii="新宋体" w:hAnsi="新宋体" w:eastAsia="新宋体"/>
          <w:b/>
          <w:szCs w:val="21"/>
        </w:rPr>
      </w:pPr>
      <w:r>
        <w:rPr>
          <w:rFonts w:hint="eastAsia" w:ascii="新宋体" w:hAnsi="新宋体" w:eastAsia="新宋体"/>
          <w:szCs w:val="21"/>
        </w:rPr>
        <w:t>日期：   年     月    日         日期：   年     月    日</w:t>
      </w:r>
    </w:p>
    <w:p>
      <w:pPr>
        <w:spacing w:line="360" w:lineRule="auto"/>
        <w:rPr>
          <w:rFonts w:ascii="新宋体" w:hAnsi="新宋体" w:eastAsia="新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4"/>
        <w:jc w:val="center"/>
        <w:rPr>
          <w:rFonts w:ascii="黑体" w:eastAsia="黑体"/>
          <w:b w:val="0"/>
          <w:kern w:val="0"/>
          <w:sz w:val="24"/>
          <w:szCs w:val="24"/>
        </w:rPr>
      </w:pPr>
      <w:r>
        <w:rPr>
          <w:rFonts w:hint="eastAsia" w:ascii="黑体" w:eastAsia="黑体"/>
          <w:b w:val="0"/>
          <w:kern w:val="0"/>
          <w:sz w:val="24"/>
          <w:szCs w:val="24"/>
        </w:rPr>
        <w:t>三、政府采购履约情况反馈表</w:t>
      </w:r>
    </w:p>
    <w:p>
      <w:pPr>
        <w:spacing w:line="240" w:lineRule="atLeast"/>
        <w:rPr>
          <w:rFonts w:ascii="宋体" w:hAnsi="宋体"/>
          <w:b/>
          <w:szCs w:val="21"/>
        </w:rPr>
      </w:pPr>
      <w:r>
        <w:rPr>
          <w:rFonts w:hint="eastAsia" w:ascii="宋体" w:hAnsi="宋体"/>
          <w:b/>
          <w:szCs w:val="21"/>
        </w:rPr>
        <w:t>采购人名称：                       联系人及电话：</w:t>
      </w:r>
    </w:p>
    <w:p>
      <w:pPr>
        <w:spacing w:line="60" w:lineRule="exact"/>
        <w:rPr>
          <w:rFonts w:ascii="宋体" w:hAnsi="宋体"/>
          <w:b/>
          <w:szCs w:val="21"/>
        </w:rPr>
      </w:pPr>
    </w:p>
    <w:tbl>
      <w:tblPr>
        <w:tblStyle w:val="43"/>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采购人意见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1、本表为采购人向深圳市政府采购中心反映政府采购项目履约情况时所用；</w:t>
      </w:r>
    </w:p>
    <w:p>
      <w:pPr>
        <w:spacing w:line="360" w:lineRule="auto"/>
        <w:rPr>
          <w:rFonts w:ascii="新宋体" w:hAnsi="新宋体" w:eastAsia="新宋体"/>
          <w:szCs w:val="21"/>
        </w:rPr>
      </w:pPr>
      <w:r>
        <w:rPr>
          <w:rFonts w:hint="eastAsia" w:ascii="宋体" w:hAnsi="宋体"/>
          <w:szCs w:val="21"/>
        </w:rPr>
        <w:t>2、履约情况评价分为优、良、中、差四个等级，请在对应的框前打“√”，然后在“具体情况说明”一栏详细说明有关情况。</w:t>
      </w:r>
    </w:p>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18</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9347054"/>
    <w:multiLevelType w:val="multilevel"/>
    <w:tmpl w:val="2934705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EC17BB9"/>
    <w:multiLevelType w:val="multilevel"/>
    <w:tmpl w:val="4EC17BB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4BCF"/>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3CCF"/>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46C2"/>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543"/>
    <w:rsid w:val="001D4151"/>
    <w:rsid w:val="001D58E5"/>
    <w:rsid w:val="001D7299"/>
    <w:rsid w:val="001E0FAB"/>
    <w:rsid w:val="001E2084"/>
    <w:rsid w:val="001E2502"/>
    <w:rsid w:val="001E292F"/>
    <w:rsid w:val="001E351C"/>
    <w:rsid w:val="001E4397"/>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251F"/>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DE4"/>
    <w:rsid w:val="003A6A5A"/>
    <w:rsid w:val="003A72E9"/>
    <w:rsid w:val="003B175A"/>
    <w:rsid w:val="003B3231"/>
    <w:rsid w:val="003B357A"/>
    <w:rsid w:val="003B499C"/>
    <w:rsid w:val="003B4CCD"/>
    <w:rsid w:val="003B53D4"/>
    <w:rsid w:val="003B56D7"/>
    <w:rsid w:val="003B5C43"/>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97291"/>
    <w:rsid w:val="004A1AB1"/>
    <w:rsid w:val="004A2013"/>
    <w:rsid w:val="004A201B"/>
    <w:rsid w:val="004A2B7A"/>
    <w:rsid w:val="004A3EB3"/>
    <w:rsid w:val="004A4377"/>
    <w:rsid w:val="004A57EB"/>
    <w:rsid w:val="004A5824"/>
    <w:rsid w:val="004A59D3"/>
    <w:rsid w:val="004A6D7C"/>
    <w:rsid w:val="004A6F11"/>
    <w:rsid w:val="004A74DD"/>
    <w:rsid w:val="004B00D1"/>
    <w:rsid w:val="004B0B57"/>
    <w:rsid w:val="004B0BBE"/>
    <w:rsid w:val="004B1246"/>
    <w:rsid w:val="004B1CAB"/>
    <w:rsid w:val="004B2FF9"/>
    <w:rsid w:val="004B3506"/>
    <w:rsid w:val="004B36ED"/>
    <w:rsid w:val="004B40DB"/>
    <w:rsid w:val="004B4EF6"/>
    <w:rsid w:val="004B612E"/>
    <w:rsid w:val="004B623B"/>
    <w:rsid w:val="004B6554"/>
    <w:rsid w:val="004B6B22"/>
    <w:rsid w:val="004B6C50"/>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295C"/>
    <w:rsid w:val="004E38B2"/>
    <w:rsid w:val="004E3936"/>
    <w:rsid w:val="004E490B"/>
    <w:rsid w:val="004E57F7"/>
    <w:rsid w:val="004E5D9C"/>
    <w:rsid w:val="004E6707"/>
    <w:rsid w:val="004E6B8E"/>
    <w:rsid w:val="004F0543"/>
    <w:rsid w:val="004F0D33"/>
    <w:rsid w:val="004F2385"/>
    <w:rsid w:val="004F246C"/>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47404"/>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9F0"/>
    <w:rsid w:val="005F0C00"/>
    <w:rsid w:val="005F1037"/>
    <w:rsid w:val="005F2BF8"/>
    <w:rsid w:val="005F2EA8"/>
    <w:rsid w:val="005F5D1D"/>
    <w:rsid w:val="005F60C9"/>
    <w:rsid w:val="005F64C6"/>
    <w:rsid w:val="006008F1"/>
    <w:rsid w:val="00601714"/>
    <w:rsid w:val="00601735"/>
    <w:rsid w:val="00602BD2"/>
    <w:rsid w:val="00604980"/>
    <w:rsid w:val="0060614D"/>
    <w:rsid w:val="00610871"/>
    <w:rsid w:val="00610E48"/>
    <w:rsid w:val="00610FE0"/>
    <w:rsid w:val="00613C47"/>
    <w:rsid w:val="00615086"/>
    <w:rsid w:val="00616201"/>
    <w:rsid w:val="00616225"/>
    <w:rsid w:val="0061705E"/>
    <w:rsid w:val="006176F1"/>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6B9"/>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6450"/>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32B3"/>
    <w:rsid w:val="00704164"/>
    <w:rsid w:val="007063BD"/>
    <w:rsid w:val="00706A58"/>
    <w:rsid w:val="00707517"/>
    <w:rsid w:val="007078ED"/>
    <w:rsid w:val="00710187"/>
    <w:rsid w:val="007110E1"/>
    <w:rsid w:val="00711B18"/>
    <w:rsid w:val="007126D1"/>
    <w:rsid w:val="00714394"/>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37FD3"/>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77CB"/>
    <w:rsid w:val="0087056E"/>
    <w:rsid w:val="00870CB6"/>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2707"/>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86CB0"/>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A7822"/>
    <w:rsid w:val="00AB040A"/>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B5D"/>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3B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3782B"/>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3FCE"/>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517"/>
    <w:rsid w:val="00D52D7F"/>
    <w:rsid w:val="00D53034"/>
    <w:rsid w:val="00D541A8"/>
    <w:rsid w:val="00D55A05"/>
    <w:rsid w:val="00D562A8"/>
    <w:rsid w:val="00D61A9F"/>
    <w:rsid w:val="00D61EDD"/>
    <w:rsid w:val="00D628AF"/>
    <w:rsid w:val="00D6294B"/>
    <w:rsid w:val="00D654F8"/>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2247"/>
    <w:rsid w:val="00DF2353"/>
    <w:rsid w:val="00DF3AB2"/>
    <w:rsid w:val="00DF4116"/>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B81"/>
    <w:rsid w:val="00ED19B3"/>
    <w:rsid w:val="00ED1A64"/>
    <w:rsid w:val="00ED28DD"/>
    <w:rsid w:val="00ED421C"/>
    <w:rsid w:val="00ED43A6"/>
    <w:rsid w:val="00ED502A"/>
    <w:rsid w:val="00ED69B3"/>
    <w:rsid w:val="00ED6FB9"/>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6E25"/>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2272A1E"/>
    <w:rsid w:val="090C7C1B"/>
    <w:rsid w:val="0C4C5587"/>
    <w:rsid w:val="117F29AC"/>
    <w:rsid w:val="16DB093E"/>
    <w:rsid w:val="17410C07"/>
    <w:rsid w:val="1B9568D0"/>
    <w:rsid w:val="2C254CEA"/>
    <w:rsid w:val="4A1756FB"/>
    <w:rsid w:val="4F8F3225"/>
    <w:rsid w:val="51340057"/>
    <w:rsid w:val="57D35754"/>
    <w:rsid w:val="69D4537F"/>
    <w:rsid w:val="77F40672"/>
    <w:rsid w:val="7DE158E6"/>
    <w:rsid w:val="7F00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71"/>
    <w:qFormat/>
    <w:uiPriority w:val="0"/>
    <w:pPr>
      <w:adjustRightInd w:val="0"/>
      <w:jc w:val="center"/>
      <w:textAlignment w:val="baseline"/>
      <w:outlineLvl w:val="1"/>
    </w:pPr>
    <w:rPr>
      <w:kern w:val="0"/>
      <w:sz w:val="24"/>
      <w:szCs w:val="20"/>
    </w:rPr>
  </w:style>
  <w:style w:type="paragraph" w:styleId="4">
    <w:name w:val="heading 3"/>
    <w:basedOn w:val="5"/>
    <w:next w:val="1"/>
    <w:link w:val="55"/>
    <w:qFormat/>
    <w:uiPriority w:val="0"/>
    <w:pPr>
      <w:spacing w:before="260" w:after="260" w:line="240" w:lineRule="auto"/>
      <w:outlineLvl w:val="2"/>
    </w:pPr>
    <w:rPr>
      <w:rFonts w:ascii="宋体" w:hAnsi="宋体" w:eastAsia="宋体"/>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0"/>
    <w:qFormat/>
    <w:uiPriority w:val="0"/>
    <w:pPr>
      <w:keepNext/>
      <w:keepLines/>
      <w:spacing w:before="280" w:after="290" w:line="376" w:lineRule="auto"/>
      <w:outlineLvl w:val="4"/>
    </w:pPr>
    <w:rPr>
      <w:b/>
      <w:sz w:val="28"/>
      <w:szCs w:val="20"/>
    </w:rPr>
  </w:style>
  <w:style w:type="paragraph" w:styleId="8">
    <w:name w:val="heading 6"/>
    <w:basedOn w:val="1"/>
    <w:next w:val="7"/>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4"/>
    <w:qFormat/>
    <w:uiPriority w:val="0"/>
    <w:pPr>
      <w:keepNext/>
      <w:keepLines/>
      <w:spacing w:before="240" w:after="64" w:line="320" w:lineRule="auto"/>
      <w:outlineLvl w:val="6"/>
    </w:pPr>
    <w:rPr>
      <w:b/>
      <w:sz w:val="24"/>
      <w:szCs w:val="20"/>
    </w:rPr>
  </w:style>
  <w:style w:type="paragraph" w:styleId="10">
    <w:name w:val="heading 8"/>
    <w:basedOn w:val="1"/>
    <w:next w:val="7"/>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semiHidden/>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0"/>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470"/>
    <w:qFormat/>
    <w:uiPriority w:val="0"/>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0"/>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sz w:val="20"/>
    </w:rPr>
  </w:style>
  <w:style w:type="character" w:styleId="51">
    <w:name w:val="Hyperlink"/>
    <w:qFormat/>
    <w:uiPriority w:val="0"/>
    <w:rPr>
      <w:color w:val="0000FF"/>
      <w:u w:val="single"/>
    </w:rPr>
  </w:style>
  <w:style w:type="character" w:styleId="52">
    <w:name w:val="annotation reference"/>
    <w:basedOn w:val="46"/>
    <w:qFormat/>
    <w:uiPriority w:val="0"/>
    <w:rPr>
      <w:sz w:val="21"/>
      <w:szCs w:val="21"/>
    </w:rPr>
  </w:style>
  <w:style w:type="character" w:customStyle="1" w:styleId="53">
    <w:name w:val="标题 4 Char"/>
    <w:link w:val="5"/>
    <w:qFormat/>
    <w:uiPriority w:val="0"/>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4"/>
    <w:qFormat/>
    <w:uiPriority w:val="0"/>
    <w:rPr>
      <w:rFonts w:ascii="宋体" w:hAnsi="宋体" w:eastAsia="宋体"/>
      <w:b/>
      <w:bCs/>
      <w:kern w:val="2"/>
      <w:sz w:val="28"/>
      <w:szCs w:val="32"/>
      <w:lang w:val="en-US" w:eastAsia="zh-CN" w:bidi="ar-SA"/>
    </w:rPr>
  </w:style>
  <w:style w:type="character" w:customStyle="1" w:styleId="56">
    <w:name w:val="标题 1 Char"/>
    <w:link w:val="2"/>
    <w:qFormat/>
    <w:uiPriority w:val="0"/>
    <w:rPr>
      <w:rFonts w:ascii="宋体" w:hAnsi="宋体" w:eastAsia="黑体"/>
      <w:b/>
      <w:bCs/>
      <w:kern w:val="44"/>
      <w:sz w:val="28"/>
      <w:szCs w:val="44"/>
      <w:lang w:val="en-US" w:eastAsia="zh-CN" w:bidi="ar-SA"/>
    </w:rPr>
  </w:style>
  <w:style w:type="character" w:customStyle="1" w:styleId="57">
    <w:name w:val="正文缩进 Char"/>
    <w:link w:val="7"/>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3"/>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3"/>
    <w:qFormat/>
    <w:uiPriority w:val="0"/>
    <w:pPr>
      <w:adjustRightInd/>
      <w:spacing w:before="0" w:after="0"/>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19"/>
    <w:qFormat/>
    <w:uiPriority w:val="0"/>
    <w:rPr>
      <w:rFonts w:eastAsia="宋体"/>
      <w:kern w:val="2"/>
      <w:sz w:val="21"/>
      <w:szCs w:val="24"/>
      <w:lang w:val="en-US" w:eastAsia="zh-CN" w:bidi="ar-SA"/>
    </w:rPr>
  </w:style>
  <w:style w:type="character" w:customStyle="1" w:styleId="80">
    <w:name w:val="标题 5 Char"/>
    <w:link w:val="6"/>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8"/>
    <w:qFormat/>
    <w:uiPriority w:val="0"/>
    <w:rPr>
      <w:rFonts w:ascii="Arial" w:hAnsi="Arial" w:eastAsia="黑体"/>
      <w:b/>
      <w:kern w:val="2"/>
      <w:sz w:val="24"/>
      <w:lang w:val="en-US" w:eastAsia="zh-CN" w:bidi="ar-SA"/>
    </w:rPr>
  </w:style>
  <w:style w:type="character" w:customStyle="1" w:styleId="84">
    <w:name w:val="标题 7 Char"/>
    <w:link w:val="9"/>
    <w:qFormat/>
    <w:uiPriority w:val="0"/>
    <w:rPr>
      <w:rFonts w:eastAsia="宋体"/>
      <w:b/>
      <w:kern w:val="2"/>
      <w:sz w:val="24"/>
      <w:lang w:val="en-US" w:eastAsia="zh-CN" w:bidi="ar-SA"/>
    </w:rPr>
  </w:style>
  <w:style w:type="character" w:customStyle="1" w:styleId="85">
    <w:name w:val="标题 8 Char"/>
    <w:link w:val="10"/>
    <w:qFormat/>
    <w:uiPriority w:val="0"/>
    <w:rPr>
      <w:rFonts w:ascii="Arial" w:hAnsi="Arial" w:eastAsia="黑体"/>
      <w:kern w:val="2"/>
      <w:sz w:val="24"/>
      <w:lang w:val="en-US" w:eastAsia="zh-CN" w:bidi="ar-SA"/>
    </w:rPr>
  </w:style>
  <w:style w:type="character" w:customStyle="1" w:styleId="86">
    <w:name w:val="标题 9 Char"/>
    <w:link w:val="11"/>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4"/>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18"/>
    <w:qFormat/>
    <w:uiPriority w:val="0"/>
    <w:rPr>
      <w:rFonts w:eastAsia="宋体"/>
      <w:b/>
      <w:bCs/>
      <w:kern w:val="2"/>
      <w:sz w:val="24"/>
      <w:szCs w:val="24"/>
      <w:lang w:val="en-US" w:eastAsia="zh-CN" w:bidi="ar-SA"/>
    </w:rPr>
  </w:style>
  <w:style w:type="character" w:customStyle="1" w:styleId="93">
    <w:name w:val="正文文本缩进 2 Char"/>
    <w:link w:val="25"/>
    <w:qFormat/>
    <w:uiPriority w:val="0"/>
    <w:rPr>
      <w:rFonts w:ascii="宋体" w:hAnsi="宋体" w:eastAsia="宋体"/>
      <w:kern w:val="2"/>
      <w:sz w:val="21"/>
      <w:szCs w:val="24"/>
      <w:lang w:val="en-US" w:eastAsia="zh-CN" w:bidi="ar-SA"/>
    </w:rPr>
  </w:style>
  <w:style w:type="character" w:customStyle="1" w:styleId="94">
    <w:name w:val="页眉 Char"/>
    <w:link w:val="28"/>
    <w:qFormat/>
    <w:uiPriority w:val="99"/>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7"/>
    <w:qFormat/>
    <w:uiPriority w:val="0"/>
    <w:rPr>
      <w:rFonts w:eastAsia="宋体"/>
      <w:kern w:val="2"/>
      <w:sz w:val="18"/>
      <w:szCs w:val="18"/>
      <w:lang w:val="en-US" w:eastAsia="zh-CN" w:bidi="ar-SA"/>
    </w:rPr>
  </w:style>
  <w:style w:type="character" w:customStyle="1" w:styleId="98">
    <w:name w:val="正文文本 3 Char"/>
    <w:link w:val="17"/>
    <w:qFormat/>
    <w:uiPriority w:val="0"/>
    <w:rPr>
      <w:rFonts w:eastAsia="宋体"/>
      <w:kern w:val="2"/>
      <w:sz w:val="16"/>
      <w:szCs w:val="16"/>
      <w:lang w:val="en-US" w:eastAsia="zh-CN" w:bidi="ar-SA"/>
    </w:rPr>
  </w:style>
  <w:style w:type="character" w:customStyle="1" w:styleId="99">
    <w:name w:val="批注框文本 Char"/>
    <w:link w:val="26"/>
    <w:semiHidden/>
    <w:qFormat/>
    <w:uiPriority w:val="0"/>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2"/>
    <w:qFormat/>
    <w:uiPriority w:val="0"/>
    <w:pPr>
      <w:numPr>
        <w:ilvl w:val="0"/>
        <w:numId w:val="5"/>
      </w:numPr>
      <w:spacing w:before="240" w:after="240" w:line="480" w:lineRule="auto"/>
      <w:ind w:right="210" w:rightChars="100"/>
      <w:jc w:val="left"/>
    </w:pPr>
    <w:rPr>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6"/>
    <w:semiHidden/>
    <w:qFormat/>
    <w:uiPriority w:val="0"/>
    <w:rPr>
      <w:rFonts w:ascii="宋体"/>
      <w:sz w:val="34"/>
    </w:rPr>
  </w:style>
  <w:style w:type="character" w:customStyle="1" w:styleId="185">
    <w:name w:val="批注主题 Char"/>
    <w:basedOn w:val="184"/>
    <w:link w:val="41"/>
    <w:qFormat/>
    <w:uiPriority w:val="0"/>
    <w:rPr>
      <w:rFonts w:ascii="宋体"/>
      <w:sz w:val="34"/>
    </w:rPr>
  </w:style>
  <w:style w:type="paragraph" w:customStyle="1" w:styleId="186">
    <w:name w:val="评价"/>
    <w:basedOn w:val="1"/>
    <w:uiPriority w:val="0"/>
    <w:pPr>
      <w:spacing w:afterLines="20"/>
      <w:ind w:firstLine="1446" w:firstLineChars="200"/>
    </w:pPr>
    <w:rPr>
      <w:rFonts w:ascii="Calibri" w:hAnsi="Calibri"/>
      <w:sz w:val="24"/>
    </w:rPr>
  </w:style>
  <w:style w:type="paragraph" w:customStyle="1" w:styleId="187">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Char"/>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Char"/>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character" w:customStyle="1" w:styleId="469">
    <w:name w:val="正文缩进 Char1"/>
    <w:qFormat/>
    <w:uiPriority w:val="0"/>
    <w:rPr>
      <w:rFonts w:eastAsia="宋体"/>
      <w:kern w:val="2"/>
      <w:sz w:val="21"/>
      <w:lang w:val="en-US" w:eastAsia="zh-CN" w:bidi="ar-SA"/>
    </w:rPr>
  </w:style>
  <w:style w:type="character" w:customStyle="1" w:styleId="470">
    <w:name w:val="普通(网站) Char"/>
    <w:link w:val="38"/>
    <w:qFormat/>
    <w:uiPriority w:val="0"/>
    <w:rPr>
      <w:kern w:val="2"/>
      <w:sz w:val="24"/>
      <w:szCs w:val="24"/>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标题 3 字符"/>
    <w:qFormat/>
    <w:uiPriority w:val="0"/>
    <w:rPr>
      <w:b/>
      <w:bCs/>
      <w:sz w:val="32"/>
      <w:szCs w:val="32"/>
    </w:rPr>
  </w:style>
  <w:style w:type="character" w:customStyle="1" w:styleId="475">
    <w:name w:val="正文缩进 字符"/>
    <w:qFormat/>
    <w:uiPriority w:val="0"/>
  </w:style>
  <w:style w:type="paragraph" w:customStyle="1" w:styleId="476">
    <w:name w:val="_标题2"/>
    <w:basedOn w:val="3"/>
    <w:next w:val="1"/>
    <w:qFormat/>
    <w:uiPriority w:val="0"/>
    <w:pPr>
      <w:adjustRightInd/>
      <w:spacing w:line="360" w:lineRule="auto"/>
      <w:jc w:val="both"/>
      <w:textAlignment w:val="auto"/>
    </w:pPr>
    <w:rPr>
      <w:rFonts w:ascii="黑体" w:hAnsi="黑体" w:cs="黑体"/>
      <w:sz w:val="28"/>
      <w:szCs w:val="28"/>
    </w:rPr>
  </w:style>
  <w:style w:type="character" w:customStyle="1" w:styleId="477">
    <w:name w:val="inline-help"/>
    <w:basedOn w:val="46"/>
    <w:uiPriority w:val="0"/>
  </w:style>
  <w:style w:type="character" w:customStyle="1" w:styleId="478">
    <w:name w:val="active"/>
    <w:basedOn w:val="46"/>
    <w:uiPriority w:val="0"/>
    <w:rPr>
      <w:color w:val="FFFFFF"/>
    </w:rPr>
  </w:style>
  <w:style w:type="character" w:customStyle="1" w:styleId="479">
    <w:name w:val="hilite"/>
    <w:basedOn w:val="46"/>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9F8BD-C02F-47A5-B5F5-683D1D7725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5743</Words>
  <Characters>32739</Characters>
  <Lines>272</Lines>
  <Paragraphs>76</Paragraphs>
  <TotalTime>10</TotalTime>
  <ScaleCrop>false</ScaleCrop>
  <LinksUpToDate>false</LinksUpToDate>
  <CharactersWithSpaces>38406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2019-12-17T03:44:00Z</dcterms:created>
  <dc:creator>thsware</dc:creator>
  <cp:lastModifiedBy>WF</cp:lastModifiedBy>
  <cp:lastPrinted>2018-11-06T09:21:00Z</cp:lastPrinted>
  <dcterms:modified xsi:type="dcterms:W3CDTF">2021-07-15T08:34:33Z</dcterms:modified>
  <dc:title>招  标　文　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FA49C802C0CE4C30A29AEDB55AD6791E</vt:lpwstr>
  </property>
</Properties>
</file>