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政府招标文件</w:t>
      </w:r>
    </w:p>
    <w:p>
      <w:pPr>
        <w:jc w:val="center"/>
        <w:rPr>
          <w:b/>
          <w:sz w:val="52"/>
          <w:szCs w:val="52"/>
        </w:rPr>
      </w:pPr>
      <w:r>
        <w:rPr>
          <w:rFonts w:hint="eastAsia"/>
          <w:b/>
          <w:sz w:val="52"/>
          <w:szCs w:val="52"/>
        </w:rPr>
        <w:t>（通用货物类）</w:t>
      </w:r>
    </w:p>
    <w:p/>
    <w:p/>
    <w:p/>
    <w:p/>
    <w:p/>
    <w:p/>
    <w:p/>
    <w:p/>
    <w:p/>
    <w:p/>
    <w:p/>
    <w:p/>
    <w:p/>
    <w:p>
      <w:pPr>
        <w:jc w:val="center"/>
        <w:rPr>
          <w:b/>
          <w:sz w:val="44"/>
          <w:szCs w:val="44"/>
        </w:rPr>
      </w:pPr>
      <w:r>
        <w:rPr>
          <w:rFonts w:hint="eastAsia"/>
          <w:b/>
          <w:sz w:val="44"/>
          <w:szCs w:val="44"/>
        </w:rPr>
        <w:t>中</w:t>
      </w:r>
      <w:r>
        <w:rPr>
          <w:rFonts w:hint="eastAsia" w:ascii="宋体" w:hAnsi="宋体"/>
          <w:b/>
          <w:sz w:val="44"/>
          <w:szCs w:val="44"/>
        </w:rPr>
        <w:t>国·</w:t>
      </w:r>
      <w:r>
        <w:rPr>
          <w:rFonts w:hint="eastAsia"/>
          <w:b/>
          <w:sz w:val="44"/>
          <w:szCs w:val="44"/>
        </w:rPr>
        <w:t>深圳</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sz w:val="28"/>
          <w:szCs w:val="28"/>
        </w:rPr>
      </w:pPr>
      <w:r>
        <w:rPr>
          <w:rFonts w:hint="eastAsia"/>
          <w:sz w:val="28"/>
          <w:szCs w:val="28"/>
        </w:rPr>
        <w:t>（</w:t>
      </w:r>
      <w:r>
        <w:rPr>
          <w:sz w:val="28"/>
          <w:szCs w:val="28"/>
        </w:rPr>
        <w:t>20</w:t>
      </w:r>
      <w:r>
        <w:rPr>
          <w:rFonts w:hint="eastAsia"/>
          <w:sz w:val="28"/>
          <w:szCs w:val="28"/>
        </w:rPr>
        <w:t>20）</w:t>
      </w:r>
    </w:p>
    <w:p>
      <w:pPr>
        <w:jc w:val="center"/>
      </w:pPr>
    </w:p>
    <w:p>
      <w:pPr>
        <w:rPr>
          <w:rFonts w:ascii="宋体" w:hAnsi="宋体" w:eastAsia="黑体"/>
          <w:b/>
          <w:bCs/>
          <w:kern w:val="44"/>
          <w:sz w:val="28"/>
          <w:szCs w:val="44"/>
        </w:rPr>
      </w:pPr>
    </w:p>
    <w:p>
      <w:pPr>
        <w:pStyle w:val="2"/>
      </w:pPr>
      <w:r>
        <w:rPr>
          <w:rFonts w:hint="eastAsia"/>
        </w:rPr>
        <w:t>警示条款</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pacing w:line="360" w:lineRule="auto"/>
        <w:rPr>
          <w:rFonts w:ascii="新宋体" w:hAnsi="新宋体" w:eastAsia="新宋体" w:cs="新宋体"/>
          <w:sz w:val="24"/>
        </w:rPr>
      </w:pPr>
      <w:r>
        <w:rPr>
          <w:rFonts w:hint="eastAsia" w:ascii="新宋体" w:hAnsi="新宋体" w:eastAsia="新宋体" w:cs="新宋体"/>
          <w:sz w:val="24"/>
        </w:rPr>
        <w:t xml:space="preserve">  （一）在采购活动中应当回避而未回避的；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（二）未按本条例规定签订、履行采购合同，造成严重后果的；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（三）隐瞒真实情况，提供虚假资料的；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（四）以非法手段排斥其他供应商参与竞争的；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（五）与其他采购参加人串通投标的；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（六）恶意投诉的；</w:t>
      </w:r>
    </w:p>
    <w:p>
      <w:pPr>
        <w:spacing w:line="360" w:lineRule="auto"/>
        <w:rPr>
          <w:rFonts w:ascii="新宋体" w:hAnsi="新宋体" w:eastAsia="新宋体" w:cs="新宋体"/>
          <w:sz w:val="24"/>
        </w:rPr>
      </w:pPr>
      <w:r>
        <w:rPr>
          <w:rFonts w:hint="eastAsia" w:ascii="新宋体" w:hAnsi="新宋体" w:eastAsia="新宋体" w:cs="新宋体"/>
          <w:sz w:val="24"/>
        </w:rPr>
        <w:t xml:space="preserve">  （七）向采购项目相关人行贿或者提供其他不当利益的；</w:t>
      </w:r>
    </w:p>
    <w:p>
      <w:pPr>
        <w:tabs>
          <w:tab w:val="left" w:pos="5256"/>
        </w:tabs>
        <w:spacing w:line="360" w:lineRule="auto"/>
        <w:rPr>
          <w:rFonts w:ascii="新宋体" w:hAnsi="新宋体" w:eastAsia="新宋体" w:cs="新宋体"/>
          <w:sz w:val="24"/>
        </w:rPr>
      </w:pPr>
      <w:r>
        <w:rPr>
          <w:rFonts w:hint="eastAsia" w:ascii="新宋体" w:hAnsi="新宋体" w:eastAsia="新宋体" w:cs="新宋体"/>
          <w:sz w:val="24"/>
        </w:rPr>
        <w:t xml:space="preserve">  （八）阻碍、抗拒主管部门监督检查的；</w:t>
      </w:r>
      <w:r>
        <w:rPr>
          <w:rFonts w:ascii="新宋体" w:hAnsi="新宋体" w:eastAsia="新宋体" w:cs="新宋体"/>
          <w:sz w:val="24"/>
        </w:rPr>
        <w:tab/>
      </w:r>
    </w:p>
    <w:p>
      <w:pPr>
        <w:spacing w:line="360" w:lineRule="auto"/>
        <w:rPr>
          <w:rFonts w:ascii="新宋体" w:hAnsi="新宋体" w:eastAsia="新宋体" w:cs="新宋体"/>
          <w:sz w:val="24"/>
        </w:rPr>
      </w:pPr>
      <w:r>
        <w:rPr>
          <w:rFonts w:hint="eastAsia" w:ascii="新宋体" w:hAnsi="新宋体" w:eastAsia="新宋体" w:cs="新宋体"/>
          <w:sz w:val="24"/>
        </w:rPr>
        <w:t xml:space="preserve">  （九）其他违反本条例规定的行为。</w:t>
      </w:r>
    </w:p>
    <w:p>
      <w:pPr>
        <w:spacing w:line="360" w:lineRule="auto"/>
        <w:rPr>
          <w:rFonts w:ascii="新宋体" w:hAnsi="新宋体" w:eastAsia="新宋体" w:cs="新宋体"/>
          <w:sz w:val="24"/>
        </w:rPr>
      </w:pPr>
    </w:p>
    <w:p>
      <w:pPr>
        <w:spacing w:line="360" w:lineRule="auto"/>
        <w:rPr>
          <w:rFonts w:ascii="新宋体" w:hAnsi="新宋体" w:eastAsia="新宋体" w:cs="新宋体"/>
          <w:sz w:val="24"/>
        </w:rPr>
      </w:pPr>
      <w:r>
        <w:rPr>
          <w:rFonts w:hint="eastAsia" w:ascii="新宋体" w:hAnsi="新宋体" w:eastAsia="新宋体" w:cs="新宋体"/>
          <w:sz w:val="24"/>
        </w:rPr>
        <w:t xml:space="preserve">    二、根据《深圳市财政局关于明确政府采购保证金管理工作的通知》（深财购[2019]42号）的要求，供应商在政府采购活动中出现《深圳经济特区政府采购条例实施细则》以下情形的，采购人或招标机构可将有关情况报同级财政部门，由财政部门根据实际情况记入供应商诚信档案，予以通报：</w:t>
      </w:r>
    </w:p>
    <w:p>
      <w:pPr>
        <w:spacing w:line="360" w:lineRule="auto"/>
        <w:rPr>
          <w:rFonts w:ascii="新宋体" w:hAnsi="新宋体" w:eastAsia="新宋体" w:cs="新宋体"/>
          <w:sz w:val="24"/>
        </w:rPr>
      </w:pPr>
      <w:r>
        <w:rPr>
          <w:rFonts w:hint="eastAsia" w:ascii="新宋体" w:hAnsi="新宋体" w:eastAsia="新宋体" w:cs="新宋体"/>
          <w:sz w:val="24"/>
        </w:rPr>
        <w:t xml:space="preserve">    （一）投标截止后，撤销投标的；</w:t>
      </w:r>
    </w:p>
    <w:p>
      <w:pPr>
        <w:spacing w:line="360" w:lineRule="auto"/>
        <w:rPr>
          <w:rFonts w:ascii="新宋体" w:hAnsi="新宋体" w:eastAsia="新宋体" w:cs="新宋体"/>
          <w:sz w:val="24"/>
        </w:rPr>
      </w:pPr>
      <w:r>
        <w:rPr>
          <w:rFonts w:hint="eastAsia" w:ascii="新宋体" w:hAnsi="新宋体" w:eastAsia="新宋体" w:cs="新宋体"/>
          <w:sz w:val="24"/>
        </w:rPr>
        <w:t>　　（二）中标后无正当理由未在规定期限内签订合同的；</w:t>
      </w:r>
    </w:p>
    <w:p>
      <w:pPr>
        <w:spacing w:line="360" w:lineRule="auto"/>
        <w:rPr>
          <w:rFonts w:ascii="新宋体" w:hAnsi="新宋体" w:eastAsia="新宋体" w:cs="新宋体"/>
          <w:sz w:val="24"/>
        </w:rPr>
      </w:pPr>
      <w:r>
        <w:rPr>
          <w:rFonts w:hint="eastAsia" w:ascii="新宋体" w:hAnsi="新宋体" w:eastAsia="新宋体" w:cs="新宋体"/>
          <w:sz w:val="24"/>
        </w:rPr>
        <w:t>　　（三）将中标项目转让给他人、或者在投标文件中未说明且未经采购人、采购招标机构同意，将中标项目分包给他人的；</w:t>
      </w:r>
    </w:p>
    <w:p>
      <w:pPr>
        <w:spacing w:line="360" w:lineRule="auto"/>
        <w:ind w:firstLine="480"/>
        <w:rPr>
          <w:rFonts w:ascii="新宋体" w:hAnsi="新宋体" w:eastAsia="新宋体" w:cs="新宋体"/>
          <w:sz w:val="24"/>
        </w:rPr>
      </w:pPr>
      <w:r>
        <w:rPr>
          <w:rFonts w:hint="eastAsia" w:ascii="新宋体" w:hAnsi="新宋体" w:eastAsia="新宋体" w:cs="新宋体"/>
          <w:sz w:val="24"/>
        </w:rPr>
        <w:t>（四）拒绝履行合同义务的。</w:t>
      </w:r>
    </w:p>
    <w:p>
      <w:pPr>
        <w:spacing w:line="360" w:lineRule="auto"/>
        <w:ind w:firstLine="480"/>
        <w:rPr>
          <w:rFonts w:ascii="新宋体" w:hAnsi="新宋体" w:eastAsia="新宋体" w:cs="新宋体"/>
          <w:sz w:val="24"/>
        </w:rPr>
      </w:pPr>
    </w:p>
    <w:p>
      <w:pPr>
        <w:spacing w:line="360" w:lineRule="auto"/>
        <w:ind w:firstLine="480" w:firstLineChars="200"/>
        <w:textAlignment w:val="baseline"/>
        <w:rPr>
          <w:rFonts w:ascii="新宋体" w:hAnsi="新宋体" w:eastAsia="新宋体"/>
          <w:sz w:val="24"/>
        </w:rPr>
      </w:pPr>
      <w:r>
        <w:rPr>
          <w:rFonts w:ascii="新宋体" w:hAnsi="新宋体" w:eastAsia="新宋体"/>
          <w:sz w:val="24"/>
        </w:rPr>
        <w:t>三</w:t>
      </w:r>
      <w:r>
        <w:rPr>
          <w:rFonts w:hint="eastAsia" w:ascii="新宋体" w:hAnsi="新宋体" w:eastAsia="新宋体"/>
          <w:sz w:val="24"/>
        </w:rPr>
        <w:t>、《深圳经济特区政府采购条例实施细则》第七十六条 供应商有下列行为之一的，由主管部门记入供应商诚信档案并作出以下处罚：</w:t>
      </w:r>
    </w:p>
    <w:p>
      <w:pPr>
        <w:spacing w:line="360" w:lineRule="auto"/>
        <w:ind w:firstLine="480" w:firstLineChars="200"/>
        <w:textAlignment w:val="baseline"/>
        <w:rPr>
          <w:rFonts w:ascii="新宋体" w:hAnsi="新宋体" w:eastAsia="新宋体"/>
          <w:sz w:val="24"/>
        </w:rPr>
      </w:pPr>
      <w:r>
        <w:rPr>
          <w:rFonts w:hint="eastAsia" w:ascii="新宋体" w:hAnsi="新宋体" w:eastAsia="新宋体"/>
          <w:sz w:val="24"/>
        </w:rPr>
        <w:t>（一）违法行为属于采购条例第五十七条的（一）、（二）、（三）、（四）、（六）、（八）、（九）项情形，涉及的采购金额累计在五十万元以下的，处以采购金额千分之十的罚款，一年内禁止其参与本市政府采购；涉及的采购金额累计在五十万元以上两百万元以下的，处以采购金额千分之十五的罚款，两年内禁止其参与本市政府采购；涉及的采购金额累计在两百万以上五百万以下的，处以采购金额千分之二十的罚款，三年内禁止其参与本市政府采购。</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二）违法行为属于采购条例第五十七条第（五）、（七）项情形，涉及的采购金额累计在一百万元以下，处以采购金额千分之十五的罚款，两年内禁止其参与本市政府采购；涉及的采购金额累计在一百万以上两百万以下的，处以采购金额千分之二十的罚款，三年内禁止其参与本市政府采购。</w:t>
      </w:r>
    </w:p>
    <w:p>
      <w:pPr>
        <w:widowControl/>
        <w:spacing w:line="360" w:lineRule="auto"/>
        <w:ind w:firstLine="480" w:firstLineChars="200"/>
        <w:jc w:val="left"/>
        <w:textAlignment w:val="baseline"/>
        <w:rPr>
          <w:rFonts w:ascii="新宋体" w:hAnsi="新宋体" w:eastAsia="新宋体"/>
          <w:sz w:val="24"/>
        </w:rPr>
      </w:pPr>
    </w:p>
    <w:p>
      <w:pPr>
        <w:spacing w:line="360" w:lineRule="auto"/>
        <w:ind w:firstLine="480" w:firstLineChars="200"/>
        <w:textAlignment w:val="baseline"/>
        <w:rPr>
          <w:rFonts w:ascii="新宋体" w:hAnsi="新宋体" w:eastAsia="新宋体"/>
          <w:sz w:val="24"/>
        </w:rPr>
      </w:pPr>
      <w:r>
        <w:rPr>
          <w:rFonts w:hint="eastAsia" w:ascii="新宋体" w:hAnsi="新宋体" w:eastAsia="新宋体"/>
          <w:sz w:val="24"/>
        </w:rPr>
        <w:t>四、《深圳经济特区政府采购条例实施细则》第七十七条 供应商有下列行为之一的，属于情节严重，由市场监管部门依法吊销其营业执照，主管部门取消其参与本市政府采购的资格，并作出以下处罚：</w:t>
      </w:r>
    </w:p>
    <w:p>
      <w:pPr>
        <w:spacing w:line="360" w:lineRule="auto"/>
        <w:ind w:firstLine="480" w:firstLineChars="200"/>
        <w:textAlignment w:val="baseline"/>
        <w:rPr>
          <w:rFonts w:ascii="新宋体" w:hAnsi="新宋体" w:eastAsia="新宋体"/>
          <w:sz w:val="24"/>
        </w:rPr>
      </w:pPr>
      <w:r>
        <w:rPr>
          <w:rFonts w:hint="eastAsia" w:ascii="新宋体" w:hAnsi="新宋体" w:eastAsia="新宋体"/>
          <w:sz w:val="24"/>
        </w:rPr>
        <w:t>（一）违法行为属于采购条例第五十七条的（一）、（二）、（三）、（四）、（六）、（八）、（九）项情形，涉及的采购金额累计在五百万元以上一千万元以下的，处以采购金额千分之二十的罚款；涉及的采购金额累计在一千万元以上两千万元以下的，处以采购金额千分之二十五的罚款；涉及的采购金额累计在两千万元以上的，处以采购金额千分之三十的罚款；</w:t>
      </w:r>
    </w:p>
    <w:p>
      <w:pPr>
        <w:spacing w:line="360" w:lineRule="auto"/>
        <w:ind w:firstLine="480" w:firstLineChars="200"/>
        <w:textAlignment w:val="baseline"/>
        <w:rPr>
          <w:rFonts w:ascii="新宋体" w:hAnsi="新宋体" w:eastAsia="新宋体"/>
          <w:sz w:val="24"/>
        </w:rPr>
      </w:pPr>
      <w:r>
        <w:rPr>
          <w:rFonts w:hint="eastAsia" w:ascii="新宋体" w:hAnsi="新宋体" w:eastAsia="新宋体"/>
          <w:sz w:val="24"/>
        </w:rPr>
        <w:t>（二）违法行为属于采购条例第五十七条第（五）、（七）项情形，涉及的采购金额累计在两百万元以上五百万元以下的，处以采购金额千分之二十五的罚款；涉及的采购金额累计在五百万元以上的，处以采购金额千分之三十的罚款。</w:t>
      </w:r>
    </w:p>
    <w:p>
      <w:pPr>
        <w:spacing w:line="360" w:lineRule="auto"/>
        <w:textAlignment w:val="baseline"/>
        <w:rPr>
          <w:rFonts w:ascii="新宋体" w:hAnsi="新宋体" w:eastAsia="新宋体"/>
          <w:sz w:val="24"/>
        </w:rPr>
      </w:pPr>
    </w:p>
    <w:p>
      <w:pPr>
        <w:spacing w:line="360" w:lineRule="auto"/>
        <w:ind w:firstLine="480" w:firstLineChars="200"/>
        <w:textAlignment w:val="baseline"/>
        <w:rPr>
          <w:rFonts w:ascii="新宋体" w:hAnsi="新宋体" w:eastAsia="新宋体"/>
          <w:sz w:val="24"/>
        </w:rPr>
      </w:pPr>
      <w:r>
        <w:rPr>
          <w:rFonts w:hint="eastAsia" w:ascii="新宋体" w:hAnsi="新宋体" w:eastAsia="新宋体"/>
          <w:sz w:val="24"/>
        </w:rPr>
        <w:t>五、《深圳经济特区政府采购条例实施细则》第七十九条 供应商有下列情形的，属于采购条例所称的串通投标行为，按照采购条例第五十七条有关规定处理：</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（一）投标供应商之间相互约定给予未中标的供应商利益补偿；</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（二）不同投标供应商的法定代表人、主要经营负责人、项目投标授权代表人、项目负责人、主要技术人员为同一人、属同一单位或者在同一单位缴纳社会保险；　　　　 </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（三）不同投标供应商的投标文件由同一单位或者同一人编制，或者由同一人分阶段参与编制的；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（四）不同投标供应商的投标文件或部分投标文件相互混装；</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（五）不同投标供应商的投标文件内容存在非正常一致；</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（六）由同一单位工作人员为两家以上（含两家）供应商进行同一项投标活动的；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（七）主管部门依照法律、法规认定的其他情形。</w:t>
      </w:r>
    </w:p>
    <w:p>
      <w:pPr>
        <w:widowControl/>
        <w:spacing w:line="360" w:lineRule="auto"/>
        <w:ind w:firstLine="480" w:firstLineChars="200"/>
        <w:jc w:val="left"/>
        <w:textAlignment w:val="baseline"/>
        <w:rPr>
          <w:rFonts w:ascii="新宋体" w:hAnsi="新宋体" w:eastAsia="新宋体"/>
          <w:sz w:val="24"/>
        </w:rPr>
      </w:pPr>
    </w:p>
    <w:p>
      <w:pPr>
        <w:spacing w:line="360" w:lineRule="auto"/>
        <w:ind w:firstLine="480" w:firstLineChars="200"/>
        <w:textAlignment w:val="baseline"/>
        <w:rPr>
          <w:rFonts w:ascii="新宋体" w:hAnsi="新宋体" w:eastAsia="新宋体"/>
          <w:sz w:val="24"/>
        </w:rPr>
      </w:pPr>
      <w:r>
        <w:rPr>
          <w:rFonts w:ascii="新宋体" w:hAnsi="新宋体" w:eastAsia="新宋体"/>
          <w:sz w:val="24"/>
        </w:rPr>
        <w:t>六</w:t>
      </w:r>
      <w:r>
        <w:rPr>
          <w:rFonts w:hint="eastAsia" w:ascii="新宋体" w:hAnsi="新宋体" w:eastAsia="新宋体"/>
          <w:sz w:val="24"/>
        </w:rPr>
        <w:t>、《深圳经济特区政府采购条例实施细则》第八十一条 供应商有下列情形之一的，属于隐瞒真实情况，提供虚假资料，按照采购条例第五十七的有关规定处理：</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（一）通过转让或者租借等方式从其他单位获取资格或者资质证书投标的；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（二）由其他单位或者其他单位负责人在投标供应商编制的投标文件上加盖印章或者签字的；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（三）项目负责人或者主要技术人员不是本单位人员的；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（四）投标保证金不是从投标供应商基本账户转出的；</w:t>
      </w:r>
    </w:p>
    <w:p>
      <w:pPr>
        <w:widowControl/>
        <w:spacing w:line="360" w:lineRule="auto"/>
        <w:ind w:firstLine="480" w:firstLineChars="200"/>
        <w:jc w:val="left"/>
        <w:textAlignment w:val="baseline"/>
        <w:rPr>
          <w:rFonts w:ascii="新宋体" w:hAnsi="新宋体" w:eastAsia="新宋体"/>
          <w:sz w:val="24"/>
        </w:rPr>
      </w:pPr>
      <w:r>
        <w:rPr>
          <w:rFonts w:hint="eastAsia" w:ascii="新宋体" w:hAnsi="新宋体" w:eastAsia="新宋体"/>
          <w:sz w:val="24"/>
        </w:rPr>
        <w:t>（五）其他隐瞒真实情况、提供虚假资料的行为。</w:t>
      </w:r>
    </w:p>
    <w:p>
      <w:pPr>
        <w:spacing w:line="360" w:lineRule="auto"/>
        <w:ind w:firstLine="480"/>
        <w:rPr>
          <w:rFonts w:ascii="新宋体" w:hAnsi="新宋体" w:eastAsia="新宋体"/>
          <w:sz w:val="28"/>
          <w:szCs w:val="28"/>
        </w:rPr>
      </w:pPr>
      <w:r>
        <w:rPr>
          <w:rFonts w:hint="eastAsia" w:ascii="新宋体" w:hAnsi="新宋体" w:eastAsia="新宋体"/>
          <w:sz w:val="24"/>
        </w:rPr>
        <w:t>投标供应商不能提供项目负责人或者主要技术人员的劳动合同、社会保险等劳动关系证明材料的，视为存在前款第（三）项规定的情形</w:t>
      </w:r>
      <w:r>
        <w:rPr>
          <w:rFonts w:hint="eastAsia" w:ascii="新宋体" w:hAnsi="新宋体" w:eastAsia="新宋体"/>
          <w:sz w:val="28"/>
          <w:szCs w:val="28"/>
        </w:rPr>
        <w:t>。</w:t>
      </w:r>
    </w:p>
    <w:p>
      <w:pPr>
        <w:widowControl/>
        <w:jc w:val="left"/>
        <w:rPr>
          <w:rFonts w:ascii="宋体" w:hAnsi="宋体"/>
          <w:sz w:val="32"/>
          <w:szCs w:val="32"/>
        </w:rPr>
      </w:pPr>
      <w:r>
        <w:rPr>
          <w:rFonts w:ascii="宋体" w:hAnsi="宋体"/>
          <w:sz w:val="32"/>
          <w:szCs w:val="32"/>
        </w:rPr>
        <w:br w:type="page"/>
      </w:r>
    </w:p>
    <w:p>
      <w:pPr>
        <w:pStyle w:val="2"/>
      </w:pPr>
      <w:r>
        <w:rPr>
          <w:rFonts w:hint="eastAsia"/>
        </w:rPr>
        <w:t>关键信息</w:t>
      </w:r>
    </w:p>
    <w:p>
      <w:pPr>
        <w:pStyle w:val="5"/>
      </w:pPr>
      <w:r>
        <w:rPr>
          <w:rFonts w:hint="eastAsia"/>
        </w:rPr>
        <w:t>项目信息</w:t>
      </w:r>
    </w:p>
    <w:p>
      <w:pPr>
        <w:spacing w:line="360" w:lineRule="auto"/>
        <w:rPr>
          <w:rFonts w:ascii="新宋体" w:hAnsi="新宋体" w:eastAsia="新宋体"/>
          <w:szCs w:val="21"/>
        </w:rPr>
      </w:pPr>
      <w:r>
        <w:rPr>
          <w:rFonts w:ascii="宋体" w:hAnsi="宋体"/>
          <w:sz w:val="32"/>
        </w:rPr>
        <w:t xml:space="preserve">    </w:t>
      </w:r>
      <w:r>
        <w:rPr>
          <w:rFonts w:ascii="新宋体" w:hAnsi="新宋体" w:eastAsia="新宋体"/>
          <w:szCs w:val="21"/>
        </w:rPr>
        <w:t>项目编号： NSDL2021197497</w:t>
      </w:r>
    </w:p>
    <w:p>
      <w:pPr>
        <w:spacing w:line="360" w:lineRule="auto"/>
        <w:rPr>
          <w:rFonts w:ascii="新宋体" w:hAnsi="新宋体" w:eastAsia="新宋体"/>
          <w:szCs w:val="21"/>
        </w:rPr>
      </w:pPr>
      <w:r>
        <w:rPr>
          <w:rFonts w:ascii="新宋体" w:hAnsi="新宋体" w:eastAsia="新宋体"/>
          <w:szCs w:val="21"/>
        </w:rPr>
        <w:t xml:space="preserve">      项目名称： </w:t>
      </w:r>
      <w:r>
        <w:rPr>
          <w:rFonts w:hint="eastAsia" w:ascii="新宋体" w:hAnsi="新宋体" w:eastAsia="新宋体"/>
          <w:szCs w:val="21"/>
        </w:rPr>
        <w:t>校园电视台项目采购</w:t>
      </w:r>
    </w:p>
    <w:p>
      <w:pPr>
        <w:spacing w:line="360" w:lineRule="auto"/>
        <w:rPr>
          <w:rFonts w:ascii="新宋体" w:hAnsi="新宋体" w:eastAsia="新宋体"/>
          <w:szCs w:val="21"/>
        </w:rPr>
      </w:pPr>
      <w:r>
        <w:rPr>
          <w:rFonts w:ascii="新宋体" w:hAnsi="新宋体" w:eastAsia="新宋体"/>
          <w:szCs w:val="21"/>
        </w:rPr>
        <w:t xml:space="preserve">      包   号：  </w:t>
      </w:r>
      <w:r>
        <w:rPr>
          <w:rFonts w:hint="eastAsia" w:ascii="新宋体" w:hAnsi="新宋体" w:eastAsia="新宋体"/>
          <w:szCs w:val="21"/>
        </w:rPr>
        <w:t>A</w:t>
      </w:r>
    </w:p>
    <w:p>
      <w:pPr>
        <w:spacing w:line="360" w:lineRule="auto"/>
        <w:rPr>
          <w:rFonts w:ascii="新宋体" w:hAnsi="新宋体" w:eastAsia="新宋体"/>
          <w:szCs w:val="21"/>
        </w:rPr>
      </w:pPr>
      <w:r>
        <w:rPr>
          <w:rFonts w:ascii="新宋体" w:hAnsi="新宋体" w:eastAsia="新宋体"/>
          <w:szCs w:val="21"/>
        </w:rPr>
        <w:t xml:space="preserve">      项目类型：</w:t>
      </w:r>
      <w:r>
        <w:rPr>
          <w:rFonts w:hint="eastAsia" w:ascii="新宋体" w:hAnsi="新宋体" w:eastAsia="新宋体"/>
          <w:szCs w:val="21"/>
        </w:rPr>
        <w:t>货物</w:t>
      </w:r>
      <w:r>
        <w:rPr>
          <w:rFonts w:ascii="新宋体" w:hAnsi="新宋体" w:eastAsia="新宋体"/>
          <w:szCs w:val="21"/>
        </w:rPr>
        <w:t>类</w:t>
      </w:r>
    </w:p>
    <w:p>
      <w:pPr>
        <w:spacing w:line="360" w:lineRule="auto"/>
        <w:rPr>
          <w:rFonts w:ascii="新宋体" w:hAnsi="新宋体" w:eastAsia="新宋体"/>
          <w:szCs w:val="21"/>
        </w:rPr>
      </w:pPr>
      <w:r>
        <w:rPr>
          <w:rFonts w:ascii="新宋体" w:hAnsi="新宋体" w:eastAsia="新宋体"/>
          <w:szCs w:val="21"/>
        </w:rPr>
        <w:t xml:space="preserve">      采购方式：公开招标</w:t>
      </w:r>
    </w:p>
    <w:p>
      <w:pPr>
        <w:spacing w:line="360" w:lineRule="auto"/>
        <w:rPr>
          <w:rFonts w:ascii="新宋体" w:hAnsi="新宋体" w:eastAsia="新宋体"/>
          <w:szCs w:val="21"/>
        </w:rPr>
      </w:pPr>
      <w:r>
        <w:rPr>
          <w:rFonts w:ascii="新宋体" w:hAnsi="新宋体" w:eastAsia="新宋体"/>
          <w:szCs w:val="21"/>
        </w:rPr>
        <w:t xml:space="preserve">      货币类型：人民币</w:t>
      </w:r>
    </w:p>
    <w:p>
      <w:pPr>
        <w:rPr>
          <w:rFonts w:ascii="宋体" w:hAnsi="宋体"/>
          <w:sz w:val="32"/>
        </w:rPr>
      </w:pPr>
    </w:p>
    <w:p>
      <w:pPr>
        <w:pStyle w:val="5"/>
        <w:rPr>
          <w:sz w:val="36"/>
        </w:rPr>
      </w:pPr>
      <w:r>
        <w:rPr>
          <w:rFonts w:hint="eastAsia"/>
          <w:sz w:val="36"/>
        </w:rPr>
        <w:t>投标文件初审表</w:t>
      </w:r>
    </w:p>
    <w:p>
      <w:pPr>
        <w:jc w:val="center"/>
        <w:rPr>
          <w:rFonts w:ascii="新宋体" w:hAnsi="新宋体" w:eastAsia="新宋体"/>
          <w:b/>
        </w:rPr>
      </w:pPr>
      <w:r>
        <w:rPr>
          <w:rFonts w:hint="eastAsia" w:ascii="新宋体" w:hAnsi="新宋体" w:eastAsia="新宋体"/>
          <w:b/>
        </w:rPr>
        <w:t>（凡有下列情形之一的，初审不通过，投标无效）</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pPr>
              <w:spacing w:line="276" w:lineRule="auto"/>
              <w:jc w:val="center"/>
              <w:rPr>
                <w:rFonts w:ascii="新宋体" w:hAnsi="新宋体" w:eastAsia="新宋体"/>
              </w:rPr>
            </w:pPr>
            <w:r>
              <w:rPr>
                <w:rFonts w:hint="eastAsia" w:ascii="新宋体" w:hAnsi="新宋体" w:eastAsia="新宋体"/>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ascii="新宋体" w:hAnsi="新宋体" w:eastAsia="新宋体"/>
              </w:rPr>
              <w:t>1</w:t>
            </w:r>
          </w:p>
        </w:tc>
        <w:tc>
          <w:tcPr>
            <w:tcW w:w="7854" w:type="dxa"/>
          </w:tcPr>
          <w:p>
            <w:pPr>
              <w:spacing w:line="276" w:lineRule="auto"/>
              <w:rPr>
                <w:rFonts w:ascii="新宋体" w:hAnsi="新宋体" w:eastAsia="新宋体"/>
              </w:rPr>
            </w:pPr>
            <w:r>
              <w:rPr>
                <w:rFonts w:hint="eastAsia" w:ascii="新宋体" w:hAnsi="新宋体" w:eastAsia="新宋体"/>
              </w:rPr>
              <w:t>投标人不具备招标文件所列的资格要求，或未提交相应的资格证明资料（详见招标公告 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pPr>
              <w:spacing w:line="276" w:lineRule="auto"/>
              <w:jc w:val="center"/>
              <w:rPr>
                <w:rFonts w:ascii="新宋体" w:hAnsi="新宋体" w:eastAsia="新宋体"/>
              </w:rPr>
            </w:pPr>
            <w:r>
              <w:rPr>
                <w:rFonts w:hint="eastAsia" w:ascii="新宋体" w:hAnsi="新宋体" w:eastAsia="新宋体"/>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1</w:t>
            </w:r>
          </w:p>
        </w:tc>
        <w:tc>
          <w:tcPr>
            <w:tcW w:w="7854" w:type="dxa"/>
          </w:tcPr>
          <w:p>
            <w:pPr>
              <w:spacing w:line="276" w:lineRule="auto"/>
              <w:rPr>
                <w:rFonts w:ascii="新宋体" w:hAnsi="新宋体" w:eastAsia="新宋体"/>
              </w:rPr>
            </w:pPr>
            <w:r>
              <w:rPr>
                <w:rFonts w:hint="eastAsia" w:ascii="新宋体" w:hAnsi="新宋体" w:eastAsia="新宋体"/>
              </w:rPr>
              <w:t>将一个包或一个标段的内容拆开投标；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2</w:t>
            </w:r>
          </w:p>
        </w:tc>
        <w:tc>
          <w:tcPr>
            <w:tcW w:w="7854" w:type="dxa"/>
          </w:tcPr>
          <w:p>
            <w:pPr>
              <w:spacing w:line="276" w:lineRule="auto"/>
              <w:rPr>
                <w:rFonts w:ascii="新宋体" w:hAnsi="新宋体" w:eastAsia="新宋体"/>
              </w:rPr>
            </w:pPr>
            <w:r>
              <w:rPr>
                <w:rFonts w:hint="eastAsia" w:ascii="新宋体" w:hAnsi="新宋体" w:eastAsia="新宋体"/>
              </w:rPr>
              <w:t>对同一项目投标时，提供两套以上的投标方案（招标文件另有规定的除外）；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3</w:t>
            </w:r>
          </w:p>
        </w:tc>
        <w:tc>
          <w:tcPr>
            <w:tcW w:w="7854" w:type="dxa"/>
          </w:tcPr>
          <w:p>
            <w:pPr>
              <w:spacing w:line="276" w:lineRule="auto"/>
              <w:rPr>
                <w:rFonts w:ascii="新宋体" w:hAnsi="新宋体" w:eastAsia="新宋体"/>
              </w:rPr>
            </w:pPr>
            <w:r>
              <w:rPr>
                <w:rFonts w:hint="eastAsia" w:ascii="新宋体" w:hAnsi="新宋体" w:eastAsia="新宋体"/>
              </w:rPr>
              <w:t>投标报价高于财政预算限额（最高投标限价）的；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4</w:t>
            </w:r>
          </w:p>
        </w:tc>
        <w:tc>
          <w:tcPr>
            <w:tcW w:w="7854" w:type="dxa"/>
          </w:tcPr>
          <w:p>
            <w:pPr>
              <w:spacing w:line="276" w:lineRule="auto"/>
              <w:rPr>
                <w:rFonts w:ascii="新宋体" w:hAnsi="新宋体" w:eastAsia="新宋体"/>
              </w:rPr>
            </w:pPr>
            <w:r>
              <w:rPr>
                <w:rFonts w:hint="eastAsia" w:ascii="新宋体" w:hAnsi="新宋体" w:eastAsia="新宋体"/>
              </w:rPr>
              <w:t>同一项目出现两个及以上报价，且按规定无法确定哪个是有效报价；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5</w:t>
            </w:r>
          </w:p>
        </w:tc>
        <w:tc>
          <w:tcPr>
            <w:tcW w:w="7854" w:type="dxa"/>
          </w:tcPr>
          <w:p>
            <w:pPr>
              <w:spacing w:line="276" w:lineRule="auto"/>
              <w:rPr>
                <w:rFonts w:ascii="新宋体" w:hAnsi="新宋体" w:eastAsia="新宋体"/>
              </w:rPr>
            </w:pPr>
            <w:r>
              <w:rPr>
                <w:rFonts w:hint="eastAsia" w:ascii="新宋体" w:hAnsi="新宋体" w:eastAsia="新宋体"/>
                <w:szCs w:val="21"/>
              </w:rPr>
              <w:t>评审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6</w:t>
            </w:r>
          </w:p>
        </w:tc>
        <w:tc>
          <w:tcPr>
            <w:tcW w:w="7854" w:type="dxa"/>
          </w:tcPr>
          <w:p>
            <w:pPr>
              <w:spacing w:line="276" w:lineRule="auto"/>
              <w:rPr>
                <w:rFonts w:ascii="新宋体" w:hAnsi="新宋体" w:eastAsia="新宋体"/>
                <w:color w:val="FF0000"/>
              </w:rPr>
            </w:pPr>
            <w:r>
              <w:rPr>
                <w:rFonts w:hint="eastAsia" w:ascii="新宋体" w:hAnsi="新宋体" w:eastAsia="新宋体"/>
              </w:rPr>
              <w:t>投标报价有严重缺漏项目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7</w:t>
            </w:r>
          </w:p>
        </w:tc>
        <w:tc>
          <w:tcPr>
            <w:tcW w:w="7854" w:type="dxa"/>
          </w:tcPr>
          <w:p>
            <w:pPr>
              <w:spacing w:line="276" w:lineRule="auto"/>
              <w:rPr>
                <w:rFonts w:ascii="新宋体" w:hAnsi="新宋体" w:eastAsia="新宋体"/>
                <w:color w:val="FF0000"/>
              </w:rPr>
            </w:pPr>
            <w:r>
              <w:rPr>
                <w:rFonts w:hint="eastAsia" w:ascii="新宋体" w:hAnsi="新宋体" w:eastAsia="新宋体"/>
              </w:rPr>
              <w:t>所投产品、工程、服务在商务、技术等方面没有实质性满足招标文件要求的（是否实质性满足招标文件要求，由评标委员会根据《实质性条款响应情况表》做出评判）；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8</w:t>
            </w:r>
          </w:p>
        </w:tc>
        <w:tc>
          <w:tcPr>
            <w:tcW w:w="7854" w:type="dxa"/>
          </w:tcPr>
          <w:p>
            <w:pPr>
              <w:spacing w:line="276" w:lineRule="auto"/>
              <w:rPr>
                <w:rFonts w:ascii="新宋体" w:hAnsi="新宋体" w:eastAsia="新宋体"/>
              </w:rPr>
            </w:pPr>
            <w:r>
              <w:rPr>
                <w:rFonts w:hint="eastAsia" w:ascii="新宋体" w:hAnsi="新宋体" w:eastAsia="新宋体"/>
              </w:rPr>
              <w:t>未按招标文件所提供的样式填写</w:t>
            </w:r>
            <w:r>
              <w:rPr>
                <w:rFonts w:ascii="新宋体" w:hAnsi="新宋体" w:eastAsia="新宋体"/>
              </w:rPr>
              <w:t>《</w:t>
            </w:r>
            <w:r>
              <w:rPr>
                <w:rFonts w:hint="eastAsia" w:ascii="新宋体" w:hAnsi="新宋体" w:eastAsia="新宋体"/>
              </w:rPr>
              <w:t>投标函》；未按招标文件所提供的</w:t>
            </w:r>
            <w:r>
              <w:rPr>
                <w:rFonts w:hint="eastAsia" w:ascii="新宋体" w:hAnsi="新宋体" w:eastAsia="新宋体"/>
                <w:szCs w:val="21"/>
              </w:rPr>
              <w:t>《政府采购投标及履约承诺函</w:t>
            </w:r>
            <w:r>
              <w:rPr>
                <w:rFonts w:hint="eastAsia" w:ascii="新宋体" w:hAnsi="新宋体" w:eastAsia="新宋体"/>
              </w:rPr>
              <w:t>》进行承诺；未按招标文件对投标文件组成的要求提供投标文件的（投标文件组成不完整）；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9</w:t>
            </w:r>
          </w:p>
        </w:tc>
        <w:tc>
          <w:tcPr>
            <w:tcW w:w="7854" w:type="dxa"/>
          </w:tcPr>
          <w:p>
            <w:pPr>
              <w:spacing w:line="276" w:lineRule="auto"/>
              <w:rPr>
                <w:rFonts w:ascii="新宋体" w:hAnsi="新宋体" w:eastAsia="新宋体"/>
              </w:rPr>
            </w:pPr>
            <w:r>
              <w:rPr>
                <w:rFonts w:hint="eastAsia" w:ascii="新宋体" w:hAnsi="新宋体" w:eastAsia="新宋体"/>
              </w:rPr>
              <w:t>投标文件存在规避信息公开情形的；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10</w:t>
            </w:r>
          </w:p>
        </w:tc>
        <w:tc>
          <w:tcPr>
            <w:tcW w:w="7854" w:type="dxa"/>
          </w:tcPr>
          <w:p>
            <w:pPr>
              <w:spacing w:line="276" w:lineRule="auto"/>
              <w:rPr>
                <w:rFonts w:ascii="新宋体" w:hAnsi="新宋体" w:eastAsia="新宋体"/>
              </w:rPr>
            </w:pPr>
            <w:r>
              <w:rPr>
                <w:rFonts w:hint="eastAsia" w:ascii="新宋体" w:hAnsi="新宋体" w:eastAsia="新宋体"/>
              </w:rPr>
              <w:t>投标文件电子文档带病毒；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11</w:t>
            </w:r>
          </w:p>
        </w:tc>
        <w:tc>
          <w:tcPr>
            <w:tcW w:w="7854" w:type="dxa"/>
          </w:tcPr>
          <w:p>
            <w:pPr>
              <w:spacing w:line="276" w:lineRule="auto"/>
              <w:rPr>
                <w:rFonts w:ascii="新宋体" w:hAnsi="新宋体" w:eastAsia="新宋体"/>
              </w:rPr>
            </w:pPr>
            <w:r>
              <w:rPr>
                <w:rFonts w:hint="eastAsia" w:ascii="新宋体" w:hAnsi="新宋体" w:eastAsia="新宋体"/>
              </w:rPr>
              <w:t>投标文件用不属于本公司的电子密钥进行加密的；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12</w:t>
            </w:r>
          </w:p>
        </w:tc>
        <w:tc>
          <w:tcPr>
            <w:tcW w:w="7854" w:type="dxa"/>
          </w:tcPr>
          <w:p>
            <w:pPr>
              <w:spacing w:line="276" w:lineRule="auto"/>
              <w:rPr>
                <w:rFonts w:ascii="新宋体" w:hAnsi="新宋体" w:eastAsia="新宋体"/>
              </w:rPr>
            </w:pPr>
            <w:r>
              <w:rPr>
                <w:rFonts w:hint="eastAsia" w:ascii="新宋体" w:hAnsi="新宋体" w:eastAsia="新宋体"/>
              </w:rPr>
              <w:t>误选了非本项目的最新加密规则文件，导致投标文件不能在开标时解密；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276" w:lineRule="auto"/>
              <w:rPr>
                <w:rFonts w:ascii="新宋体" w:hAnsi="新宋体" w:eastAsia="新宋体"/>
              </w:rPr>
            </w:pPr>
            <w:r>
              <w:rPr>
                <w:rFonts w:hint="eastAsia" w:ascii="新宋体" w:hAnsi="新宋体" w:eastAsia="新宋体"/>
              </w:rPr>
              <w:t>13</w:t>
            </w:r>
          </w:p>
        </w:tc>
        <w:tc>
          <w:tcPr>
            <w:tcW w:w="7854" w:type="dxa"/>
          </w:tcPr>
          <w:p>
            <w:pPr>
              <w:spacing w:line="276" w:lineRule="auto"/>
              <w:rPr>
                <w:rFonts w:ascii="新宋体" w:hAnsi="新宋体" w:eastAsia="新宋体"/>
              </w:rPr>
            </w:pPr>
            <w:r>
              <w:rPr>
                <w:rFonts w:hint="eastAsia" w:ascii="新宋体" w:hAnsi="新宋体" w:eastAsia="新宋体"/>
              </w:rPr>
              <w:t>法律、法规规定的其他情形。</w:t>
            </w:r>
          </w:p>
        </w:tc>
      </w:tr>
    </w:tbl>
    <w:p>
      <w:pPr>
        <w:rPr>
          <w:color w:val="0000FF"/>
          <w:sz w:val="36"/>
        </w:rPr>
      </w:pPr>
    </w:p>
    <w:p>
      <w:pPr>
        <w:rPr>
          <w:color w:val="0000FF"/>
          <w:sz w:val="36"/>
        </w:rPr>
      </w:pPr>
    </w:p>
    <w:p>
      <w:pPr>
        <w:pStyle w:val="3"/>
        <w:jc w:val="center"/>
        <w:rPr>
          <w:color w:val="FF0000"/>
        </w:rPr>
      </w:pPr>
      <w:r>
        <w:rPr>
          <w:rFonts w:hint="eastAsia"/>
          <w:color w:val="FF0000"/>
        </w:rPr>
        <w:t>综合评分法</w:t>
      </w:r>
      <w:r>
        <w:rPr>
          <w:color w:val="FF0000"/>
        </w:rPr>
        <w:t>评标信息</w:t>
      </w:r>
    </w:p>
    <w:tbl>
      <w:tblPr>
        <w:tblStyle w:val="43"/>
        <w:tblW w:w="9281" w:type="dxa"/>
        <w:jc w:val="center"/>
        <w:tblCellSpacing w:w="0" w:type="dxa"/>
        <w:tblLayout w:type="autofit"/>
        <w:tblCellMar>
          <w:top w:w="45" w:type="dxa"/>
          <w:left w:w="45" w:type="dxa"/>
          <w:bottom w:w="45" w:type="dxa"/>
          <w:right w:w="45" w:type="dxa"/>
        </w:tblCellMar>
      </w:tblPr>
      <w:tblGrid>
        <w:gridCol w:w="9281"/>
      </w:tblGrid>
      <w:tr>
        <w:tblPrEx>
          <w:tblCellMar>
            <w:top w:w="45" w:type="dxa"/>
            <w:left w:w="45" w:type="dxa"/>
            <w:bottom w:w="45" w:type="dxa"/>
            <w:right w:w="45" w:type="dxa"/>
          </w:tblCellMar>
        </w:tblPrEx>
        <w:trPr>
          <w:tblCellSpacing w:w="0" w:type="dxa"/>
          <w:jc w:val="center"/>
        </w:trPr>
        <w:tc>
          <w:tcPr>
            <w:tcW w:w="0" w:type="auto"/>
            <w:tcBorders>
              <w:top w:val="nil"/>
              <w:left w:val="nil"/>
              <w:bottom w:val="nil"/>
              <w:right w:val="nil"/>
            </w:tcBorders>
            <w:vAlign w:val="center"/>
          </w:tcPr>
          <w:p>
            <w:pPr>
              <w:rPr>
                <w:rFonts w:ascii="新宋体" w:hAnsi="新宋体" w:eastAsia="新宋体"/>
                <w:b/>
                <w:bCs/>
                <w:color w:val="FF0000"/>
              </w:rPr>
            </w:pPr>
            <w:r>
              <w:rPr>
                <w:rFonts w:hint="eastAsia" w:ascii="新宋体" w:hAnsi="新宋体" w:eastAsia="新宋体"/>
                <w:b/>
                <w:bCs/>
                <w:color w:val="FF0000"/>
              </w:rPr>
              <w:t xml:space="preserve">   一、</w:t>
            </w:r>
            <w:r>
              <w:rPr>
                <w:rFonts w:ascii="新宋体" w:hAnsi="新宋体" w:eastAsia="新宋体"/>
                <w:b/>
                <w:bCs/>
                <w:color w:val="FF0000"/>
              </w:rPr>
              <w:t>评标方法：综合评分法（新价格分算法）</w:t>
            </w:r>
          </w:p>
        </w:tc>
      </w:tr>
      <w:tr>
        <w:trPr>
          <w:tblCellSpacing w:w="0" w:type="dxa"/>
          <w:jc w:val="center"/>
        </w:trPr>
        <w:tc>
          <w:tcPr>
            <w:tcW w:w="0" w:type="auto"/>
            <w:tcBorders>
              <w:top w:val="nil"/>
              <w:left w:val="nil"/>
              <w:bottom w:val="nil"/>
              <w:right w:val="nil"/>
            </w:tcBorders>
            <w:vAlign w:val="center"/>
          </w:tcPr>
          <w:p>
            <w:pPr>
              <w:spacing w:line="360" w:lineRule="auto"/>
              <w:ind w:firstLine="411" w:firstLineChars="196"/>
              <w:rPr>
                <w:rFonts w:ascii="新宋体" w:hAnsi="新宋体" w:eastAsia="新宋体"/>
              </w:rPr>
            </w:pPr>
            <w:r>
              <w:rPr>
                <w:rFonts w:hint="eastAsia" w:ascii="新宋体" w:hAnsi="新宋体" w:eastAsia="新宋体"/>
              </w:rPr>
              <w:t xml:space="preserve">   综合评分法，是指投标文件满足招标文件全部实质性要求，且按照评审因素的量化指标评审得分最高的投标人为中标候选人的评标方法（排名第二的投标人为第一递补中标候选人、排名第三的投标人为第二递补中标候选人）。</w:t>
            </w:r>
            <w:r>
              <w:rPr>
                <w:rFonts w:ascii="新宋体" w:hAnsi="新宋体" w:eastAsia="新宋体"/>
              </w:rPr>
              <w:t xml:space="preserve"> </w:t>
            </w:r>
          </w:p>
          <w:p>
            <w:pPr>
              <w:spacing w:line="360" w:lineRule="auto"/>
              <w:rPr>
                <w:rFonts w:ascii="新宋体" w:hAnsi="新宋体" w:eastAsia="新宋体"/>
              </w:rPr>
            </w:pPr>
            <w:r>
              <w:rPr>
                <w:rFonts w:hint="eastAsia" w:ascii="新宋体" w:hAnsi="新宋体" w:eastAsia="新宋体"/>
              </w:rPr>
              <w:t xml:space="preserve">    </w:t>
            </w:r>
            <w:r>
              <w:rPr>
                <w:rFonts w:ascii="新宋体" w:hAnsi="新宋体" w:eastAsia="新宋体"/>
              </w:rPr>
              <w:t>价格分计算方法：</w:t>
            </w:r>
          </w:p>
          <w:p>
            <w:pPr>
              <w:spacing w:line="360" w:lineRule="auto"/>
              <w:rPr>
                <w:rFonts w:ascii="新宋体" w:hAnsi="新宋体" w:eastAsia="新宋体"/>
              </w:rPr>
            </w:pPr>
            <w:r>
              <w:rPr>
                <w:rFonts w:hint="eastAsia" w:ascii="新宋体" w:hAnsi="新宋体" w:eastAsia="新宋体"/>
              </w:rPr>
              <w:t xml:space="preserve">    </w:t>
            </w:r>
            <w:r>
              <w:rPr>
                <w:rFonts w:ascii="新宋体" w:hAnsi="新宋体" w:eastAsia="新宋体"/>
              </w:rPr>
              <w:t xml:space="preserve">采用低价优先法计算，即满足招标文件要求且投标价格最低的投标报价为评标基准价，其价格分为满分。其他投标人的价格分统一按照下列公式计算：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投标报价得分=(评标基准价／投标报价)×100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评标总得分＝F1×A1＋F2×A2＋……＋Fn×An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F1、F2……Fn分别为各项评审因素的得分；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A1、A2、……An 分别为各项评审因素所占的权重(A1＋A2＋……＋An＝1)。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评标过程中，不得去掉报价中的最高报价和最低报价。 </w:t>
            </w:r>
            <w:r>
              <w:rPr>
                <w:rFonts w:ascii="新宋体" w:hAnsi="新宋体" w:eastAsia="新宋体"/>
              </w:rPr>
              <w:br w:type="textWrapping"/>
            </w:r>
            <w:r>
              <w:rPr>
                <w:rFonts w:hint="eastAsia" w:ascii="新宋体" w:hAnsi="新宋体" w:eastAsia="新宋体"/>
              </w:rPr>
              <w:t xml:space="preserve">    </w:t>
            </w:r>
            <w:r>
              <w:rPr>
                <w:rFonts w:ascii="新宋体" w:hAnsi="新宋体" w:eastAsia="新宋体"/>
              </w:rPr>
              <w:t xml:space="preserve">此方法适用于货物类、服务类、工程类项目。 </w:t>
            </w:r>
          </w:p>
          <w:p>
            <w:pPr>
              <w:rPr>
                <w:rFonts w:ascii="新宋体" w:hAnsi="新宋体" w:eastAsia="新宋体"/>
                <w:b/>
                <w:bCs/>
                <w:color w:val="FF0000"/>
              </w:rPr>
            </w:pPr>
            <w:r>
              <w:rPr>
                <w:rFonts w:hint="eastAsia" w:ascii="新宋体" w:hAnsi="新宋体" w:eastAsia="新宋体"/>
                <w:b/>
                <w:bCs/>
                <w:color w:val="FF0000"/>
              </w:rPr>
              <w:t xml:space="preserve">   </w:t>
            </w:r>
          </w:p>
        </w:tc>
      </w:tr>
    </w:tbl>
    <w:p>
      <w:pPr>
        <w:rPr>
          <w:b/>
          <w:bCs/>
        </w:rPr>
      </w:pPr>
      <w:r>
        <w:rPr>
          <w:rFonts w:hint="eastAsia"/>
          <w:b/>
          <w:bCs/>
        </w:rPr>
        <w:t>二、评标信息</w:t>
      </w:r>
    </w:p>
    <w:tbl>
      <w:tblPr>
        <w:tblStyle w:val="43"/>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483"/>
        <w:gridCol w:w="1546"/>
        <w:gridCol w:w="297"/>
        <w:gridCol w:w="651"/>
        <w:gridCol w:w="14"/>
        <w:gridCol w:w="236"/>
        <w:gridCol w:w="645"/>
        <w:gridCol w:w="3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Align w:val="center"/>
          </w:tcPr>
          <w:p>
            <w:pPr>
              <w:spacing w:line="240" w:lineRule="exact"/>
              <w:jc w:val="center"/>
              <w:rPr>
                <w:rFonts w:ascii="宋体" w:hAnsi="宋体"/>
                <w:szCs w:val="21"/>
              </w:rPr>
            </w:pPr>
            <w:r>
              <w:rPr>
                <w:rFonts w:hint="eastAsia" w:ascii="宋体" w:hAnsi="宋体"/>
                <w:szCs w:val="21"/>
              </w:rPr>
              <w:t>序号</w:t>
            </w:r>
          </w:p>
        </w:tc>
        <w:tc>
          <w:tcPr>
            <w:tcW w:w="3872" w:type="dxa"/>
            <w:gridSpan w:val="7"/>
            <w:vAlign w:val="center"/>
          </w:tcPr>
          <w:p>
            <w:pPr>
              <w:spacing w:line="240" w:lineRule="exact"/>
              <w:jc w:val="center"/>
              <w:rPr>
                <w:rFonts w:ascii="宋体" w:hAnsi="宋体"/>
                <w:szCs w:val="21"/>
              </w:rPr>
            </w:pPr>
            <w:r>
              <w:rPr>
                <w:rFonts w:hint="eastAsia" w:ascii="宋体" w:hAnsi="宋体"/>
                <w:szCs w:val="21"/>
              </w:rPr>
              <w:t>评分项</w:t>
            </w:r>
          </w:p>
        </w:tc>
        <w:tc>
          <w:tcPr>
            <w:tcW w:w="3869" w:type="dxa"/>
            <w:vAlign w:val="center"/>
          </w:tcPr>
          <w:p>
            <w:pPr>
              <w:spacing w:line="240" w:lineRule="exact"/>
              <w:jc w:val="center"/>
              <w:rPr>
                <w:rFonts w:ascii="宋体" w:hAnsi="宋体"/>
                <w:szCs w:val="21"/>
              </w:rPr>
            </w:pPr>
            <w:r>
              <w:rPr>
                <w:rFonts w:hint="eastAsia" w:ascii="宋体" w:hAnsi="宋体"/>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31" w:type="dxa"/>
            <w:vAlign w:val="center"/>
          </w:tcPr>
          <w:p>
            <w:pPr>
              <w:spacing w:line="240" w:lineRule="exact"/>
              <w:jc w:val="center"/>
              <w:rPr>
                <w:rFonts w:ascii="宋体" w:hAnsi="宋体"/>
                <w:szCs w:val="21"/>
              </w:rPr>
            </w:pPr>
            <w:r>
              <w:rPr>
                <w:rFonts w:ascii="宋体" w:hAnsi="宋体"/>
                <w:szCs w:val="21"/>
              </w:rPr>
              <w:t>1</w:t>
            </w:r>
          </w:p>
        </w:tc>
        <w:tc>
          <w:tcPr>
            <w:tcW w:w="3872" w:type="dxa"/>
            <w:gridSpan w:val="7"/>
            <w:vAlign w:val="center"/>
          </w:tcPr>
          <w:p>
            <w:pPr>
              <w:spacing w:line="240" w:lineRule="exact"/>
              <w:jc w:val="center"/>
              <w:rPr>
                <w:rFonts w:ascii="宋体" w:hAnsi="宋体"/>
                <w:szCs w:val="21"/>
              </w:rPr>
            </w:pPr>
            <w:r>
              <w:rPr>
                <w:rFonts w:hint="eastAsia" w:ascii="宋体" w:hAnsi="宋体"/>
                <w:szCs w:val="21"/>
              </w:rPr>
              <w:t>价格</w:t>
            </w:r>
          </w:p>
        </w:tc>
        <w:tc>
          <w:tcPr>
            <w:tcW w:w="3869" w:type="dxa"/>
            <w:vAlign w:val="center"/>
          </w:tcPr>
          <w:p>
            <w:pPr>
              <w:spacing w:line="240" w:lineRule="exact"/>
              <w:jc w:val="center"/>
              <w:rPr>
                <w:rFonts w:ascii="宋体" w:hAnsi="宋体"/>
                <w:szCs w:val="21"/>
              </w:rPr>
            </w:pPr>
            <w:r>
              <w:rPr>
                <w:rFonts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Align w:val="center"/>
          </w:tcPr>
          <w:p>
            <w:pPr>
              <w:spacing w:line="240" w:lineRule="exact"/>
              <w:jc w:val="center"/>
              <w:rPr>
                <w:rFonts w:ascii="宋体" w:hAnsi="宋体"/>
                <w:szCs w:val="21"/>
              </w:rPr>
            </w:pPr>
            <w:r>
              <w:rPr>
                <w:rFonts w:ascii="宋体" w:hAnsi="宋体"/>
                <w:szCs w:val="21"/>
              </w:rPr>
              <w:t>2</w:t>
            </w:r>
          </w:p>
        </w:tc>
        <w:tc>
          <w:tcPr>
            <w:tcW w:w="3872" w:type="dxa"/>
            <w:gridSpan w:val="7"/>
            <w:vAlign w:val="center"/>
          </w:tcPr>
          <w:p>
            <w:pPr>
              <w:spacing w:line="240" w:lineRule="exact"/>
              <w:jc w:val="center"/>
              <w:rPr>
                <w:rFonts w:ascii="宋体" w:hAnsi="宋体"/>
                <w:szCs w:val="21"/>
              </w:rPr>
            </w:pPr>
            <w:r>
              <w:rPr>
                <w:rFonts w:hint="eastAsia" w:ascii="宋体" w:hAnsi="宋体"/>
                <w:szCs w:val="21"/>
              </w:rPr>
              <w:t>技术部分</w:t>
            </w:r>
          </w:p>
        </w:tc>
        <w:tc>
          <w:tcPr>
            <w:tcW w:w="3869" w:type="dxa"/>
            <w:vAlign w:val="center"/>
          </w:tcPr>
          <w:p>
            <w:pPr>
              <w:spacing w:line="240" w:lineRule="exact"/>
              <w:jc w:val="center"/>
              <w:rPr>
                <w:rFonts w:ascii="宋体" w:hAnsi="宋体"/>
                <w:szCs w:val="21"/>
              </w:rPr>
            </w:pPr>
            <w:r>
              <w:rPr>
                <w:rFonts w:ascii="宋体" w:hAnsi="宋体"/>
                <w:szCs w:val="21"/>
              </w:rPr>
              <w:t>5</w:t>
            </w: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31" w:type="dxa"/>
            <w:vMerge w:val="restart"/>
            <w:vAlign w:val="center"/>
          </w:tcPr>
          <w:p>
            <w:pPr>
              <w:spacing w:line="240" w:lineRule="exact"/>
              <w:jc w:val="center"/>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序号</w:t>
            </w:r>
          </w:p>
        </w:tc>
        <w:tc>
          <w:tcPr>
            <w:tcW w:w="1546" w:type="dxa"/>
            <w:vAlign w:val="center"/>
          </w:tcPr>
          <w:p>
            <w:pPr>
              <w:spacing w:line="240" w:lineRule="exact"/>
              <w:jc w:val="center"/>
              <w:rPr>
                <w:rFonts w:ascii="宋体" w:hAnsi="宋体"/>
                <w:szCs w:val="21"/>
              </w:rPr>
            </w:pPr>
            <w:r>
              <w:rPr>
                <w:rFonts w:hint="eastAsia" w:ascii="宋体" w:hAnsi="宋体"/>
                <w:szCs w:val="21"/>
              </w:rPr>
              <w:t>评分因素</w:t>
            </w:r>
          </w:p>
        </w:tc>
        <w:tc>
          <w:tcPr>
            <w:tcW w:w="948" w:type="dxa"/>
            <w:gridSpan w:val="2"/>
            <w:vAlign w:val="center"/>
          </w:tcPr>
          <w:p>
            <w:pPr>
              <w:spacing w:line="240" w:lineRule="exact"/>
              <w:jc w:val="center"/>
              <w:rPr>
                <w:rFonts w:ascii="宋体" w:hAnsi="宋体"/>
                <w:szCs w:val="21"/>
              </w:rPr>
            </w:pPr>
            <w:r>
              <w:rPr>
                <w:rFonts w:hint="eastAsia" w:ascii="宋体" w:hAnsi="宋体"/>
                <w:szCs w:val="21"/>
              </w:rPr>
              <w:t>权重</w:t>
            </w:r>
          </w:p>
        </w:tc>
        <w:tc>
          <w:tcPr>
            <w:tcW w:w="895" w:type="dxa"/>
            <w:gridSpan w:val="3"/>
            <w:vAlign w:val="center"/>
          </w:tcPr>
          <w:p>
            <w:pPr>
              <w:spacing w:line="240" w:lineRule="exact"/>
              <w:jc w:val="center"/>
              <w:rPr>
                <w:rFonts w:ascii="宋体" w:hAnsi="宋体"/>
                <w:szCs w:val="21"/>
              </w:rPr>
            </w:pPr>
            <w:r>
              <w:rPr>
                <w:rFonts w:hint="eastAsia" w:ascii="宋体" w:hAnsi="宋体"/>
                <w:szCs w:val="21"/>
              </w:rPr>
              <w:t>评分方式</w:t>
            </w:r>
          </w:p>
        </w:tc>
        <w:tc>
          <w:tcPr>
            <w:tcW w:w="3869"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31" w:type="dxa"/>
            <w:vMerge w:val="continue"/>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1</w:t>
            </w:r>
          </w:p>
        </w:tc>
        <w:tc>
          <w:tcPr>
            <w:tcW w:w="1546" w:type="dxa"/>
            <w:vAlign w:val="center"/>
          </w:tcPr>
          <w:p>
            <w:pPr>
              <w:spacing w:line="240" w:lineRule="exact"/>
              <w:jc w:val="center"/>
              <w:rPr>
                <w:rFonts w:ascii="宋体" w:hAnsi="宋体"/>
                <w:szCs w:val="21"/>
              </w:rPr>
            </w:pPr>
            <w:r>
              <w:rPr>
                <w:rFonts w:hint="eastAsia" w:ascii="宋体" w:hAnsi="宋体" w:cs="宋体"/>
                <w:kern w:val="0"/>
                <w:szCs w:val="21"/>
              </w:rPr>
              <w:t>技术规格偏离情况</w:t>
            </w:r>
          </w:p>
        </w:tc>
        <w:tc>
          <w:tcPr>
            <w:tcW w:w="948" w:type="dxa"/>
            <w:gridSpan w:val="2"/>
            <w:vAlign w:val="center"/>
          </w:tcPr>
          <w:p>
            <w:pPr>
              <w:spacing w:line="240" w:lineRule="exact"/>
              <w:jc w:val="center"/>
              <w:rPr>
                <w:rFonts w:ascii="宋体" w:hAnsi="宋体"/>
                <w:szCs w:val="21"/>
              </w:rPr>
            </w:pPr>
            <w:r>
              <w:rPr>
                <w:rFonts w:hint="eastAsia" w:ascii="宋体" w:hAnsi="宋体" w:cs="宋体"/>
                <w:szCs w:val="21"/>
              </w:rPr>
              <w:t>52</w:t>
            </w:r>
          </w:p>
        </w:tc>
        <w:tc>
          <w:tcPr>
            <w:tcW w:w="895" w:type="dxa"/>
            <w:gridSpan w:val="3"/>
            <w:vAlign w:val="center"/>
          </w:tcPr>
          <w:p>
            <w:pPr>
              <w:spacing w:line="240" w:lineRule="exact"/>
              <w:jc w:val="center"/>
              <w:rPr>
                <w:rFonts w:ascii="宋体" w:hAnsi="宋体"/>
                <w:szCs w:val="21"/>
              </w:rPr>
            </w:pPr>
            <w:r>
              <w:rPr>
                <w:rFonts w:hint="eastAsia" w:ascii="宋体" w:hAnsi="宋体"/>
                <w:szCs w:val="21"/>
              </w:rPr>
              <w:t>专家打分</w:t>
            </w:r>
          </w:p>
        </w:tc>
        <w:tc>
          <w:tcPr>
            <w:tcW w:w="3869" w:type="dxa"/>
            <w:vAlign w:val="center"/>
          </w:tcPr>
          <w:p>
            <w:pPr>
              <w:widowControl/>
              <w:jc w:val="left"/>
              <w:rPr>
                <w:rFonts w:cs="宋体"/>
                <w:szCs w:val="21"/>
              </w:rPr>
            </w:pPr>
            <w:r>
              <w:rPr>
                <w:rFonts w:hint="eastAsia" w:cs="宋体"/>
                <w:szCs w:val="21"/>
              </w:rPr>
              <w:t>以投标文件《技术规格偏离表》为评价依据，完全符合招标要求的，得100%分，有1项▲以外参数不符合要求的扣10%分，有1项▲参数不符合要求的扣20%分，扣完为止，正偏离不加分，技术参数中要求提供的证明文件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31" w:type="dxa"/>
            <w:vAlign w:val="center"/>
          </w:tcPr>
          <w:p>
            <w:pPr>
              <w:spacing w:line="240" w:lineRule="exact"/>
              <w:jc w:val="center"/>
              <w:rPr>
                <w:rFonts w:ascii="宋体" w:hAnsi="宋体"/>
                <w:szCs w:val="21"/>
              </w:rPr>
            </w:pPr>
            <w:r>
              <w:rPr>
                <w:rFonts w:ascii="宋体" w:hAnsi="宋体"/>
                <w:szCs w:val="21"/>
              </w:rPr>
              <w:t>3</w:t>
            </w:r>
          </w:p>
        </w:tc>
        <w:tc>
          <w:tcPr>
            <w:tcW w:w="3872" w:type="dxa"/>
            <w:gridSpan w:val="7"/>
            <w:vAlign w:val="center"/>
          </w:tcPr>
          <w:p>
            <w:pPr>
              <w:spacing w:line="240" w:lineRule="exact"/>
              <w:jc w:val="center"/>
              <w:rPr>
                <w:rFonts w:ascii="宋体" w:hAnsi="宋体"/>
                <w:szCs w:val="21"/>
              </w:rPr>
            </w:pPr>
            <w:r>
              <w:rPr>
                <w:rFonts w:hint="eastAsia" w:ascii="宋体" w:hAnsi="宋体"/>
                <w:szCs w:val="21"/>
              </w:rPr>
              <w:t>商务需求</w:t>
            </w:r>
          </w:p>
        </w:tc>
        <w:tc>
          <w:tcPr>
            <w:tcW w:w="3869" w:type="dxa"/>
            <w:vAlign w:val="center"/>
          </w:tcPr>
          <w:p>
            <w:pPr>
              <w:spacing w:line="240" w:lineRule="exact"/>
              <w:jc w:val="center"/>
              <w:rPr>
                <w:rFonts w:ascii="宋体" w:hAnsi="宋体"/>
                <w:szCs w:val="21"/>
              </w:rPr>
            </w:pPr>
            <w:r>
              <w:rPr>
                <w:rFonts w:hint="eastAsia" w:ascii="宋体" w:hAns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restart"/>
            <w:vAlign w:val="center"/>
          </w:tcPr>
          <w:p>
            <w:pPr>
              <w:keepNext/>
              <w:keepLines/>
              <w:spacing w:before="340" w:after="330" w:line="240" w:lineRule="exact"/>
              <w:jc w:val="center"/>
              <w:outlineLvl w:val="0"/>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序号</w:t>
            </w:r>
          </w:p>
        </w:tc>
        <w:tc>
          <w:tcPr>
            <w:tcW w:w="1546" w:type="dxa"/>
            <w:vAlign w:val="center"/>
          </w:tcPr>
          <w:p>
            <w:pPr>
              <w:spacing w:line="240" w:lineRule="exact"/>
              <w:jc w:val="center"/>
              <w:rPr>
                <w:rFonts w:ascii="宋体" w:hAnsi="宋体"/>
                <w:szCs w:val="21"/>
              </w:rPr>
            </w:pPr>
            <w:r>
              <w:rPr>
                <w:rFonts w:hint="eastAsia" w:ascii="宋体" w:hAnsi="宋体"/>
                <w:szCs w:val="21"/>
              </w:rPr>
              <w:t>评分因素</w:t>
            </w:r>
          </w:p>
        </w:tc>
        <w:tc>
          <w:tcPr>
            <w:tcW w:w="962" w:type="dxa"/>
            <w:gridSpan w:val="3"/>
            <w:vAlign w:val="center"/>
          </w:tcPr>
          <w:p>
            <w:pPr>
              <w:spacing w:line="240" w:lineRule="exact"/>
              <w:jc w:val="center"/>
              <w:rPr>
                <w:rFonts w:ascii="宋体" w:hAnsi="宋体"/>
                <w:szCs w:val="21"/>
              </w:rPr>
            </w:pPr>
            <w:r>
              <w:rPr>
                <w:rFonts w:hint="eastAsia" w:ascii="宋体" w:hAnsi="宋体"/>
                <w:szCs w:val="21"/>
              </w:rPr>
              <w:t>权重</w:t>
            </w:r>
          </w:p>
        </w:tc>
        <w:tc>
          <w:tcPr>
            <w:tcW w:w="881" w:type="dxa"/>
            <w:gridSpan w:val="2"/>
            <w:vAlign w:val="center"/>
          </w:tcPr>
          <w:p>
            <w:pPr>
              <w:spacing w:line="240" w:lineRule="exact"/>
              <w:jc w:val="center"/>
              <w:rPr>
                <w:rFonts w:ascii="宋体" w:hAnsi="宋体"/>
                <w:szCs w:val="21"/>
              </w:rPr>
            </w:pPr>
            <w:r>
              <w:rPr>
                <w:rFonts w:hint="eastAsia" w:ascii="宋体" w:hAnsi="宋体"/>
                <w:szCs w:val="21"/>
              </w:rPr>
              <w:t>评分方式</w:t>
            </w:r>
          </w:p>
        </w:tc>
        <w:tc>
          <w:tcPr>
            <w:tcW w:w="3869"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340" w:after="330" w:line="240" w:lineRule="exact"/>
              <w:jc w:val="center"/>
              <w:outlineLvl w:val="0"/>
              <w:rPr>
                <w:rFonts w:ascii="宋体" w:hAnsi="宋体"/>
                <w:szCs w:val="21"/>
              </w:rPr>
            </w:pPr>
          </w:p>
        </w:tc>
        <w:tc>
          <w:tcPr>
            <w:tcW w:w="483" w:type="dxa"/>
            <w:vAlign w:val="center"/>
          </w:tcPr>
          <w:p>
            <w:pPr>
              <w:spacing w:line="240" w:lineRule="exact"/>
              <w:jc w:val="center"/>
              <w:rPr>
                <w:rFonts w:ascii="宋体" w:hAnsi="宋体"/>
                <w:szCs w:val="21"/>
              </w:rPr>
            </w:pPr>
            <w:r>
              <w:rPr>
                <w:rFonts w:ascii="宋体" w:hAnsi="宋体"/>
                <w:szCs w:val="21"/>
              </w:rPr>
              <w:t>1</w:t>
            </w:r>
          </w:p>
        </w:tc>
        <w:tc>
          <w:tcPr>
            <w:tcW w:w="1546" w:type="dxa"/>
            <w:vAlign w:val="center"/>
          </w:tcPr>
          <w:p>
            <w:pPr>
              <w:spacing w:line="240" w:lineRule="exact"/>
              <w:jc w:val="center"/>
              <w:rPr>
                <w:rFonts w:ascii="宋体" w:hAnsi="宋体"/>
                <w:szCs w:val="21"/>
              </w:rPr>
            </w:pPr>
            <w:r>
              <w:rPr>
                <w:rFonts w:hint="eastAsia" w:ascii="宋体" w:hAnsi="宋体"/>
                <w:szCs w:val="21"/>
              </w:rPr>
              <w:t>效果图</w:t>
            </w:r>
          </w:p>
        </w:tc>
        <w:tc>
          <w:tcPr>
            <w:tcW w:w="962" w:type="dxa"/>
            <w:gridSpan w:val="3"/>
            <w:vAlign w:val="center"/>
          </w:tcPr>
          <w:p>
            <w:pPr>
              <w:spacing w:line="240" w:lineRule="exact"/>
              <w:jc w:val="center"/>
              <w:rPr>
                <w:rFonts w:ascii="宋体" w:hAnsi="宋体"/>
                <w:szCs w:val="21"/>
              </w:rPr>
            </w:pPr>
            <w:r>
              <w:rPr>
                <w:rFonts w:hint="eastAsia" w:ascii="宋体" w:hAnsi="宋体" w:cs="宋体"/>
                <w:szCs w:val="21"/>
              </w:rPr>
              <w:t>3</w:t>
            </w:r>
          </w:p>
        </w:tc>
        <w:tc>
          <w:tcPr>
            <w:tcW w:w="881" w:type="dxa"/>
            <w:gridSpan w:val="2"/>
            <w:vAlign w:val="center"/>
          </w:tcPr>
          <w:p>
            <w:pPr>
              <w:spacing w:line="240" w:lineRule="exact"/>
              <w:jc w:val="center"/>
              <w:rPr>
                <w:rFonts w:ascii="宋体" w:hAnsi="宋体"/>
                <w:szCs w:val="21"/>
              </w:rPr>
            </w:pPr>
            <w:r>
              <w:rPr>
                <w:rFonts w:hint="eastAsia" w:ascii="宋体" w:hAnsi="宋体"/>
                <w:szCs w:val="21"/>
              </w:rPr>
              <w:t>专家评分</w:t>
            </w:r>
          </w:p>
        </w:tc>
        <w:tc>
          <w:tcPr>
            <w:tcW w:w="3869" w:type="dxa"/>
            <w:vAlign w:val="center"/>
          </w:tcPr>
          <w:p>
            <w:pPr>
              <w:rPr>
                <w:rFonts w:cs="宋体"/>
                <w:szCs w:val="21"/>
              </w:rPr>
            </w:pPr>
            <w:r>
              <w:rPr>
                <w:rFonts w:hint="eastAsia" w:cs="宋体"/>
                <w:szCs w:val="21"/>
              </w:rPr>
              <w:t>为达到校园电视台建设的预期效果，投标人提供采购单位出具签字盖章的设备布置平面图纸，图纸需与实际情况相符，需体现虚拟演播室系统，回监电视，4K摄像机，非编服务器，提词器，机柜，音箱，绿箱，平台服务器等设备的安装准确位置，</w:t>
            </w:r>
          </w:p>
          <w:p>
            <w:pPr>
              <w:rPr>
                <w:rFonts w:cs="宋体"/>
                <w:szCs w:val="21"/>
              </w:rPr>
            </w:pPr>
            <w:r>
              <w:rPr>
                <w:rFonts w:hint="eastAsia" w:cs="宋体"/>
                <w:szCs w:val="21"/>
              </w:rPr>
              <w:t>（1）效果图内容全面；</w:t>
            </w:r>
          </w:p>
          <w:p>
            <w:pPr>
              <w:rPr>
                <w:rFonts w:cs="宋体"/>
                <w:szCs w:val="21"/>
              </w:rPr>
            </w:pPr>
            <w:r>
              <w:rPr>
                <w:rFonts w:hint="eastAsia" w:cs="宋体"/>
                <w:szCs w:val="21"/>
              </w:rPr>
              <w:t>（2）效果图内容具体；</w:t>
            </w:r>
          </w:p>
          <w:p>
            <w:pPr>
              <w:rPr>
                <w:rFonts w:cs="宋体"/>
                <w:szCs w:val="21"/>
              </w:rPr>
            </w:pPr>
            <w:r>
              <w:rPr>
                <w:rFonts w:hint="eastAsia" w:cs="宋体"/>
                <w:szCs w:val="21"/>
              </w:rPr>
              <w:t>（3）效果图内容针对性强；</w:t>
            </w:r>
          </w:p>
          <w:p>
            <w:pPr>
              <w:rPr>
                <w:rFonts w:cs="宋体"/>
                <w:szCs w:val="21"/>
              </w:rPr>
            </w:pPr>
            <w:r>
              <w:rPr>
                <w:rFonts w:hint="eastAsia" w:cs="宋体"/>
                <w:szCs w:val="21"/>
              </w:rPr>
              <w:t>（4）效果图内容科学合理；</w:t>
            </w:r>
          </w:p>
          <w:p>
            <w:pPr>
              <w:rPr>
                <w:rFonts w:cs="宋体"/>
                <w:szCs w:val="21"/>
              </w:rPr>
            </w:pPr>
            <w:r>
              <w:rPr>
                <w:rFonts w:hint="eastAsia" w:cs="宋体"/>
                <w:szCs w:val="21"/>
              </w:rPr>
              <w:t>（5）效果图内容可操作性强。</w:t>
            </w:r>
          </w:p>
          <w:p>
            <w:pPr>
              <w:rPr>
                <w:rFonts w:cs="宋体"/>
                <w:szCs w:val="21"/>
              </w:rPr>
            </w:pPr>
            <w:r>
              <w:rPr>
                <w:rFonts w:hint="eastAsia" w:cs="宋体"/>
                <w:szCs w:val="21"/>
              </w:rPr>
              <w:t>满足以上五项要求的评价为优，得 100%分。 满足以上四项要求的评价为良，得 80分。 满足以上三项要求的评价为中，得 60分。 其它情况的评价为差，不得分。（未提供相关设计图纸不得分。）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ascii="宋体" w:hAnsi="宋体"/>
                <w:szCs w:val="21"/>
              </w:rPr>
              <w:t>2</w:t>
            </w:r>
          </w:p>
        </w:tc>
        <w:tc>
          <w:tcPr>
            <w:tcW w:w="1546" w:type="dxa"/>
            <w:vAlign w:val="center"/>
          </w:tcPr>
          <w:p>
            <w:pPr>
              <w:spacing w:line="240" w:lineRule="exact"/>
              <w:jc w:val="center"/>
              <w:rPr>
                <w:rFonts w:ascii="宋体" w:hAnsi="宋体"/>
                <w:color w:val="FF0000"/>
                <w:szCs w:val="21"/>
              </w:rPr>
            </w:pPr>
            <w:r>
              <w:rPr>
                <w:rFonts w:hint="eastAsia" w:ascii="宋体" w:hAnsi="宋体"/>
                <w:szCs w:val="21"/>
              </w:rPr>
              <w:t>现场踏勘</w:t>
            </w:r>
          </w:p>
        </w:tc>
        <w:tc>
          <w:tcPr>
            <w:tcW w:w="962" w:type="dxa"/>
            <w:gridSpan w:val="3"/>
            <w:vAlign w:val="center"/>
          </w:tcPr>
          <w:p>
            <w:pPr>
              <w:spacing w:line="240" w:lineRule="exact"/>
              <w:jc w:val="center"/>
              <w:rPr>
                <w:rFonts w:ascii="宋体" w:hAnsi="宋体"/>
                <w:szCs w:val="21"/>
              </w:rPr>
            </w:pPr>
            <w:r>
              <w:rPr>
                <w:rFonts w:hint="eastAsia" w:ascii="宋体" w:hAnsi="宋体"/>
                <w:szCs w:val="21"/>
              </w:rPr>
              <w:t>3</w:t>
            </w:r>
          </w:p>
        </w:tc>
        <w:tc>
          <w:tcPr>
            <w:tcW w:w="881" w:type="dxa"/>
            <w:gridSpan w:val="2"/>
            <w:vAlign w:val="center"/>
          </w:tcPr>
          <w:p>
            <w:pPr>
              <w:spacing w:line="240" w:lineRule="exact"/>
              <w:jc w:val="center"/>
              <w:rPr>
                <w:rFonts w:ascii="宋体" w:hAnsi="宋体"/>
                <w:szCs w:val="21"/>
              </w:rPr>
            </w:pPr>
            <w:r>
              <w:rPr>
                <w:rFonts w:hint="eastAsia" w:ascii="宋体" w:hAnsi="宋体"/>
                <w:szCs w:val="21"/>
              </w:rPr>
              <w:t>专家评分</w:t>
            </w:r>
          </w:p>
        </w:tc>
        <w:tc>
          <w:tcPr>
            <w:tcW w:w="3869" w:type="dxa"/>
            <w:vAlign w:val="center"/>
          </w:tcPr>
          <w:p>
            <w:pPr>
              <w:rPr>
                <w:rFonts w:cs="宋体"/>
                <w:szCs w:val="21"/>
              </w:rPr>
            </w:pPr>
            <w:r>
              <w:rPr>
                <w:rFonts w:hint="eastAsia" w:cs="宋体"/>
                <w:szCs w:val="21"/>
              </w:rPr>
              <w:t>1.提供使用单位出具的现场勘察证明盖章件及施工现场照片（教室各3张照片,位置需与实际情况相符），得100%分，否则不得分。勘探时间为2021年7月16号下午15：00(北京时间)</w:t>
            </w:r>
            <w:r>
              <w:rPr>
                <w:rFonts w:hint="eastAsia" w:cs="宋体"/>
                <w:szCs w:val="21"/>
                <w:lang w:eastAsia="zh-CN"/>
              </w:rPr>
              <w:t>，</w:t>
            </w:r>
            <w:r>
              <w:rPr>
                <w:rFonts w:hint="eastAsia" w:cs="宋体"/>
                <w:szCs w:val="21"/>
              </w:rPr>
              <w:t xml:space="preserve"> 统一前往深圳市南山区前海学校大门保安室，由采购人统一组织安排现场勘探。</w:t>
            </w:r>
          </w:p>
          <w:p>
            <w:pPr>
              <w:rPr>
                <w:rFonts w:cs="宋体"/>
                <w:szCs w:val="21"/>
              </w:rPr>
            </w:pPr>
            <w:r>
              <w:rPr>
                <w:rFonts w:hint="eastAsia" w:cs="宋体"/>
                <w:szCs w:val="21"/>
              </w:rPr>
              <w:t>未按要求提供相关材料或扫描件不清晰导致专家无法识别的不得分。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ascii="宋体" w:hAnsi="宋体"/>
                <w:szCs w:val="21"/>
              </w:rPr>
              <w:t>3</w:t>
            </w:r>
          </w:p>
        </w:tc>
        <w:tc>
          <w:tcPr>
            <w:tcW w:w="1546" w:type="dxa"/>
            <w:vAlign w:val="center"/>
          </w:tcPr>
          <w:p>
            <w:pPr>
              <w:spacing w:line="240" w:lineRule="exact"/>
              <w:jc w:val="center"/>
              <w:rPr>
                <w:rFonts w:ascii="宋体" w:hAnsi="宋体"/>
                <w:szCs w:val="21"/>
              </w:rPr>
            </w:pPr>
            <w:r>
              <w:rPr>
                <w:rFonts w:hint="eastAsia" w:ascii="宋体" w:hAnsi="宋体"/>
                <w:szCs w:val="21"/>
              </w:rPr>
              <w:t>项目实施方案</w:t>
            </w:r>
          </w:p>
        </w:tc>
        <w:tc>
          <w:tcPr>
            <w:tcW w:w="962" w:type="dxa"/>
            <w:gridSpan w:val="3"/>
            <w:vAlign w:val="center"/>
          </w:tcPr>
          <w:p>
            <w:pPr>
              <w:spacing w:line="240" w:lineRule="exact"/>
              <w:jc w:val="center"/>
              <w:rPr>
                <w:rFonts w:ascii="宋体" w:hAnsi="宋体"/>
                <w:szCs w:val="21"/>
              </w:rPr>
            </w:pPr>
            <w:r>
              <w:rPr>
                <w:rFonts w:hint="eastAsia" w:ascii="宋体" w:hAnsi="宋体"/>
                <w:szCs w:val="21"/>
              </w:rPr>
              <w:t>2</w:t>
            </w:r>
          </w:p>
        </w:tc>
        <w:tc>
          <w:tcPr>
            <w:tcW w:w="881" w:type="dxa"/>
            <w:gridSpan w:val="2"/>
            <w:vAlign w:val="center"/>
          </w:tcPr>
          <w:p>
            <w:pPr>
              <w:spacing w:line="240" w:lineRule="exact"/>
              <w:jc w:val="center"/>
              <w:rPr>
                <w:rFonts w:ascii="宋体" w:hAnsi="宋体"/>
                <w:szCs w:val="21"/>
              </w:rPr>
            </w:pPr>
            <w:r>
              <w:rPr>
                <w:rFonts w:hint="eastAsia" w:ascii="宋体" w:hAnsi="宋体"/>
                <w:szCs w:val="21"/>
              </w:rPr>
              <w:t>专家评分</w:t>
            </w:r>
          </w:p>
        </w:tc>
        <w:tc>
          <w:tcPr>
            <w:tcW w:w="3869" w:type="dxa"/>
            <w:vAlign w:val="center"/>
          </w:tcPr>
          <w:p>
            <w:pPr>
              <w:rPr>
                <w:rFonts w:cs="宋体"/>
                <w:szCs w:val="21"/>
              </w:rPr>
            </w:pPr>
            <w:r>
              <w:rPr>
                <w:rFonts w:hint="eastAsia" w:cs="宋体"/>
                <w:szCs w:val="21"/>
              </w:rPr>
              <w:t>提供详细的设备安装部署实施方案、项目实施组织方案、时间表及项目验收时间，</w:t>
            </w:r>
          </w:p>
          <w:p>
            <w:pPr>
              <w:rPr>
                <w:rFonts w:cs="宋体"/>
                <w:szCs w:val="21"/>
              </w:rPr>
            </w:pPr>
            <w:r>
              <w:rPr>
                <w:rFonts w:hint="eastAsia" w:cs="宋体"/>
                <w:szCs w:val="21"/>
              </w:rPr>
              <w:t>（1）实施方案内容全面；</w:t>
            </w:r>
          </w:p>
          <w:p>
            <w:pPr>
              <w:rPr>
                <w:rFonts w:cs="宋体"/>
                <w:szCs w:val="21"/>
              </w:rPr>
            </w:pPr>
            <w:r>
              <w:rPr>
                <w:rFonts w:hint="eastAsia" w:cs="宋体"/>
                <w:szCs w:val="21"/>
              </w:rPr>
              <w:t>（2）</w:t>
            </w:r>
            <w:r>
              <w:rPr>
                <w:rFonts w:hint="eastAsia" w:ascii="宋体" w:hAnsi="宋体"/>
                <w:szCs w:val="21"/>
              </w:rPr>
              <w:t>实施方案</w:t>
            </w:r>
            <w:r>
              <w:rPr>
                <w:rFonts w:hint="eastAsia" w:cs="宋体"/>
                <w:szCs w:val="21"/>
              </w:rPr>
              <w:t>内容具体；</w:t>
            </w:r>
          </w:p>
          <w:p>
            <w:pPr>
              <w:rPr>
                <w:rFonts w:cs="宋体"/>
                <w:szCs w:val="21"/>
              </w:rPr>
            </w:pPr>
            <w:r>
              <w:rPr>
                <w:rFonts w:hint="eastAsia" w:cs="宋体"/>
                <w:szCs w:val="21"/>
              </w:rPr>
              <w:t>（3）</w:t>
            </w:r>
            <w:r>
              <w:rPr>
                <w:rFonts w:hint="eastAsia" w:ascii="宋体" w:hAnsi="宋体"/>
                <w:szCs w:val="21"/>
              </w:rPr>
              <w:t>实施方案</w:t>
            </w:r>
            <w:r>
              <w:rPr>
                <w:rFonts w:hint="eastAsia" w:cs="宋体"/>
                <w:szCs w:val="21"/>
              </w:rPr>
              <w:t>内容针对性强；</w:t>
            </w:r>
          </w:p>
          <w:p>
            <w:pPr>
              <w:rPr>
                <w:rFonts w:cs="宋体"/>
                <w:szCs w:val="21"/>
              </w:rPr>
            </w:pPr>
            <w:r>
              <w:rPr>
                <w:rFonts w:hint="eastAsia" w:cs="宋体"/>
                <w:szCs w:val="21"/>
              </w:rPr>
              <w:t>（4）</w:t>
            </w:r>
            <w:r>
              <w:rPr>
                <w:rFonts w:hint="eastAsia" w:ascii="宋体" w:hAnsi="宋体"/>
                <w:szCs w:val="21"/>
              </w:rPr>
              <w:t>实施方案</w:t>
            </w:r>
            <w:r>
              <w:rPr>
                <w:rFonts w:hint="eastAsia" w:cs="宋体"/>
                <w:szCs w:val="21"/>
              </w:rPr>
              <w:t>内容科学合理；</w:t>
            </w:r>
          </w:p>
          <w:p>
            <w:pPr>
              <w:rPr>
                <w:rFonts w:cs="宋体"/>
                <w:szCs w:val="21"/>
              </w:rPr>
            </w:pPr>
            <w:r>
              <w:rPr>
                <w:rFonts w:hint="eastAsia" w:cs="宋体"/>
                <w:szCs w:val="21"/>
              </w:rPr>
              <w:t>（5）</w:t>
            </w:r>
            <w:r>
              <w:rPr>
                <w:rFonts w:hint="eastAsia" w:ascii="宋体" w:hAnsi="宋体"/>
                <w:szCs w:val="21"/>
              </w:rPr>
              <w:t>实施方案</w:t>
            </w:r>
            <w:r>
              <w:rPr>
                <w:rFonts w:hint="eastAsia" w:cs="宋体"/>
                <w:szCs w:val="21"/>
              </w:rPr>
              <w:t>内容可操作性强。</w:t>
            </w:r>
          </w:p>
          <w:p>
            <w:pPr>
              <w:rPr>
                <w:rFonts w:cs="宋体"/>
                <w:szCs w:val="21"/>
              </w:rPr>
            </w:pPr>
            <w:r>
              <w:rPr>
                <w:rFonts w:hint="eastAsia" w:cs="宋体"/>
                <w:szCs w:val="21"/>
              </w:rPr>
              <w:t>满足以上五项要求的评价为优，得 100%分。 满足以上四项要求的评价为良，得60分。 满足以上三项要求的评价为中，得 30分， 满足以上二项要求的评价为差，得 20分</w:t>
            </w:r>
          </w:p>
          <w:p>
            <w:pPr>
              <w:rPr>
                <w:rFonts w:cs="宋体"/>
                <w:szCs w:val="21"/>
              </w:rPr>
            </w:pPr>
            <w:r>
              <w:rPr>
                <w:rFonts w:hint="eastAsia" w:cs="宋体"/>
                <w:szCs w:val="21"/>
              </w:rPr>
              <w:t>其它情况不得分。（方案中提供由采购单位出具的现场勘察证明才能得优）。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4</w:t>
            </w:r>
          </w:p>
        </w:tc>
        <w:tc>
          <w:tcPr>
            <w:tcW w:w="1546" w:type="dxa"/>
            <w:vAlign w:val="center"/>
          </w:tcPr>
          <w:p>
            <w:pPr>
              <w:spacing w:line="240" w:lineRule="exact"/>
              <w:jc w:val="center"/>
              <w:rPr>
                <w:rFonts w:ascii="宋体" w:hAnsi="宋体"/>
                <w:szCs w:val="21"/>
              </w:rPr>
            </w:pPr>
            <w:r>
              <w:rPr>
                <w:rFonts w:hint="eastAsia" w:ascii="宋体" w:hAnsi="宋体"/>
                <w:szCs w:val="21"/>
              </w:rPr>
              <w:t>售后服务评价</w:t>
            </w:r>
          </w:p>
        </w:tc>
        <w:tc>
          <w:tcPr>
            <w:tcW w:w="962" w:type="dxa"/>
            <w:gridSpan w:val="3"/>
            <w:vAlign w:val="center"/>
          </w:tcPr>
          <w:p>
            <w:pPr>
              <w:spacing w:line="240" w:lineRule="exact"/>
              <w:jc w:val="center"/>
              <w:rPr>
                <w:rFonts w:ascii="宋体" w:hAnsi="宋体"/>
                <w:szCs w:val="21"/>
              </w:rPr>
            </w:pPr>
            <w:r>
              <w:rPr>
                <w:rFonts w:hint="eastAsia" w:ascii="宋体" w:hAnsi="宋体"/>
                <w:szCs w:val="21"/>
              </w:rPr>
              <w:t>2</w:t>
            </w:r>
          </w:p>
        </w:tc>
        <w:tc>
          <w:tcPr>
            <w:tcW w:w="881" w:type="dxa"/>
            <w:gridSpan w:val="2"/>
            <w:vAlign w:val="center"/>
          </w:tcPr>
          <w:p>
            <w:pPr>
              <w:spacing w:line="240" w:lineRule="exact"/>
              <w:jc w:val="center"/>
              <w:rPr>
                <w:rFonts w:ascii="宋体" w:hAnsi="宋体"/>
                <w:szCs w:val="21"/>
              </w:rPr>
            </w:pPr>
            <w:r>
              <w:rPr>
                <w:rFonts w:hint="eastAsia" w:ascii="宋体" w:hAnsi="宋体"/>
                <w:szCs w:val="21"/>
              </w:rPr>
              <w:t>专家评分</w:t>
            </w:r>
          </w:p>
        </w:tc>
        <w:tc>
          <w:tcPr>
            <w:tcW w:w="3869" w:type="dxa"/>
            <w:vAlign w:val="center"/>
          </w:tcPr>
          <w:p>
            <w:pPr>
              <w:rPr>
                <w:rFonts w:cs="宋体"/>
                <w:szCs w:val="21"/>
              </w:rPr>
            </w:pPr>
            <w:r>
              <w:rPr>
                <w:rFonts w:hint="eastAsia" w:cs="宋体"/>
                <w:szCs w:val="21"/>
              </w:rPr>
              <w:t>按投标人售后服务方案、售后服务机构所在地、人员配备、设备配备情况，评审小组根据响应情况进行评分，优良中差评分标准：</w:t>
            </w:r>
          </w:p>
          <w:p>
            <w:pPr>
              <w:rPr>
                <w:rFonts w:cs="宋体"/>
                <w:szCs w:val="21"/>
              </w:rPr>
            </w:pPr>
            <w:r>
              <w:rPr>
                <w:rFonts w:hint="eastAsia" w:cs="宋体"/>
                <w:szCs w:val="21"/>
              </w:rPr>
              <w:t>（1）售后服务响应内容全面；</w:t>
            </w:r>
          </w:p>
          <w:p>
            <w:pPr>
              <w:rPr>
                <w:rFonts w:cs="宋体"/>
                <w:szCs w:val="21"/>
              </w:rPr>
            </w:pPr>
            <w:r>
              <w:rPr>
                <w:rFonts w:hint="eastAsia" w:cs="宋体"/>
                <w:szCs w:val="21"/>
              </w:rPr>
              <w:t>（2）</w:t>
            </w:r>
            <w:r>
              <w:rPr>
                <w:rFonts w:hint="eastAsia" w:ascii="宋体" w:hAnsi="宋体"/>
                <w:szCs w:val="21"/>
              </w:rPr>
              <w:t>售后服务</w:t>
            </w:r>
            <w:r>
              <w:rPr>
                <w:rFonts w:hint="eastAsia" w:cs="宋体"/>
                <w:szCs w:val="21"/>
              </w:rPr>
              <w:t>响应内容具体；</w:t>
            </w:r>
          </w:p>
          <w:p>
            <w:pPr>
              <w:rPr>
                <w:rFonts w:cs="宋体"/>
                <w:szCs w:val="21"/>
              </w:rPr>
            </w:pPr>
            <w:r>
              <w:rPr>
                <w:rFonts w:hint="eastAsia" w:cs="宋体"/>
                <w:szCs w:val="21"/>
              </w:rPr>
              <w:t>（3）售后服务响应内容针对性强；</w:t>
            </w:r>
          </w:p>
          <w:p>
            <w:pPr>
              <w:rPr>
                <w:rFonts w:cs="宋体"/>
                <w:szCs w:val="21"/>
              </w:rPr>
            </w:pPr>
            <w:r>
              <w:rPr>
                <w:rFonts w:hint="eastAsia" w:cs="宋体"/>
                <w:szCs w:val="21"/>
              </w:rPr>
              <w:t>（4）售后服务响应内容科学合理；</w:t>
            </w:r>
          </w:p>
          <w:p>
            <w:pPr>
              <w:rPr>
                <w:rFonts w:cs="宋体"/>
                <w:szCs w:val="21"/>
              </w:rPr>
            </w:pPr>
            <w:r>
              <w:rPr>
                <w:rFonts w:hint="eastAsia" w:cs="宋体"/>
                <w:szCs w:val="21"/>
              </w:rPr>
              <w:t>（5）售后服务响应内容可操作性强。</w:t>
            </w:r>
          </w:p>
          <w:p>
            <w:pPr>
              <w:rPr>
                <w:rFonts w:cs="宋体"/>
                <w:szCs w:val="21"/>
              </w:rPr>
            </w:pPr>
            <w:r>
              <w:rPr>
                <w:rFonts w:hint="eastAsia" w:cs="宋体"/>
                <w:szCs w:val="21"/>
              </w:rPr>
              <w:t>满足以上五项要求的评价为优，得 100%分。 满足以上四项要求的评价为良，得 75%分。 满足以上三项要求的评价为中，得 50%分。 其它情况的评价为差，不得分。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5</w:t>
            </w:r>
          </w:p>
        </w:tc>
        <w:tc>
          <w:tcPr>
            <w:tcW w:w="1546" w:type="dxa"/>
            <w:vAlign w:val="center"/>
          </w:tcPr>
          <w:p>
            <w:pPr>
              <w:spacing w:line="240" w:lineRule="exact"/>
              <w:jc w:val="center"/>
              <w:rPr>
                <w:rFonts w:ascii="宋体" w:hAnsi="宋体"/>
                <w:szCs w:val="21"/>
              </w:rPr>
            </w:pPr>
            <w:r>
              <w:rPr>
                <w:rFonts w:hint="eastAsia" w:ascii="宋体" w:hAnsi="宋体"/>
                <w:szCs w:val="21"/>
              </w:rPr>
              <w:t>投标文书编制质量</w:t>
            </w:r>
          </w:p>
        </w:tc>
        <w:tc>
          <w:tcPr>
            <w:tcW w:w="962" w:type="dxa"/>
            <w:gridSpan w:val="3"/>
            <w:vAlign w:val="center"/>
          </w:tcPr>
          <w:p>
            <w:pPr>
              <w:spacing w:line="240" w:lineRule="exact"/>
              <w:jc w:val="center"/>
              <w:rPr>
                <w:rFonts w:ascii="宋体" w:hAnsi="宋体"/>
                <w:szCs w:val="21"/>
              </w:rPr>
            </w:pPr>
            <w:r>
              <w:rPr>
                <w:rFonts w:hint="eastAsia" w:ascii="宋体" w:hAnsi="宋体"/>
                <w:szCs w:val="21"/>
              </w:rPr>
              <w:t>1</w:t>
            </w:r>
          </w:p>
        </w:tc>
        <w:tc>
          <w:tcPr>
            <w:tcW w:w="881" w:type="dxa"/>
            <w:gridSpan w:val="2"/>
            <w:vAlign w:val="center"/>
          </w:tcPr>
          <w:p>
            <w:pPr>
              <w:spacing w:line="240" w:lineRule="exact"/>
              <w:jc w:val="center"/>
              <w:rPr>
                <w:rFonts w:ascii="宋体" w:hAnsi="宋体"/>
                <w:szCs w:val="21"/>
              </w:rPr>
            </w:pPr>
            <w:r>
              <w:rPr>
                <w:rFonts w:hint="eastAsia" w:ascii="宋体" w:hAnsi="宋体"/>
                <w:szCs w:val="21"/>
              </w:rPr>
              <w:t>专家评分</w:t>
            </w:r>
          </w:p>
        </w:tc>
        <w:tc>
          <w:tcPr>
            <w:tcW w:w="3869" w:type="dxa"/>
            <w:vAlign w:val="center"/>
          </w:tcPr>
          <w:p>
            <w:pPr>
              <w:rPr>
                <w:rFonts w:cs="宋体"/>
                <w:szCs w:val="21"/>
              </w:rPr>
            </w:pPr>
            <w:r>
              <w:rPr>
                <w:rFonts w:hint="eastAsia" w:cs="宋体"/>
                <w:szCs w:val="21"/>
              </w:rPr>
              <w:t>1、投标文件有缺漏项但未导致实质性偏离的；</w:t>
            </w:r>
          </w:p>
          <w:p>
            <w:pPr>
              <w:rPr>
                <w:rFonts w:cs="宋体"/>
                <w:szCs w:val="21"/>
              </w:rPr>
            </w:pPr>
            <w:r>
              <w:rPr>
                <w:rFonts w:hint="eastAsia" w:cs="宋体"/>
                <w:szCs w:val="21"/>
              </w:rPr>
              <w:t>2、投标文件资料扫描不清晰的；</w:t>
            </w:r>
          </w:p>
          <w:p>
            <w:pPr>
              <w:rPr>
                <w:rFonts w:cs="宋体"/>
                <w:szCs w:val="21"/>
              </w:rPr>
            </w:pPr>
            <w:r>
              <w:rPr>
                <w:rFonts w:hint="eastAsia" w:cs="宋体"/>
                <w:szCs w:val="21"/>
              </w:rPr>
              <w:t>3、投标文件编排混乱的；出现以上每种情况扣34%分，最低0分。无上述情况本项得100%分。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Align w:val="center"/>
          </w:tcPr>
          <w:p>
            <w:pPr>
              <w:spacing w:line="240" w:lineRule="exact"/>
              <w:jc w:val="center"/>
              <w:rPr>
                <w:rFonts w:ascii="宋体" w:hAnsi="宋体"/>
                <w:szCs w:val="21"/>
              </w:rPr>
            </w:pPr>
            <w:r>
              <w:rPr>
                <w:rFonts w:hint="eastAsia" w:ascii="宋体" w:hAnsi="宋体"/>
                <w:szCs w:val="21"/>
              </w:rPr>
              <w:t>4</w:t>
            </w:r>
          </w:p>
        </w:tc>
        <w:tc>
          <w:tcPr>
            <w:tcW w:w="3872" w:type="dxa"/>
            <w:gridSpan w:val="7"/>
            <w:vAlign w:val="center"/>
          </w:tcPr>
          <w:p>
            <w:pPr>
              <w:spacing w:line="240" w:lineRule="exact"/>
              <w:jc w:val="center"/>
              <w:rPr>
                <w:rFonts w:ascii="宋体" w:hAnsi="宋体"/>
                <w:szCs w:val="21"/>
              </w:rPr>
            </w:pPr>
            <w:r>
              <w:rPr>
                <w:rFonts w:hint="eastAsia" w:ascii="宋体" w:hAnsi="宋体"/>
                <w:szCs w:val="21"/>
              </w:rPr>
              <w:t>诚信情况</w:t>
            </w:r>
          </w:p>
        </w:tc>
        <w:tc>
          <w:tcPr>
            <w:tcW w:w="3869" w:type="dxa"/>
            <w:vAlign w:val="center"/>
          </w:tcPr>
          <w:p>
            <w:pPr>
              <w:pStyle w:val="28"/>
              <w:pBdr>
                <w:bottom w:val="none" w:color="auto" w:sz="0" w:space="0"/>
              </w:pBdr>
              <w:tabs>
                <w:tab w:val="clear" w:pos="4153"/>
                <w:tab w:val="clear" w:pos="8306"/>
              </w:tabs>
              <w:spacing w:line="300" w:lineRule="auto"/>
              <w:rPr>
                <w:rFonts w:ascii="宋体" w:hAnsi="宋体"/>
                <w:sz w:val="21"/>
                <w:szCs w:val="21"/>
              </w:rPr>
            </w:pPr>
            <w:r>
              <w:rPr>
                <w:rFonts w:hint="eastAsia" w:ascii="宋体" w:hAnsi="宋体"/>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31" w:type="dxa"/>
            <w:vMerge w:val="restart"/>
            <w:vAlign w:val="center"/>
          </w:tcPr>
          <w:p>
            <w:pPr>
              <w:spacing w:line="240" w:lineRule="exact"/>
              <w:jc w:val="center"/>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序号</w:t>
            </w:r>
          </w:p>
        </w:tc>
        <w:tc>
          <w:tcPr>
            <w:tcW w:w="1843" w:type="dxa"/>
            <w:gridSpan w:val="2"/>
            <w:vAlign w:val="center"/>
          </w:tcPr>
          <w:p>
            <w:pPr>
              <w:spacing w:line="240" w:lineRule="exact"/>
              <w:jc w:val="center"/>
              <w:rPr>
                <w:rFonts w:ascii="宋体" w:hAnsi="宋体"/>
                <w:szCs w:val="21"/>
              </w:rPr>
            </w:pPr>
            <w:r>
              <w:rPr>
                <w:rFonts w:hint="eastAsia" w:ascii="宋体" w:hAnsi="宋体"/>
                <w:szCs w:val="21"/>
              </w:rPr>
              <w:t>评分因素</w:t>
            </w:r>
          </w:p>
        </w:tc>
        <w:tc>
          <w:tcPr>
            <w:tcW w:w="901" w:type="dxa"/>
            <w:gridSpan w:val="3"/>
            <w:vAlign w:val="center"/>
          </w:tcPr>
          <w:p>
            <w:pPr>
              <w:spacing w:line="240" w:lineRule="exact"/>
              <w:jc w:val="center"/>
              <w:rPr>
                <w:rFonts w:ascii="宋体" w:hAnsi="宋体"/>
                <w:szCs w:val="21"/>
              </w:rPr>
            </w:pPr>
            <w:r>
              <w:rPr>
                <w:rFonts w:hint="eastAsia" w:ascii="宋体" w:hAnsi="宋体"/>
                <w:szCs w:val="21"/>
              </w:rPr>
              <w:t>权重</w:t>
            </w:r>
          </w:p>
        </w:tc>
        <w:tc>
          <w:tcPr>
            <w:tcW w:w="645" w:type="dxa"/>
            <w:vAlign w:val="center"/>
          </w:tcPr>
          <w:p>
            <w:pPr>
              <w:spacing w:line="240" w:lineRule="exact"/>
              <w:jc w:val="center"/>
              <w:rPr>
                <w:rFonts w:ascii="宋体" w:hAnsi="宋体"/>
                <w:szCs w:val="21"/>
              </w:rPr>
            </w:pPr>
            <w:r>
              <w:rPr>
                <w:rFonts w:hint="eastAsia" w:ascii="宋体" w:hAnsi="宋体"/>
                <w:szCs w:val="21"/>
              </w:rPr>
              <w:t>评分方式</w:t>
            </w:r>
          </w:p>
        </w:tc>
        <w:tc>
          <w:tcPr>
            <w:tcW w:w="3869"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1" w:type="dxa"/>
            <w:vMerge w:val="continue"/>
            <w:vAlign w:val="center"/>
          </w:tcPr>
          <w:p>
            <w:pPr>
              <w:keepNext/>
              <w:keepLines/>
              <w:spacing w:before="340" w:after="330" w:line="240" w:lineRule="exact"/>
              <w:jc w:val="center"/>
              <w:outlineLvl w:val="0"/>
              <w:rPr>
                <w:rFonts w:ascii="宋体" w:hAnsi="宋体"/>
                <w:szCs w:val="21"/>
              </w:rPr>
            </w:pPr>
          </w:p>
        </w:tc>
        <w:tc>
          <w:tcPr>
            <w:tcW w:w="483" w:type="dxa"/>
            <w:vAlign w:val="center"/>
          </w:tcPr>
          <w:p>
            <w:pPr>
              <w:spacing w:line="240" w:lineRule="exact"/>
              <w:jc w:val="center"/>
              <w:rPr>
                <w:rFonts w:ascii="宋体" w:hAnsi="宋体"/>
                <w:szCs w:val="21"/>
              </w:rPr>
            </w:pPr>
            <w:r>
              <w:rPr>
                <w:rFonts w:ascii="宋体" w:hAnsi="宋体"/>
                <w:szCs w:val="21"/>
              </w:rPr>
              <w:t>1</w:t>
            </w:r>
          </w:p>
        </w:tc>
        <w:tc>
          <w:tcPr>
            <w:tcW w:w="1843" w:type="dxa"/>
            <w:gridSpan w:val="2"/>
            <w:vAlign w:val="center"/>
          </w:tcPr>
          <w:p>
            <w:pPr>
              <w:spacing w:line="240" w:lineRule="exact"/>
              <w:jc w:val="center"/>
              <w:rPr>
                <w:rFonts w:ascii="宋体" w:hAnsi="宋体"/>
                <w:szCs w:val="21"/>
              </w:rPr>
            </w:pPr>
            <w:r>
              <w:rPr>
                <w:rFonts w:hint="eastAsia" w:ascii="宋体" w:hAnsi="宋体"/>
                <w:szCs w:val="21"/>
              </w:rPr>
              <w:t>诚信</w:t>
            </w:r>
          </w:p>
        </w:tc>
        <w:tc>
          <w:tcPr>
            <w:tcW w:w="901" w:type="dxa"/>
            <w:gridSpan w:val="3"/>
            <w:vAlign w:val="center"/>
          </w:tcPr>
          <w:p>
            <w:pPr>
              <w:spacing w:line="240" w:lineRule="exact"/>
              <w:jc w:val="center"/>
              <w:rPr>
                <w:rFonts w:ascii="宋体" w:hAnsi="宋体"/>
                <w:szCs w:val="21"/>
              </w:rPr>
            </w:pPr>
            <w:r>
              <w:rPr>
                <w:rFonts w:ascii="宋体" w:hAnsi="宋体"/>
                <w:szCs w:val="21"/>
              </w:rPr>
              <w:t>5</w:t>
            </w:r>
          </w:p>
        </w:tc>
        <w:tc>
          <w:tcPr>
            <w:tcW w:w="645" w:type="dxa"/>
            <w:vAlign w:val="center"/>
          </w:tcPr>
          <w:p>
            <w:pPr>
              <w:spacing w:line="240" w:lineRule="exact"/>
              <w:jc w:val="center"/>
              <w:rPr>
                <w:rFonts w:ascii="宋体" w:hAnsi="宋体"/>
                <w:szCs w:val="21"/>
              </w:rPr>
            </w:pPr>
            <w:r>
              <w:rPr>
                <w:rFonts w:hint="eastAsia" w:ascii="宋体" w:hAnsi="宋体"/>
                <w:szCs w:val="21"/>
              </w:rPr>
              <w:t>专家评分</w:t>
            </w:r>
          </w:p>
        </w:tc>
        <w:tc>
          <w:tcPr>
            <w:tcW w:w="3869" w:type="dxa"/>
          </w:tcPr>
          <w:p>
            <w:pPr>
              <w:rPr>
                <w:rFonts w:ascii="宋体" w:hAnsi="宋体"/>
                <w:szCs w:val="21"/>
              </w:rPr>
            </w:pPr>
            <w:r>
              <w:rPr>
                <w:rFonts w:hint="eastAsia" w:ascii="新宋体" w:hAnsi="新宋体" w:eastAsia="新宋体" w:cs="新宋体"/>
                <w:szCs w:val="21"/>
              </w:rPr>
              <w:t>投标人在参与政府采购活动中存在诚信相关问题且在主管部门相关处理措施实施期限内的，本项不得分，否则得满分。投标人无需提供任何证明材料，由工作人员向评审委员会提供相关信息。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31" w:type="dxa"/>
            <w:vAlign w:val="center"/>
          </w:tcPr>
          <w:p>
            <w:pPr>
              <w:spacing w:line="240" w:lineRule="exact"/>
              <w:jc w:val="center"/>
              <w:rPr>
                <w:rFonts w:ascii="宋体" w:hAnsi="宋体"/>
                <w:szCs w:val="21"/>
              </w:rPr>
            </w:pPr>
            <w:r>
              <w:rPr>
                <w:rFonts w:hint="eastAsia" w:ascii="宋体" w:hAnsi="宋体"/>
                <w:szCs w:val="21"/>
              </w:rPr>
              <w:t>5</w:t>
            </w:r>
          </w:p>
        </w:tc>
        <w:tc>
          <w:tcPr>
            <w:tcW w:w="3872" w:type="dxa"/>
            <w:gridSpan w:val="7"/>
            <w:vAlign w:val="center"/>
          </w:tcPr>
          <w:p>
            <w:pPr>
              <w:spacing w:line="240" w:lineRule="exact"/>
              <w:jc w:val="center"/>
              <w:rPr>
                <w:rFonts w:ascii="宋体" w:hAnsi="宋体"/>
                <w:szCs w:val="21"/>
              </w:rPr>
            </w:pPr>
            <w:r>
              <w:rPr>
                <w:rFonts w:hint="eastAsia" w:ascii="宋体" w:hAnsi="宋体"/>
                <w:szCs w:val="21"/>
              </w:rPr>
              <w:t>综合实力</w:t>
            </w:r>
          </w:p>
        </w:tc>
        <w:tc>
          <w:tcPr>
            <w:tcW w:w="3869" w:type="dxa"/>
            <w:vAlign w:val="center"/>
          </w:tcPr>
          <w:p>
            <w:pPr>
              <w:pStyle w:val="28"/>
              <w:pBdr>
                <w:bottom w:val="none" w:color="auto" w:sz="0" w:space="0"/>
              </w:pBdr>
              <w:tabs>
                <w:tab w:val="clear" w:pos="4153"/>
                <w:tab w:val="clear" w:pos="8306"/>
              </w:tabs>
              <w:spacing w:line="300" w:lineRule="auto"/>
              <w:rPr>
                <w:rFonts w:ascii="宋体" w:hAnsi="宋体"/>
                <w:sz w:val="21"/>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31" w:type="dxa"/>
            <w:vAlign w:val="center"/>
          </w:tcPr>
          <w:p>
            <w:pPr>
              <w:keepNext/>
              <w:keepLines/>
              <w:spacing w:before="260" w:after="260" w:line="240" w:lineRule="exact"/>
              <w:jc w:val="center"/>
              <w:outlineLvl w:val="2"/>
              <w:rPr>
                <w:rFonts w:ascii="宋体" w:hAnsi="宋体"/>
                <w:szCs w:val="21"/>
              </w:rPr>
            </w:pPr>
          </w:p>
        </w:tc>
        <w:tc>
          <w:tcPr>
            <w:tcW w:w="483" w:type="dxa"/>
            <w:vAlign w:val="center"/>
          </w:tcPr>
          <w:p>
            <w:pPr>
              <w:spacing w:line="240" w:lineRule="exact"/>
              <w:jc w:val="center"/>
              <w:rPr>
                <w:rFonts w:ascii="宋体" w:hAnsi="宋体"/>
                <w:szCs w:val="21"/>
              </w:rPr>
            </w:pPr>
            <w:r>
              <w:rPr>
                <w:rFonts w:hint="eastAsia" w:ascii="宋体" w:hAnsi="宋体"/>
                <w:szCs w:val="21"/>
              </w:rPr>
              <w:t>1</w:t>
            </w:r>
          </w:p>
        </w:tc>
        <w:tc>
          <w:tcPr>
            <w:tcW w:w="1843" w:type="dxa"/>
            <w:gridSpan w:val="2"/>
            <w:vAlign w:val="center"/>
          </w:tcPr>
          <w:p>
            <w:pPr>
              <w:spacing w:line="240" w:lineRule="exact"/>
              <w:jc w:val="center"/>
              <w:rPr>
                <w:rFonts w:ascii="宋体" w:hAnsi="宋体"/>
                <w:color w:val="FF0000"/>
                <w:szCs w:val="21"/>
              </w:rPr>
            </w:pPr>
            <w:r>
              <w:rPr>
                <w:rFonts w:hint="eastAsia" w:ascii="宋体" w:hAnsi="宋体" w:cs="宋体"/>
                <w:szCs w:val="21"/>
              </w:rPr>
              <w:t>项目经验评价</w:t>
            </w:r>
          </w:p>
        </w:tc>
        <w:tc>
          <w:tcPr>
            <w:tcW w:w="901" w:type="dxa"/>
            <w:gridSpan w:val="3"/>
            <w:vAlign w:val="center"/>
          </w:tcPr>
          <w:p>
            <w:pPr>
              <w:spacing w:line="240" w:lineRule="exact"/>
              <w:jc w:val="center"/>
              <w:rPr>
                <w:rFonts w:ascii="宋体" w:hAnsi="宋体"/>
                <w:szCs w:val="21"/>
              </w:rPr>
            </w:pPr>
            <w:r>
              <w:rPr>
                <w:rFonts w:hint="eastAsia" w:ascii="宋体" w:hAnsi="宋体"/>
                <w:szCs w:val="21"/>
              </w:rPr>
              <w:t>2</w:t>
            </w:r>
          </w:p>
        </w:tc>
        <w:tc>
          <w:tcPr>
            <w:tcW w:w="645" w:type="dxa"/>
            <w:vAlign w:val="center"/>
          </w:tcPr>
          <w:p>
            <w:pPr>
              <w:spacing w:line="240" w:lineRule="exact"/>
              <w:jc w:val="center"/>
              <w:rPr>
                <w:rFonts w:ascii="宋体" w:hAnsi="宋体"/>
                <w:szCs w:val="21"/>
              </w:rPr>
            </w:pPr>
            <w:r>
              <w:rPr>
                <w:rFonts w:hint="eastAsia" w:ascii="宋体" w:hAnsi="宋体"/>
                <w:szCs w:val="21"/>
              </w:rPr>
              <w:t>专家打分</w:t>
            </w:r>
          </w:p>
        </w:tc>
        <w:tc>
          <w:tcPr>
            <w:tcW w:w="3869" w:type="dxa"/>
          </w:tcPr>
          <w:p>
            <w:pPr>
              <w:spacing w:before="120" w:after="120"/>
              <w:rPr>
                <w:rFonts w:ascii="宋体" w:hAnsi="宋体"/>
                <w:szCs w:val="21"/>
              </w:rPr>
            </w:pPr>
            <w:r>
              <w:rPr>
                <w:rFonts w:hint="eastAsia" w:ascii="宋体" w:hAnsi="宋体"/>
                <w:szCs w:val="21"/>
              </w:rPr>
              <w:t>最近2年内在深圳做过同类有效项目，一次得50%分，最高分100%分。</w:t>
            </w:r>
          </w:p>
          <w:p>
            <w:pPr>
              <w:pStyle w:val="28"/>
              <w:pBdr>
                <w:bottom w:val="none" w:color="auto" w:sz="0" w:space="0"/>
              </w:pBdr>
              <w:tabs>
                <w:tab w:val="clear" w:pos="4153"/>
                <w:tab w:val="clear" w:pos="8306"/>
              </w:tabs>
              <w:spacing w:line="300" w:lineRule="auto"/>
              <w:jc w:val="both"/>
              <w:rPr>
                <w:rFonts w:ascii="宋体" w:hAnsi="宋体"/>
                <w:sz w:val="21"/>
                <w:szCs w:val="21"/>
              </w:rPr>
            </w:pPr>
            <w:r>
              <w:rPr>
                <w:rFonts w:hint="eastAsia" w:ascii="宋体" w:hAnsi="宋体"/>
                <w:sz w:val="21"/>
                <w:szCs w:val="21"/>
              </w:rPr>
              <w:t>投标人须提供中标通知书，未按要求提供相关材料或扫描件不清晰导致专家无法识别的不得分。</w:t>
            </w:r>
          </w:p>
        </w:tc>
      </w:tr>
    </w:tbl>
    <w:p>
      <w:pPr>
        <w:pStyle w:val="4"/>
        <w:jc w:val="center"/>
        <w:rPr>
          <w:rFonts w:ascii="宋体" w:hAnsi="宋体" w:eastAsia="宋体"/>
          <w:szCs w:val="32"/>
        </w:rPr>
      </w:pPr>
      <w:r>
        <w:rPr>
          <w:rFonts w:hint="eastAsia" w:ascii="宋体" w:hAnsi="宋体" w:eastAsia="宋体"/>
          <w:szCs w:val="32"/>
        </w:rPr>
        <w:t>其它关键信息</w:t>
      </w:r>
    </w:p>
    <w:p>
      <w:pPr>
        <w:ind w:firstLine="3268" w:firstLineChars="1550"/>
        <w:rPr>
          <w:b/>
        </w:rPr>
      </w:pPr>
      <w:r>
        <w:rPr>
          <w:rFonts w:hint="eastAsia"/>
          <w:b/>
        </w:rPr>
        <w:t xml:space="preserve"> 一、评标定标信息</w:t>
      </w:r>
    </w:p>
    <w:p>
      <w:pPr>
        <w:jc w:val="center"/>
      </w:pPr>
      <w:r>
        <w:rPr>
          <w:rFonts w:hint="eastAsia"/>
          <w:b/>
        </w:rPr>
        <w:t>非评定分离项目</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tcPr>
          <w:p>
            <w:pPr>
              <w:spacing w:line="360" w:lineRule="auto"/>
              <w:jc w:val="center"/>
            </w:pPr>
            <w:r>
              <w:rPr>
                <w:rFonts w:hint="eastAsia"/>
              </w:rPr>
              <w:t>评标方法</w:t>
            </w:r>
          </w:p>
        </w:tc>
        <w:tc>
          <w:tcPr>
            <w:tcW w:w="4265" w:type="dxa"/>
          </w:tcPr>
          <w:p>
            <w:pPr>
              <w:spacing w:line="360" w:lineRule="auto"/>
              <w:jc w:val="center"/>
            </w:pPr>
            <w:r>
              <w:rPr>
                <w:rFonts w:hint="eastAsi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tcPr>
          <w:p>
            <w:pPr>
              <w:spacing w:line="360" w:lineRule="auto"/>
              <w:jc w:val="center"/>
            </w:pPr>
            <w:r>
              <w:rPr>
                <w:rFonts w:hint="eastAsia"/>
              </w:rPr>
              <w:t>中标供应商家数</w:t>
            </w:r>
          </w:p>
        </w:tc>
        <w:tc>
          <w:tcPr>
            <w:tcW w:w="4265" w:type="dxa"/>
          </w:tcPr>
          <w:p>
            <w:pPr>
              <w:spacing w:line="360" w:lineRule="auto"/>
              <w:jc w:val="center"/>
            </w:pPr>
            <w:r>
              <w:rPr>
                <w:rFonts w:hint="eastAsia"/>
              </w:rPr>
              <w:t>1</w:t>
            </w:r>
          </w:p>
        </w:tc>
      </w:tr>
    </w:tbl>
    <w:p/>
    <w:p>
      <w:pPr>
        <w:spacing w:line="360" w:lineRule="auto"/>
        <w:rPr>
          <w:rFonts w:ascii="新宋体" w:hAnsi="新宋体" w:eastAsia="新宋体"/>
          <w:b/>
        </w:rPr>
      </w:pPr>
      <w:r>
        <w:rPr>
          <w:rFonts w:hint="eastAsia" w:ascii="新宋体" w:hAnsi="新宋体" w:eastAsia="新宋体"/>
        </w:rPr>
        <w:t xml:space="preserve"> </w:t>
      </w:r>
      <w:r>
        <w:rPr>
          <w:rFonts w:hint="eastAsia" w:ascii="新宋体" w:hAnsi="新宋体" w:eastAsia="新宋体"/>
          <w:b/>
        </w:rPr>
        <w:t xml:space="preserve">                  二、关于享受优惠政策的主体及价格扣除比例</w:t>
      </w:r>
    </w:p>
    <w:p>
      <w:pPr>
        <w:spacing w:line="360" w:lineRule="auto"/>
        <w:ind w:firstLine="420" w:firstLineChars="200"/>
        <w:rPr>
          <w:rFonts w:ascii="新宋体" w:hAnsi="新宋体" w:eastAsia="新宋体"/>
        </w:rPr>
      </w:pPr>
      <w:r>
        <w:rPr>
          <w:rFonts w:hint="eastAsia" w:ascii="新宋体" w:hAnsi="新宋体" w:eastAsia="新宋体"/>
        </w:rPr>
        <w:t>（一）小型企业、微型企业、监狱企业、残疾人福利性单位提供本企业制造的货物，或者提供其他符合优惠主体资格条件企业制造的货物，</w:t>
      </w:r>
      <w:r>
        <w:rPr>
          <w:rFonts w:hint="eastAsia" w:ascii="新宋体" w:hAnsi="新宋体" w:eastAsia="新宋体"/>
          <w:b/>
        </w:rPr>
        <w:t>以及非小微企业提供（代理销售）小微企业制造的货物，</w:t>
      </w:r>
      <w:r>
        <w:rPr>
          <w:rFonts w:hint="eastAsia" w:ascii="新宋体" w:hAnsi="新宋体" w:eastAsia="新宋体"/>
        </w:rPr>
        <w:t>对其所投产品的价格给予</w:t>
      </w:r>
      <w:r>
        <w:rPr>
          <w:rFonts w:hint="eastAsia" w:ascii="新宋体" w:hAnsi="新宋体" w:eastAsia="新宋体"/>
          <w:u w:val="single"/>
        </w:rPr>
        <w:t>6</w:t>
      </w:r>
      <w:r>
        <w:rPr>
          <w:rFonts w:ascii="新宋体" w:hAnsi="新宋体" w:eastAsia="新宋体"/>
        </w:rPr>
        <w:t>%</w:t>
      </w:r>
      <w:r>
        <w:rPr>
          <w:rFonts w:hint="eastAsia" w:ascii="新宋体" w:hAnsi="新宋体" w:eastAsia="新宋体"/>
        </w:rPr>
        <w:t>的扣除，用扣除后的价格参与评审。满足多项优惠政策的企业，不重复享受多项价格扣除政策。（以上所提货物，是指单一产品采购项目中的货物，或者非单一产品采购项目中的核心产品（货物），不包括使用大型企业注册商标的货物。）</w:t>
      </w:r>
    </w:p>
    <w:p>
      <w:pPr>
        <w:spacing w:line="360" w:lineRule="auto"/>
        <w:ind w:firstLine="420" w:firstLineChars="200"/>
        <w:rPr>
          <w:rFonts w:ascii="新宋体" w:hAnsi="新宋体" w:eastAsia="新宋体"/>
        </w:rPr>
      </w:pPr>
      <w:r>
        <w:rPr>
          <w:rFonts w:hint="eastAsia" w:ascii="新宋体" w:hAnsi="新宋体" w:eastAsia="新宋体"/>
        </w:rPr>
        <w:t>（二）优惠主体资格的认定资料为《中小企业声明函》、《残疾人福利性单位声明函》以及《监狱企业声明函》等承诺性质的资料（声明函样式见本招标文件第一册第三章“投标文件格式、附件”中“四、投标人情况介绍”章节提供的格式）；监狱企业或者代理提供监狱企业货物的供应商如须享受优惠政策，除上述资料外，还须提供省级以上监狱管理局、戒毒管理局出具的监狱企业证明文件。</w:t>
      </w:r>
    </w:p>
    <w:p>
      <w:pPr>
        <w:spacing w:line="360" w:lineRule="auto"/>
        <w:jc w:val="center"/>
        <w:rPr>
          <w:rFonts w:ascii="新宋体" w:hAnsi="新宋体" w:eastAsia="新宋体"/>
          <w:b/>
        </w:rPr>
      </w:pPr>
      <w:r>
        <w:rPr>
          <w:rFonts w:hint="eastAsia" w:ascii="新宋体" w:hAnsi="新宋体" w:eastAsia="新宋体"/>
          <w:b/>
        </w:rPr>
        <w:t>三、关于失信供应商的价格上浮</w:t>
      </w:r>
    </w:p>
    <w:p>
      <w:pPr>
        <w:spacing w:line="360" w:lineRule="auto"/>
        <w:ind w:firstLine="420" w:firstLineChars="200"/>
        <w:rPr>
          <w:rFonts w:ascii="新宋体" w:hAnsi="新宋体" w:eastAsia="新宋体"/>
        </w:rPr>
      </w:pPr>
      <w:r>
        <w:rPr>
          <w:rFonts w:hint="eastAsia" w:ascii="新宋体" w:hAnsi="新宋体" w:eastAsia="新宋体"/>
        </w:rPr>
        <w:t>根据《深圳市财政委员会关于印发〈深圳市政府采购供应商诚信管理暂行办法操作细则〉的通知》（深财购〔</w:t>
      </w:r>
      <w:r>
        <w:rPr>
          <w:rFonts w:ascii="新宋体" w:hAnsi="新宋体" w:eastAsia="新宋体"/>
        </w:rPr>
        <w:t>2017</w:t>
      </w:r>
      <w:r>
        <w:rPr>
          <w:rFonts w:hint="eastAsia" w:ascii="新宋体" w:hAnsi="新宋体" w:eastAsia="新宋体"/>
        </w:rPr>
        <w:t>〕</w:t>
      </w:r>
      <w:r>
        <w:rPr>
          <w:rFonts w:ascii="新宋体" w:hAnsi="新宋体" w:eastAsia="新宋体"/>
        </w:rPr>
        <w:t xml:space="preserve">42 </w:t>
      </w:r>
      <w:r>
        <w:rPr>
          <w:rFonts w:hint="eastAsia" w:ascii="新宋体" w:hAnsi="新宋体" w:eastAsia="新宋体"/>
        </w:rPr>
        <w:t>号）的规定，采取价格评比法（比如最低价法）的项目，因违法违规行为被记入诚信档案的失信供应商最终报价在该企业最后一轮报价的基础上上浮</w:t>
      </w:r>
      <w:r>
        <w:rPr>
          <w:rFonts w:ascii="新宋体" w:hAnsi="新宋体" w:eastAsia="新宋体"/>
        </w:rPr>
        <w:t>10%</w:t>
      </w:r>
      <w:r>
        <w:rPr>
          <w:rFonts w:hint="eastAsia" w:ascii="新宋体" w:hAnsi="新宋体" w:eastAsia="新宋体"/>
        </w:rPr>
        <w:t>。失信供应商符合优惠主体资格的，价格扣除和价格上浮一并执行。</w:t>
      </w:r>
    </w:p>
    <w:p>
      <w:pPr>
        <w:spacing w:line="360" w:lineRule="auto"/>
        <w:jc w:val="center"/>
        <w:rPr>
          <w:rFonts w:ascii="新宋体" w:hAnsi="新宋体" w:eastAsia="新宋体"/>
          <w:b/>
        </w:rPr>
      </w:pPr>
      <w:r>
        <w:rPr>
          <w:rFonts w:hint="eastAsia" w:ascii="新宋体" w:hAnsi="新宋体" w:eastAsia="新宋体"/>
          <w:b/>
        </w:rPr>
        <w:t>四、其他说明</w:t>
      </w:r>
    </w:p>
    <w:p>
      <w:pPr>
        <w:spacing w:line="360" w:lineRule="auto"/>
        <w:ind w:firstLine="435"/>
        <w:jc w:val="left"/>
        <w:rPr>
          <w:rFonts w:ascii="新宋体" w:hAnsi="新宋体" w:eastAsia="新宋体"/>
        </w:rPr>
      </w:pPr>
      <w:r>
        <w:rPr>
          <w:rFonts w:hint="eastAsia" w:ascii="新宋体" w:hAnsi="新宋体" w:eastAsia="新宋体"/>
        </w:rPr>
        <w:t>采购人拟采购的产品属于《关于调整优化节能产品环境标志产品政府采购执行机制的通知》（财库〔2019〕9号）品目清单范围的，应依据国家确定的认证机构出具的、处于有效期之内的节能产品、环境标志产品认证证书，对获得证书的产品实施政府优先采购或强制采购。对于已列入品目清单的产品类别，采购人可在采购需求中提出更高的节约资源和保护环境要求，对符合条件的获证产品给予适当评审加分。对于未列入品目清单的产品类别，鼓励采购人综合考虑节能、节水、环保、循环、低碳、再生、有机等因素，参考相关国家标准、行业标准或团体标准，在采购需求中提出相关绿色采购要求，促进绿色产品推广应用。</w:t>
      </w:r>
    </w:p>
    <w:p/>
    <w:p/>
    <w:p/>
    <w:p/>
    <w:p/>
    <w:p/>
    <w:p/>
    <w:p/>
    <w:p/>
    <w:p/>
    <w:p/>
    <w:p/>
    <w:p>
      <w:pPr>
        <w:widowControl/>
        <w:jc w:val="left"/>
      </w:pPr>
      <w:r>
        <w:br w:type="page"/>
      </w:r>
    </w:p>
    <w:p>
      <w:pPr>
        <w:pStyle w:val="2"/>
      </w:pPr>
      <w:r>
        <w:rPr>
          <w:rFonts w:hint="eastAsia"/>
        </w:rPr>
        <w:t>目   录</w:t>
      </w:r>
    </w:p>
    <w:p>
      <w:pPr>
        <w:spacing w:line="360" w:lineRule="auto"/>
        <w:rPr>
          <w:rFonts w:ascii="新宋体" w:hAnsi="新宋体" w:eastAsia="新宋体"/>
          <w:b/>
          <w:szCs w:val="21"/>
        </w:rPr>
      </w:pPr>
      <w:r>
        <w:rPr>
          <w:rFonts w:hint="eastAsia" w:ascii="新宋体" w:hAnsi="新宋体" w:eastAsia="新宋体"/>
          <w:b/>
          <w:szCs w:val="21"/>
        </w:rPr>
        <w:t>第一册  专用条款</w:t>
      </w:r>
    </w:p>
    <w:p>
      <w:pPr>
        <w:spacing w:line="360" w:lineRule="auto"/>
        <w:rPr>
          <w:rFonts w:ascii="新宋体" w:hAnsi="新宋体" w:eastAsia="新宋体"/>
          <w:szCs w:val="21"/>
        </w:rPr>
      </w:pPr>
      <w:r>
        <w:rPr>
          <w:rFonts w:hint="eastAsia" w:ascii="新宋体" w:hAnsi="新宋体" w:eastAsia="新宋体"/>
          <w:szCs w:val="21"/>
        </w:rPr>
        <w:t xml:space="preserve">          关键信息</w:t>
      </w:r>
    </w:p>
    <w:p>
      <w:pPr>
        <w:spacing w:line="360" w:lineRule="auto"/>
        <w:ind w:left="630" w:leftChars="300" w:firstLine="630" w:firstLineChars="300"/>
        <w:rPr>
          <w:rFonts w:ascii="新宋体" w:hAnsi="新宋体" w:eastAsia="新宋体"/>
          <w:szCs w:val="21"/>
        </w:rPr>
      </w:pPr>
      <w:r>
        <w:rPr>
          <w:rFonts w:hint="eastAsia" w:ascii="新宋体" w:hAnsi="新宋体" w:eastAsia="新宋体"/>
          <w:szCs w:val="21"/>
        </w:rPr>
        <w:t>第一章  招标公告</w:t>
      </w:r>
    </w:p>
    <w:p>
      <w:pPr>
        <w:spacing w:line="360" w:lineRule="auto"/>
        <w:ind w:left="630" w:leftChars="300" w:firstLine="630" w:firstLineChars="300"/>
        <w:rPr>
          <w:rFonts w:ascii="新宋体" w:hAnsi="新宋体" w:eastAsia="新宋体"/>
          <w:szCs w:val="21"/>
        </w:rPr>
      </w:pPr>
      <w:r>
        <w:rPr>
          <w:rFonts w:hint="eastAsia" w:ascii="新宋体" w:hAnsi="新宋体" w:eastAsia="新宋体"/>
          <w:szCs w:val="21"/>
        </w:rPr>
        <w:t>第二章  招标项目需求</w:t>
      </w:r>
    </w:p>
    <w:p>
      <w:pPr>
        <w:spacing w:line="360" w:lineRule="auto"/>
        <w:ind w:left="630" w:leftChars="300" w:firstLine="630" w:firstLineChars="300"/>
        <w:rPr>
          <w:rFonts w:ascii="新宋体" w:hAnsi="新宋体" w:eastAsia="新宋体"/>
          <w:szCs w:val="21"/>
        </w:rPr>
      </w:pPr>
      <w:r>
        <w:rPr>
          <w:rFonts w:hint="eastAsia" w:ascii="新宋体" w:hAnsi="新宋体" w:eastAsia="新宋体"/>
          <w:szCs w:val="21"/>
        </w:rPr>
        <w:t>第三章  投标文件格式、附件</w:t>
      </w:r>
    </w:p>
    <w:p>
      <w:pPr>
        <w:spacing w:line="360" w:lineRule="auto"/>
        <w:ind w:left="630" w:leftChars="300" w:firstLine="630" w:firstLineChars="300"/>
        <w:rPr>
          <w:rFonts w:ascii="新宋体" w:hAnsi="新宋体" w:eastAsia="新宋体"/>
          <w:szCs w:val="21"/>
        </w:rPr>
      </w:pPr>
      <w:r>
        <w:rPr>
          <w:rFonts w:hint="eastAsia" w:ascii="新宋体" w:hAnsi="新宋体" w:eastAsia="新宋体"/>
          <w:szCs w:val="21"/>
        </w:rPr>
        <w:t>第四章  政府采购合同的签订、履行及验收</w:t>
      </w:r>
    </w:p>
    <w:p>
      <w:pPr>
        <w:spacing w:line="360" w:lineRule="auto"/>
        <w:rPr>
          <w:rFonts w:ascii="新宋体" w:hAnsi="新宋体" w:eastAsia="新宋体"/>
          <w:b/>
          <w:szCs w:val="21"/>
        </w:rPr>
      </w:pPr>
    </w:p>
    <w:p>
      <w:pPr>
        <w:spacing w:line="360" w:lineRule="auto"/>
        <w:rPr>
          <w:rFonts w:ascii="新宋体" w:hAnsi="新宋体" w:eastAsia="新宋体"/>
          <w:b/>
          <w:szCs w:val="21"/>
        </w:rPr>
      </w:pPr>
      <w:r>
        <w:rPr>
          <w:rFonts w:hint="eastAsia" w:ascii="新宋体" w:hAnsi="新宋体" w:eastAsia="新宋体"/>
          <w:b/>
          <w:szCs w:val="21"/>
        </w:rPr>
        <w:t>第二册  通用条款</w:t>
      </w:r>
    </w:p>
    <w:p>
      <w:pPr>
        <w:spacing w:line="360" w:lineRule="auto"/>
        <w:ind w:firstLine="420" w:firstLineChars="200"/>
        <w:rPr>
          <w:rFonts w:ascii="新宋体" w:hAnsi="新宋体" w:eastAsia="新宋体"/>
          <w:szCs w:val="21"/>
        </w:rPr>
      </w:pPr>
      <w:r>
        <w:rPr>
          <w:rFonts w:hint="eastAsia" w:ascii="新宋体" w:hAnsi="新宋体" w:eastAsia="新宋体"/>
          <w:szCs w:val="21"/>
        </w:rPr>
        <w:t>通用条款内容可在深圳公共资源交易中心网站（</w:t>
      </w:r>
      <w:r>
        <w:rPr>
          <w:rFonts w:ascii="新宋体" w:hAnsi="新宋体" w:eastAsia="新宋体"/>
          <w:szCs w:val="21"/>
        </w:rPr>
        <w:t>www.szzfcg.cn</w:t>
      </w:r>
      <w:r>
        <w:rPr>
          <w:rFonts w:hint="eastAsia" w:ascii="新宋体" w:hAnsi="新宋体" w:eastAsia="新宋体"/>
          <w:szCs w:val="21"/>
        </w:rPr>
        <w:t>）以下栏目中查看（两处均可）：</w:t>
      </w:r>
    </w:p>
    <w:p>
      <w:pPr>
        <w:spacing w:line="360" w:lineRule="auto"/>
        <w:rPr>
          <w:rFonts w:ascii="新宋体" w:hAnsi="新宋体" w:eastAsia="新宋体"/>
          <w:szCs w:val="21"/>
        </w:rPr>
      </w:pPr>
      <w:r>
        <w:rPr>
          <w:rFonts w:hint="eastAsia" w:ascii="新宋体" w:hAnsi="新宋体" w:eastAsia="新宋体"/>
          <w:szCs w:val="21"/>
        </w:rPr>
        <w:t xml:space="preserve">     </w:t>
      </w:r>
      <w:r>
        <w:rPr>
          <w:rFonts w:ascii="新宋体" w:hAnsi="新宋体" w:eastAsia="新宋体"/>
          <w:szCs w:val="21"/>
        </w:rPr>
        <w:fldChar w:fldCharType="begin"/>
      </w:r>
      <w:r>
        <w:rPr>
          <w:rFonts w:ascii="新宋体" w:hAnsi="新宋体" w:eastAsia="新宋体"/>
          <w:szCs w:val="21"/>
        </w:rPr>
        <w:instrText xml:space="preserve"> </w:instrText>
      </w:r>
      <w:r>
        <w:rPr>
          <w:rFonts w:hint="eastAsia" w:ascii="新宋体" w:hAnsi="新宋体" w:eastAsia="新宋体"/>
          <w:szCs w:val="21"/>
        </w:rPr>
        <w:instrText xml:space="preserve">eq \o\ac(</w:instrText>
      </w:r>
      <w:r>
        <w:rPr>
          <w:rFonts w:hint="eastAsia" w:ascii="新宋体" w:hAnsi="新宋体" w:eastAsia="新宋体"/>
          <w:position w:val="-4"/>
          <w:szCs w:val="21"/>
        </w:rPr>
        <w:instrText xml:space="preserve">○</w:instrText>
      </w:r>
      <w:r>
        <w:rPr>
          <w:rFonts w:hint="eastAsia" w:ascii="新宋体" w:hAnsi="新宋体" w:eastAsia="新宋体"/>
          <w:szCs w:val="21"/>
        </w:rPr>
        <w:instrText xml:space="preserve">,1)</w:instrText>
      </w:r>
      <w:r>
        <w:rPr>
          <w:rFonts w:ascii="新宋体" w:hAnsi="新宋体" w:eastAsia="新宋体"/>
          <w:szCs w:val="21"/>
        </w:rPr>
        <w:fldChar w:fldCharType="end"/>
      </w:r>
      <w:r>
        <w:rPr>
          <w:rFonts w:hint="eastAsia" w:ascii="新宋体" w:hAnsi="新宋体" w:eastAsia="新宋体"/>
          <w:szCs w:val="21"/>
        </w:rPr>
        <w:t>“业务服务”—“面向供应商”—“采购文件模板”；</w:t>
      </w:r>
    </w:p>
    <w:p>
      <w:pPr>
        <w:spacing w:line="360" w:lineRule="auto"/>
        <w:rPr>
          <w:rFonts w:ascii="新宋体" w:hAnsi="新宋体" w:eastAsia="新宋体"/>
          <w:szCs w:val="21"/>
        </w:rPr>
      </w:pPr>
      <w:r>
        <w:rPr>
          <w:rFonts w:hint="eastAsia" w:ascii="新宋体" w:hAnsi="新宋体" w:eastAsia="新宋体"/>
          <w:szCs w:val="21"/>
        </w:rPr>
        <w:t xml:space="preserve">     </w:t>
      </w:r>
      <w:r>
        <w:rPr>
          <w:rFonts w:ascii="新宋体" w:hAnsi="新宋体" w:eastAsia="新宋体"/>
          <w:szCs w:val="21"/>
        </w:rPr>
        <w:fldChar w:fldCharType="begin"/>
      </w:r>
      <w:r>
        <w:rPr>
          <w:rFonts w:ascii="新宋体" w:hAnsi="新宋体" w:eastAsia="新宋体"/>
          <w:szCs w:val="21"/>
        </w:rPr>
        <w:instrText xml:space="preserve"> </w:instrText>
      </w:r>
      <w:r>
        <w:rPr>
          <w:rFonts w:hint="eastAsia" w:ascii="新宋体" w:hAnsi="新宋体" w:eastAsia="新宋体"/>
          <w:szCs w:val="21"/>
        </w:rPr>
        <w:instrText xml:space="preserve">eq \o\ac(</w:instrText>
      </w:r>
      <w:r>
        <w:rPr>
          <w:rFonts w:hint="eastAsia" w:ascii="新宋体" w:hAnsi="新宋体" w:eastAsia="新宋体"/>
          <w:position w:val="-4"/>
          <w:szCs w:val="21"/>
        </w:rPr>
        <w:instrText xml:space="preserve">○</w:instrText>
      </w:r>
      <w:r>
        <w:rPr>
          <w:rFonts w:hint="eastAsia" w:ascii="新宋体" w:hAnsi="新宋体" w:eastAsia="新宋体"/>
          <w:szCs w:val="21"/>
        </w:rPr>
        <w:instrText xml:space="preserve">,2)</w:instrText>
      </w:r>
      <w:r>
        <w:rPr>
          <w:rFonts w:ascii="新宋体" w:hAnsi="新宋体" w:eastAsia="新宋体"/>
          <w:szCs w:val="21"/>
        </w:rPr>
        <w:fldChar w:fldCharType="end"/>
      </w:r>
      <w:r>
        <w:rPr>
          <w:rFonts w:hint="eastAsia" w:ascii="新宋体" w:hAnsi="新宋体" w:eastAsia="新宋体"/>
          <w:szCs w:val="21"/>
        </w:rPr>
        <w:t>“业务服务”—“面向采购人”—“采购文件模板”。</w:t>
      </w:r>
    </w:p>
    <w:p>
      <w:pPr>
        <w:spacing w:line="360" w:lineRule="auto"/>
        <w:rPr>
          <w:rFonts w:ascii="新宋体" w:hAnsi="新宋体" w:eastAsia="新宋体"/>
          <w:b/>
          <w:szCs w:val="21"/>
        </w:rPr>
      </w:pPr>
      <w:r>
        <w:rPr>
          <w:rFonts w:hint="eastAsia" w:ascii="新宋体" w:hAnsi="新宋体" w:eastAsia="新宋体"/>
          <w:b/>
          <w:szCs w:val="21"/>
        </w:rPr>
        <w:t>备注：</w:t>
      </w:r>
    </w:p>
    <w:p>
      <w:pPr>
        <w:spacing w:line="360" w:lineRule="auto"/>
        <w:ind w:firstLine="420" w:firstLineChars="200"/>
        <w:rPr>
          <w:rFonts w:ascii="新宋体" w:hAnsi="新宋体" w:eastAsia="新宋体"/>
          <w:b/>
          <w:color w:val="FF0000"/>
          <w:szCs w:val="21"/>
        </w:rPr>
      </w:pPr>
      <w:r>
        <w:rPr>
          <w:rFonts w:hint="eastAsia" w:ascii="新宋体" w:hAnsi="新宋体" w:eastAsia="新宋体"/>
          <w:color w:val="FF0000"/>
          <w:szCs w:val="21"/>
        </w:rPr>
        <w:t>1.本招标文件分为第一册“专用条款”和第二册“通用条款”。</w:t>
      </w:r>
    </w:p>
    <w:p>
      <w:pPr>
        <w:spacing w:line="360" w:lineRule="auto"/>
        <w:ind w:firstLine="420" w:firstLineChars="200"/>
        <w:jc w:val="left"/>
        <w:rPr>
          <w:rFonts w:ascii="新宋体" w:hAnsi="新宋体" w:eastAsia="新宋体"/>
          <w:color w:val="FF0000"/>
          <w:szCs w:val="21"/>
        </w:rPr>
      </w:pPr>
      <w:r>
        <w:rPr>
          <w:rFonts w:hint="eastAsia" w:ascii="新宋体" w:hAnsi="新宋体" w:eastAsia="新宋体"/>
          <w:color w:val="FF0000"/>
          <w:szCs w:val="21"/>
        </w:rPr>
        <w:t>2.“专用条款”是对本次采购项目的具体要求，包含招标公告、招标项目需求、投标文件格式、合同条款及格式、附件等内容。</w:t>
      </w:r>
    </w:p>
    <w:p>
      <w:pPr>
        <w:spacing w:line="360" w:lineRule="auto"/>
        <w:ind w:firstLine="420" w:firstLineChars="200"/>
        <w:jc w:val="left"/>
        <w:rPr>
          <w:rFonts w:ascii="新宋体" w:hAnsi="新宋体" w:eastAsia="新宋体"/>
          <w:color w:val="FF0000"/>
          <w:szCs w:val="21"/>
        </w:rPr>
      </w:pPr>
      <w:r>
        <w:rPr>
          <w:rFonts w:hint="eastAsia" w:ascii="新宋体" w:hAnsi="新宋体" w:eastAsia="新宋体"/>
          <w:color w:val="FF0000"/>
          <w:szCs w:val="21"/>
        </w:rPr>
        <w:t>3.“通用条款”是通用于政府采购项目的基础性条款，具有普遍性和通用性。</w:t>
      </w:r>
    </w:p>
    <w:p>
      <w:pPr>
        <w:spacing w:line="360" w:lineRule="auto"/>
        <w:ind w:firstLine="420" w:firstLineChars="200"/>
        <w:jc w:val="left"/>
        <w:rPr>
          <w:rFonts w:ascii="新宋体" w:hAnsi="新宋体" w:eastAsia="新宋体"/>
          <w:color w:val="FF0000"/>
          <w:szCs w:val="21"/>
        </w:rPr>
      </w:pPr>
      <w:r>
        <w:rPr>
          <w:rFonts w:hint="eastAsia" w:ascii="新宋体" w:hAnsi="新宋体" w:eastAsia="新宋体"/>
          <w:color w:val="FF0000"/>
          <w:szCs w:val="21"/>
        </w:rPr>
        <w:t>4.当出现“专用条款”和“通用条款”表述不一致或有冲突时，以“专用条款”为准。</w:t>
      </w:r>
    </w:p>
    <w:p>
      <w:pPr>
        <w:pStyle w:val="2"/>
        <w:rPr>
          <w:color w:val="FF0000"/>
          <w:sz w:val="24"/>
        </w:rPr>
      </w:pPr>
      <w:r>
        <w:rPr>
          <w:color w:val="FF0000"/>
        </w:rPr>
        <w:br w:type="page"/>
      </w:r>
      <w:bookmarkStart w:id="0" w:name="bt合同格式"/>
      <w:bookmarkEnd w:id="0"/>
      <w:bookmarkStart w:id="1" w:name="bt投标人情况介绍"/>
      <w:bookmarkEnd w:id="1"/>
      <w:bookmarkStart w:id="2" w:name="bt其他资料2"/>
      <w:bookmarkEnd w:id="2"/>
      <w:bookmarkStart w:id="3" w:name="bt其他资料由投标人自定"/>
      <w:bookmarkEnd w:id="3"/>
      <w:bookmarkStart w:id="4" w:name="bt投标文件签署授权委托书"/>
      <w:bookmarkEnd w:id="4"/>
      <w:bookmarkStart w:id="5" w:name="bt项目管理班子配备情况"/>
      <w:bookmarkEnd w:id="5"/>
      <w:bookmarkStart w:id="6" w:name="bt投标函"/>
      <w:bookmarkEnd w:id="6"/>
      <w:bookmarkStart w:id="7" w:name="bt说明"/>
      <w:bookmarkEnd w:id="7"/>
      <w:bookmarkStart w:id="8" w:name="bt合同条款"/>
      <w:bookmarkEnd w:id="8"/>
      <w:bookmarkStart w:id="9" w:name="bt本工程承诺书"/>
      <w:bookmarkEnd w:id="9"/>
      <w:bookmarkStart w:id="10" w:name="bt技术标投标文件格式"/>
      <w:bookmarkEnd w:id="10"/>
      <w:bookmarkStart w:id="11" w:name="bt合同条款及格式"/>
      <w:bookmarkEnd w:id="11"/>
      <w:bookmarkStart w:id="12" w:name="bt开标一览表"/>
      <w:bookmarkEnd w:id="12"/>
      <w:bookmarkStart w:id="13" w:name="bt投标报价汇总表"/>
      <w:bookmarkEnd w:id="13"/>
      <w:bookmarkStart w:id="14" w:name="bt投标人须知"/>
      <w:bookmarkEnd w:id="14"/>
      <w:bookmarkStart w:id="15" w:name="bt商务标投标文件格式"/>
      <w:bookmarkEnd w:id="15"/>
      <w:bookmarkStart w:id="16" w:name="合同格式"/>
      <w:bookmarkEnd w:id="16"/>
      <w:r>
        <w:rPr>
          <w:rFonts w:hint="eastAsia"/>
        </w:rPr>
        <w:t>第一册  专用条款</w:t>
      </w:r>
    </w:p>
    <w:p>
      <w:pPr>
        <w:pStyle w:val="5"/>
      </w:pPr>
      <w:r>
        <w:rPr>
          <w:rFonts w:hint="eastAsia"/>
        </w:rPr>
        <w:t>第一章  招标公告</w:t>
      </w:r>
    </w:p>
    <w:tbl>
      <w:tblPr>
        <w:tblStyle w:val="43"/>
        <w:tblW w:w="8890" w:type="dxa"/>
        <w:jc w:val="center"/>
        <w:tblCellSpacing w:w="0" w:type="dxa"/>
        <w:tblLayout w:type="fixed"/>
        <w:tblCellMar>
          <w:top w:w="0" w:type="dxa"/>
          <w:left w:w="0" w:type="dxa"/>
          <w:bottom w:w="0" w:type="dxa"/>
          <w:right w:w="0" w:type="dxa"/>
        </w:tblCellMar>
      </w:tblPr>
      <w:tblGrid>
        <w:gridCol w:w="8890"/>
      </w:tblGrid>
      <w:tr>
        <w:tblPrEx>
          <w:tblCellMar>
            <w:top w:w="0" w:type="dxa"/>
            <w:left w:w="0" w:type="dxa"/>
            <w:bottom w:w="0" w:type="dxa"/>
            <w:right w:w="0" w:type="dxa"/>
          </w:tblCellMar>
        </w:tblPrEx>
        <w:trPr>
          <w:tblCellSpacing w:w="0" w:type="dxa"/>
          <w:jc w:val="center"/>
        </w:trPr>
        <w:tc>
          <w:tcPr>
            <w:tcW w:w="8890" w:type="dxa"/>
            <w:vAlign w:val="center"/>
          </w:tcPr>
          <w:tbl>
            <w:tblPr>
              <w:tblStyle w:val="43"/>
              <w:tblW w:w="8638" w:type="dxa"/>
              <w:jc w:val="center"/>
              <w:tblCellSpacing w:w="0" w:type="dxa"/>
              <w:tblLayout w:type="fixed"/>
              <w:tblCellMar>
                <w:top w:w="0" w:type="dxa"/>
                <w:left w:w="0" w:type="dxa"/>
                <w:bottom w:w="0" w:type="dxa"/>
                <w:right w:w="0" w:type="dxa"/>
              </w:tblCellMar>
            </w:tblPr>
            <w:tblGrid>
              <w:gridCol w:w="8638"/>
            </w:tblGrid>
            <w:tr>
              <w:trPr>
                <w:trHeight w:val="279" w:hRule="atLeast"/>
                <w:tblCellSpacing w:w="0" w:type="dxa"/>
                <w:jc w:val="center"/>
              </w:trPr>
              <w:tc>
                <w:tcPr>
                  <w:tcW w:w="8638" w:type="dxa"/>
                  <w:vAlign w:val="center"/>
                </w:tcPr>
                <w:p>
                  <w:pPr>
                    <w:spacing w:line="360" w:lineRule="auto"/>
                    <w:rPr>
                      <w:rFonts w:ascii="新宋体" w:hAnsi="新宋体" w:eastAsia="新宋体"/>
                      <w:szCs w:val="21"/>
                    </w:rPr>
                  </w:pPr>
                  <w:r>
                    <w:rPr>
                      <w:rFonts w:ascii="新宋体" w:hAnsi="新宋体" w:eastAsia="新宋体"/>
                      <w:szCs w:val="21"/>
                    </w:rPr>
                    <w:t>根据《深圳经济特区政府采购条例》、《深圳经济特区政府采购条例实施细则》和《深圳网上政府采购管理暂行办法》的有关规定，</w:t>
                  </w:r>
                  <w:r>
                    <w:rPr>
                      <w:rFonts w:hint="eastAsia" w:ascii="新宋体" w:hAnsi="新宋体" w:eastAsia="新宋体"/>
                      <w:szCs w:val="21"/>
                    </w:rPr>
                    <w:t>深圳市瑞凝信招标咨询有限公司</w:t>
                  </w:r>
                  <w:r>
                    <w:rPr>
                      <w:rFonts w:ascii="新宋体" w:hAnsi="新宋体" w:eastAsia="新宋体"/>
                      <w:szCs w:val="21"/>
                    </w:rPr>
                    <w:t>就</w:t>
                  </w:r>
                  <w:r>
                    <w:rPr>
                      <w:rFonts w:hint="eastAsia" w:ascii="新宋体" w:hAnsi="新宋体" w:eastAsia="新宋体"/>
                      <w:iCs/>
                      <w:szCs w:val="21"/>
                      <w:u w:val="single"/>
                    </w:rPr>
                    <w:t>校园电视台项目采购</w:t>
                  </w:r>
                  <w:r>
                    <w:rPr>
                      <w:rFonts w:ascii="新宋体" w:hAnsi="新宋体" w:eastAsia="新宋体"/>
                      <w:szCs w:val="21"/>
                    </w:rPr>
                    <w:t xml:space="preserve">项目，采用公开招标的方式，欢迎符合资格的供应商参加投标。 </w:t>
                  </w:r>
                </w:p>
                <w:p>
                  <w:pPr>
                    <w:keepNext/>
                    <w:keepLines/>
                    <w:spacing w:before="260" w:after="260" w:line="360" w:lineRule="auto"/>
                    <w:outlineLvl w:val="2"/>
                    <w:rPr>
                      <w:rFonts w:ascii="新宋体" w:hAnsi="新宋体" w:eastAsia="新宋体"/>
                      <w:b/>
                      <w:bCs/>
                      <w:szCs w:val="21"/>
                    </w:rPr>
                  </w:pPr>
                  <w:r>
                    <w:rPr>
                      <w:rFonts w:ascii="新宋体" w:hAnsi="新宋体" w:eastAsia="新宋体"/>
                      <w:b/>
                      <w:bCs/>
                      <w:szCs w:val="21"/>
                    </w:rPr>
                    <w:t>一、项目编号：NSDL2021197497</w:t>
                  </w:r>
                </w:p>
                <w:p>
                  <w:pPr>
                    <w:keepNext/>
                    <w:keepLines/>
                    <w:spacing w:before="260" w:after="260" w:line="360" w:lineRule="auto"/>
                    <w:outlineLvl w:val="2"/>
                    <w:rPr>
                      <w:rFonts w:ascii="新宋体" w:hAnsi="新宋体" w:eastAsia="新宋体"/>
                      <w:bCs/>
                      <w:szCs w:val="21"/>
                    </w:rPr>
                  </w:pPr>
                  <w:r>
                    <w:rPr>
                      <w:rFonts w:ascii="新宋体" w:hAnsi="新宋体" w:eastAsia="新宋体"/>
                      <w:b/>
                      <w:bCs/>
                      <w:szCs w:val="21"/>
                    </w:rPr>
                    <w:t>二、项目名称：</w:t>
                  </w:r>
                  <w:r>
                    <w:rPr>
                      <w:rFonts w:hint="eastAsia" w:ascii="新宋体" w:hAnsi="新宋体" w:eastAsia="新宋体"/>
                      <w:b/>
                      <w:bCs/>
                      <w:szCs w:val="21"/>
                    </w:rPr>
                    <w:t>校园电视台项目采购</w:t>
                  </w:r>
                </w:p>
                <w:p>
                  <w:pPr>
                    <w:spacing w:before="60" w:beforeLines="25" w:after="60" w:afterLines="25" w:line="360" w:lineRule="auto"/>
                    <w:rPr>
                      <w:rFonts w:ascii="新宋体" w:hAnsi="新宋体" w:eastAsia="新宋体"/>
                      <w:szCs w:val="21"/>
                    </w:rPr>
                  </w:pPr>
                  <w:r>
                    <w:rPr>
                      <w:rFonts w:ascii="新宋体" w:hAnsi="新宋体" w:eastAsia="新宋体"/>
                      <w:b/>
                      <w:szCs w:val="21"/>
                    </w:rPr>
                    <w:t>三、项目概况：</w:t>
                  </w:r>
                  <w:r>
                    <w:rPr>
                      <w:rFonts w:ascii="新宋体" w:hAnsi="新宋体" w:eastAsia="新宋体"/>
                      <w:szCs w:val="21"/>
                    </w:rPr>
                    <w:t xml:space="preserve"> </w:t>
                  </w:r>
                  <w:r>
                    <w:rPr>
                      <w:rFonts w:hint="eastAsia" w:ascii="新宋体" w:hAnsi="新宋体" w:eastAsia="新宋体"/>
                      <w:szCs w:val="21"/>
                    </w:rPr>
                    <w:t>深圳市南山区前海学校校园电视台采购</w:t>
                  </w:r>
                </w:p>
                <w:tbl>
                  <w:tblPr>
                    <w:tblStyle w:val="43"/>
                    <w:tblW w:w="8466" w:type="dxa"/>
                    <w:jc w:val="center"/>
                    <w:tblCellSpacing w:w="0" w:type="dxa"/>
                    <w:tblLayout w:type="fixed"/>
                    <w:tblCellMar>
                      <w:top w:w="0" w:type="dxa"/>
                      <w:left w:w="0" w:type="dxa"/>
                      <w:bottom w:w="0" w:type="dxa"/>
                      <w:right w:w="0" w:type="dxa"/>
                    </w:tblCellMar>
                  </w:tblPr>
                  <w:tblGrid>
                    <w:gridCol w:w="8466"/>
                  </w:tblGrid>
                  <w:tr>
                    <w:tblPrEx>
                      <w:tblCellMar>
                        <w:top w:w="0" w:type="dxa"/>
                        <w:left w:w="0" w:type="dxa"/>
                        <w:bottom w:w="0" w:type="dxa"/>
                        <w:right w:w="0" w:type="dxa"/>
                      </w:tblCellMar>
                    </w:tblPrEx>
                    <w:trPr>
                      <w:trHeight w:val="279" w:hRule="atLeast"/>
                      <w:tblCellSpacing w:w="0" w:type="dxa"/>
                      <w:jc w:val="center"/>
                    </w:trPr>
                    <w:tc>
                      <w:tcPr>
                        <w:tcW w:w="8466" w:type="dxa"/>
                        <w:vAlign w:val="center"/>
                      </w:tcPr>
                      <w:p>
                        <w:pPr>
                          <w:spacing w:line="360" w:lineRule="auto"/>
                          <w:ind w:left="-1" w:leftChars="-1" w:hanging="1"/>
                          <w:jc w:val="left"/>
                          <w:rPr>
                            <w:rFonts w:ascii="新宋体" w:hAnsi="新宋体" w:eastAsia="新宋体"/>
                            <w:szCs w:val="21"/>
                          </w:rPr>
                        </w:pPr>
                        <w:r>
                          <w:rPr>
                            <w:rFonts w:hint="eastAsia" w:ascii="新宋体" w:hAnsi="新宋体" w:eastAsia="新宋体"/>
                            <w:szCs w:val="21"/>
                          </w:rPr>
                          <w:t>四、投标人资格要求：</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（1）具有独立法人资格或具有独立承担民事责任的能力的其它组织（提供营业执照或事业单位法人证等法人证明扫描件，原件备查）。</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（2）本项目不接受联合体投标，不接受投标人选用进口产品参与投标。</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（3）参与本项目投标前三年内，在经营活动中没有重大违法记录（由供应商在《政府采购投标及履约承诺函》中作出声明）。</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（4）参与本项目政府采购活动时不存在被有关部门禁止参与政府采购活动且在有效期内的情况（由供应商在《政府采购投标及履约承诺函》中作出声明）。</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（5）具备《中华人民共和国政府采购法》第二十二条第一款的条件（由供应商在《政府采购投标及履约承诺函》中作出声明）。</w:t>
                        </w:r>
                      </w:p>
                      <w:p>
                        <w:pPr>
                          <w:spacing w:before="60" w:beforeLines="25" w:after="60" w:afterLines="25" w:line="360" w:lineRule="auto"/>
                          <w:ind w:firstLine="392" w:firstLineChars="187"/>
                          <w:rPr>
                            <w:rFonts w:ascii="新宋体" w:hAnsi="新宋体" w:eastAsia="新宋体"/>
                            <w:szCs w:val="21"/>
                          </w:rPr>
                        </w:pPr>
                        <w:r>
                          <w:rPr>
                            <w:rFonts w:hint="eastAsia" w:ascii="新宋体" w:hAnsi="新宋体" w:eastAsia="新宋体"/>
                            <w:szCs w:val="21"/>
                          </w:rPr>
                          <w:t>（6）未被列入失信被执行人、重大税收违法案件当事人名单、政府采购严重违法失信行为记录名单（由供应商在《政府采购投标及履约承诺函》中作出声明）。</w:t>
                        </w:r>
                      </w:p>
                      <w:p>
                        <w:pPr>
                          <w:spacing w:before="60" w:beforeLines="25" w:after="60" w:afterLines="25" w:line="360" w:lineRule="auto"/>
                          <w:rPr>
                            <w:rFonts w:ascii="新宋体" w:hAnsi="新宋体" w:eastAsia="新宋体"/>
                            <w:szCs w:val="21"/>
                          </w:rPr>
                        </w:pPr>
                        <w:r>
                          <w:rPr>
                            <w:rFonts w:hint="eastAsia" w:ascii="新宋体" w:hAnsi="新宋体" w:eastAsia="新宋体"/>
                            <w:szCs w:val="21"/>
                          </w:rPr>
                          <w:t xml:space="preserve">    注：“信用中国”、“中国政府采购网”以及“深圳市政府采购监管网”为供应商信用信息的查询渠道，相关信息以中标通知书发出前的查询结果为准。 </w:t>
                        </w:r>
                      </w:p>
                      <w:p>
                        <w:pPr>
                          <w:spacing w:before="60" w:beforeLines="25" w:after="60" w:afterLines="25" w:line="360" w:lineRule="auto"/>
                          <w:rPr>
                            <w:rFonts w:ascii="新宋体" w:hAnsi="新宋体" w:eastAsia="新宋体"/>
                            <w:szCs w:val="21"/>
                          </w:rPr>
                        </w:pPr>
                        <w:r>
                          <w:rPr>
                            <w:rFonts w:hint="eastAsia" w:ascii="新宋体" w:hAnsi="新宋体" w:eastAsia="新宋体"/>
                            <w:szCs w:val="21"/>
                          </w:rPr>
                          <w:t xml:space="preserve">   备注：如联合体投标，投标人还必须提供《联合体投标协议》（格式自定），《联合体投标协议》须明确牵头人，并载明联合体各方承担的工作和义务。</w:t>
                        </w:r>
                      </w:p>
                      <w:p>
                        <w:pPr>
                          <w:spacing w:before="60" w:beforeLines="25" w:after="60" w:afterLines="25" w:line="360" w:lineRule="auto"/>
                          <w:ind w:firstLine="420" w:firstLineChars="200"/>
                          <w:rPr>
                            <w:rFonts w:ascii="新宋体" w:hAnsi="新宋体" w:eastAsia="新宋体"/>
                            <w:szCs w:val="21"/>
                          </w:rPr>
                        </w:pPr>
                        <w:r>
                          <w:rPr>
                            <w:rFonts w:hint="eastAsia" w:ascii="新宋体" w:hAnsi="新宋体" w:eastAsia="新宋体"/>
                            <w:szCs w:val="21"/>
                          </w:rPr>
                          <w:t>（7）</w:t>
                        </w:r>
                        <w:r>
                          <w:rPr>
                            <w:rFonts w:hint="eastAsia" w:ascii="宋体" w:hAnsi="宋体"/>
                            <w:szCs w:val="21"/>
                          </w:rPr>
                          <w:t>投标人必须先行注册为深圳市政府采购中心的供应商（供应商注册网网址：http://www.cgzx.sz.gov.cn/），具有独立法人资格，不接受分公司或者分支机构参与投标</w:t>
                        </w:r>
                        <w:r>
                          <w:rPr>
                            <w:rFonts w:hint="eastAsia" w:ascii="宋体" w:hAnsi="宋体"/>
                            <w:b/>
                            <w:szCs w:val="21"/>
                          </w:rPr>
                          <w:t>（须提供加盖公章的营业执照复印件及供应商注册信息网页截图或深圳市政府采购供应商注册卡复印件）</w:t>
                        </w:r>
                      </w:p>
                    </w:tc>
                  </w:tr>
                </w:tbl>
                <w:p>
                  <w:pPr>
                    <w:keepNext/>
                    <w:keepLines/>
                    <w:spacing w:before="260" w:after="260" w:line="276" w:lineRule="auto"/>
                    <w:outlineLvl w:val="2"/>
                    <w:rPr>
                      <w:rFonts w:ascii="新宋体" w:hAnsi="新宋体" w:eastAsia="新宋体"/>
                      <w:b/>
                      <w:bCs/>
                      <w:szCs w:val="21"/>
                    </w:rPr>
                  </w:pPr>
                  <w:r>
                    <w:rPr>
                      <w:rFonts w:ascii="新宋体" w:hAnsi="新宋体" w:eastAsia="新宋体"/>
                      <w:b/>
                      <w:bCs/>
                      <w:szCs w:val="21"/>
                    </w:rPr>
                    <w:t>五、采购预算：</w:t>
                  </w:r>
                </w:p>
                <w:tbl>
                  <w:tblPr>
                    <w:tblStyle w:val="43"/>
                    <w:tblW w:w="8507" w:type="dxa"/>
                    <w:jc w:val="center"/>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fixed"/>
                    <w:tblCellMar>
                      <w:top w:w="60" w:type="dxa"/>
                      <w:left w:w="60" w:type="dxa"/>
                      <w:bottom w:w="60" w:type="dxa"/>
                      <w:right w:w="60" w:type="dxa"/>
                    </w:tblCellMar>
                  </w:tblPr>
                  <w:tblGrid>
                    <w:gridCol w:w="1870"/>
                    <w:gridCol w:w="2752"/>
                    <w:gridCol w:w="2307"/>
                    <w:gridCol w:w="842"/>
                    <w:gridCol w:w="736"/>
                  </w:tblGrid>
                  <w:tr>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trHeight w:val="279" w:hRule="atLeast"/>
                      <w:jc w:val="center"/>
                    </w:trPr>
                    <w:tc>
                      <w:tcPr>
                        <w:tcW w:w="1870" w:type="dxa"/>
                        <w:tcBorders>
                          <w:top w:val="outset" w:color="AAAAAA" w:sz="6" w:space="0"/>
                          <w:left w:val="outset" w:color="AAAAAA" w:sz="6" w:space="0"/>
                          <w:bottom w:val="outset" w:color="AAAAAA" w:sz="6" w:space="0"/>
                          <w:right w:val="outset" w:color="AAAAAA" w:sz="6" w:space="0"/>
                        </w:tcBorders>
                        <w:shd w:val="clear" w:color="auto" w:fill="ABCDEF"/>
                        <w:vAlign w:val="center"/>
                      </w:tcPr>
                      <w:p>
                        <w:pPr>
                          <w:spacing w:line="276" w:lineRule="auto"/>
                          <w:jc w:val="center"/>
                          <w:rPr>
                            <w:rFonts w:ascii="新宋体" w:hAnsi="新宋体" w:eastAsia="新宋体"/>
                            <w:szCs w:val="21"/>
                          </w:rPr>
                        </w:pPr>
                        <w:r>
                          <w:rPr>
                            <w:rFonts w:ascii="新宋体" w:hAnsi="新宋体" w:eastAsia="新宋体"/>
                            <w:szCs w:val="21"/>
                          </w:rPr>
                          <w:t>采购条目流水号</w:t>
                        </w:r>
                      </w:p>
                    </w:tc>
                    <w:tc>
                      <w:tcPr>
                        <w:tcW w:w="2752" w:type="dxa"/>
                        <w:tcBorders>
                          <w:top w:val="outset" w:color="AAAAAA" w:sz="6" w:space="0"/>
                          <w:left w:val="outset" w:color="AAAAAA" w:sz="6" w:space="0"/>
                          <w:bottom w:val="outset" w:color="AAAAAA" w:sz="6" w:space="0"/>
                          <w:right w:val="outset" w:color="AAAAAA" w:sz="6" w:space="0"/>
                        </w:tcBorders>
                        <w:shd w:val="clear" w:color="auto" w:fill="ABCDEF"/>
                        <w:vAlign w:val="center"/>
                      </w:tcPr>
                      <w:p>
                        <w:pPr>
                          <w:spacing w:line="276" w:lineRule="auto"/>
                          <w:jc w:val="center"/>
                          <w:rPr>
                            <w:rFonts w:ascii="新宋体" w:hAnsi="新宋体" w:eastAsia="新宋体"/>
                            <w:szCs w:val="21"/>
                          </w:rPr>
                        </w:pPr>
                        <w:r>
                          <w:rPr>
                            <w:rFonts w:ascii="新宋体" w:hAnsi="新宋体" w:eastAsia="新宋体"/>
                            <w:szCs w:val="21"/>
                          </w:rPr>
                          <w:t>采购品名</w:t>
                        </w:r>
                      </w:p>
                    </w:tc>
                    <w:tc>
                      <w:tcPr>
                        <w:tcW w:w="2307" w:type="dxa"/>
                        <w:tcBorders>
                          <w:top w:val="outset" w:color="AAAAAA" w:sz="6" w:space="0"/>
                          <w:left w:val="outset" w:color="AAAAAA" w:sz="6" w:space="0"/>
                          <w:bottom w:val="outset" w:color="AAAAAA" w:sz="6" w:space="0"/>
                          <w:right w:val="outset" w:color="AAAAAA" w:sz="6" w:space="0"/>
                        </w:tcBorders>
                        <w:shd w:val="clear" w:color="auto" w:fill="ABCDEF"/>
                        <w:vAlign w:val="center"/>
                      </w:tcPr>
                      <w:p>
                        <w:pPr>
                          <w:spacing w:line="276" w:lineRule="auto"/>
                          <w:jc w:val="center"/>
                          <w:rPr>
                            <w:rFonts w:ascii="新宋体" w:hAnsi="新宋体" w:eastAsia="新宋体"/>
                            <w:szCs w:val="21"/>
                          </w:rPr>
                        </w:pPr>
                        <w:r>
                          <w:rPr>
                            <w:rFonts w:ascii="新宋体" w:hAnsi="新宋体" w:eastAsia="新宋体"/>
                            <w:szCs w:val="21"/>
                          </w:rPr>
                          <w:t>预算金额（单位：元）</w:t>
                        </w:r>
                      </w:p>
                    </w:tc>
                    <w:tc>
                      <w:tcPr>
                        <w:tcW w:w="842" w:type="dxa"/>
                        <w:tcBorders>
                          <w:top w:val="outset" w:color="AAAAAA" w:sz="6" w:space="0"/>
                          <w:left w:val="outset" w:color="AAAAAA" w:sz="6" w:space="0"/>
                          <w:bottom w:val="outset" w:color="AAAAAA" w:sz="6" w:space="0"/>
                          <w:right w:val="outset" w:color="AAAAAA" w:sz="6" w:space="0"/>
                        </w:tcBorders>
                        <w:shd w:val="clear" w:color="auto" w:fill="ABCDEF"/>
                        <w:vAlign w:val="center"/>
                      </w:tcPr>
                      <w:p>
                        <w:pPr>
                          <w:spacing w:line="276" w:lineRule="auto"/>
                          <w:jc w:val="center"/>
                          <w:rPr>
                            <w:rFonts w:ascii="新宋体" w:hAnsi="新宋体" w:eastAsia="新宋体"/>
                            <w:szCs w:val="21"/>
                          </w:rPr>
                        </w:pPr>
                        <w:r>
                          <w:rPr>
                            <w:rFonts w:ascii="新宋体" w:hAnsi="新宋体" w:eastAsia="新宋体"/>
                            <w:szCs w:val="21"/>
                          </w:rPr>
                          <w:t>数量</w:t>
                        </w:r>
                      </w:p>
                    </w:tc>
                    <w:tc>
                      <w:tcPr>
                        <w:tcW w:w="735" w:type="dxa"/>
                        <w:tcBorders>
                          <w:top w:val="outset" w:color="AAAAAA" w:sz="6" w:space="0"/>
                          <w:left w:val="outset" w:color="AAAAAA" w:sz="6" w:space="0"/>
                          <w:bottom w:val="outset" w:color="AAAAAA" w:sz="6" w:space="0"/>
                          <w:right w:val="outset" w:color="AAAAAA" w:sz="6" w:space="0"/>
                        </w:tcBorders>
                        <w:shd w:val="clear" w:color="auto" w:fill="ABCDEF"/>
                        <w:vAlign w:val="center"/>
                      </w:tcPr>
                      <w:p>
                        <w:pPr>
                          <w:spacing w:line="276" w:lineRule="auto"/>
                          <w:jc w:val="center"/>
                          <w:rPr>
                            <w:rFonts w:ascii="新宋体" w:hAnsi="新宋体" w:eastAsia="新宋体"/>
                            <w:szCs w:val="21"/>
                          </w:rPr>
                        </w:pPr>
                        <w:r>
                          <w:rPr>
                            <w:rFonts w:ascii="新宋体" w:hAnsi="新宋体" w:eastAsia="新宋体"/>
                            <w:szCs w:val="21"/>
                          </w:rPr>
                          <w:t>单位</w:t>
                        </w:r>
                      </w:p>
                    </w:tc>
                  </w:tr>
                  <w:tr>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trHeight w:val="279" w:hRule="atLeast"/>
                      <w:jc w:val="center"/>
                    </w:trPr>
                    <w:tc>
                      <w:tcPr>
                        <w:tcW w:w="1870" w:type="dxa"/>
                        <w:tcBorders>
                          <w:top w:val="outset" w:color="AAAAAA" w:sz="6" w:space="0"/>
                          <w:left w:val="outset" w:color="AAAAAA" w:sz="6" w:space="0"/>
                          <w:bottom w:val="outset" w:color="AAAAAA" w:sz="6" w:space="0"/>
                          <w:right w:val="outset" w:color="AAAAAA" w:sz="6" w:space="0"/>
                        </w:tcBorders>
                        <w:vAlign w:val="center"/>
                      </w:tcPr>
                      <w:p>
                        <w:pPr>
                          <w:spacing w:line="276" w:lineRule="auto"/>
                          <w:jc w:val="center"/>
                          <w:rPr>
                            <w:rFonts w:ascii="新宋体" w:hAnsi="新宋体" w:eastAsia="新宋体"/>
                            <w:szCs w:val="21"/>
                          </w:rPr>
                        </w:pPr>
                        <w:r>
                          <w:rPr>
                            <w:rFonts w:ascii="新宋体" w:hAnsi="新宋体" w:eastAsia="新宋体"/>
                            <w:szCs w:val="21"/>
                          </w:rPr>
                          <w:t>950281239</w:t>
                        </w:r>
                      </w:p>
                    </w:tc>
                    <w:tc>
                      <w:tcPr>
                        <w:tcW w:w="2752" w:type="dxa"/>
                        <w:tcBorders>
                          <w:top w:val="outset" w:color="AAAAAA" w:sz="6" w:space="0"/>
                          <w:left w:val="outset" w:color="AAAAAA" w:sz="6" w:space="0"/>
                          <w:bottom w:val="outset" w:color="AAAAAA" w:sz="6" w:space="0"/>
                          <w:right w:val="outset" w:color="AAAAAA" w:sz="6" w:space="0"/>
                        </w:tcBorders>
                        <w:vAlign w:val="center"/>
                      </w:tcPr>
                      <w:p>
                        <w:pPr>
                          <w:spacing w:line="276" w:lineRule="auto"/>
                          <w:jc w:val="center"/>
                          <w:rPr>
                            <w:rFonts w:ascii="新宋体" w:hAnsi="新宋体" w:eastAsia="新宋体"/>
                            <w:szCs w:val="21"/>
                          </w:rPr>
                        </w:pPr>
                        <w:r>
                          <w:rPr>
                            <w:rFonts w:hint="eastAsia" w:ascii="新宋体" w:hAnsi="新宋体" w:eastAsia="新宋体"/>
                            <w:szCs w:val="21"/>
                          </w:rPr>
                          <w:t>校园电视台项目采购</w:t>
                        </w:r>
                      </w:p>
                    </w:tc>
                    <w:tc>
                      <w:tcPr>
                        <w:tcW w:w="2307" w:type="dxa"/>
                        <w:tcBorders>
                          <w:top w:val="outset" w:color="AAAAAA" w:sz="6" w:space="0"/>
                          <w:left w:val="outset" w:color="AAAAAA" w:sz="6" w:space="0"/>
                          <w:bottom w:val="outset" w:color="AAAAAA" w:sz="6" w:space="0"/>
                          <w:right w:val="outset" w:color="AAAAAA" w:sz="6" w:space="0"/>
                        </w:tcBorders>
                        <w:vAlign w:val="center"/>
                      </w:tcPr>
                      <w:p>
                        <w:pPr>
                          <w:spacing w:line="276" w:lineRule="auto"/>
                          <w:jc w:val="center"/>
                          <w:rPr>
                            <w:rFonts w:ascii="新宋体" w:hAnsi="新宋体" w:eastAsia="新宋体"/>
                            <w:szCs w:val="21"/>
                          </w:rPr>
                        </w:pPr>
                        <w:r>
                          <w:rPr>
                            <w:rFonts w:ascii="新宋体" w:hAnsi="新宋体" w:eastAsia="新宋体"/>
                            <w:szCs w:val="21"/>
                          </w:rPr>
                          <w:t>1,109,250.00</w:t>
                        </w:r>
                      </w:p>
                    </w:tc>
                    <w:tc>
                      <w:tcPr>
                        <w:tcW w:w="842" w:type="dxa"/>
                        <w:tcBorders>
                          <w:top w:val="outset" w:color="AAAAAA" w:sz="6" w:space="0"/>
                          <w:left w:val="outset" w:color="AAAAAA" w:sz="6" w:space="0"/>
                          <w:bottom w:val="outset" w:color="AAAAAA" w:sz="6" w:space="0"/>
                          <w:right w:val="outset" w:color="AAAAAA" w:sz="6" w:space="0"/>
                        </w:tcBorders>
                        <w:vAlign w:val="center"/>
                      </w:tcPr>
                      <w:p>
                        <w:pPr>
                          <w:spacing w:line="276" w:lineRule="auto"/>
                          <w:jc w:val="center"/>
                          <w:rPr>
                            <w:rFonts w:ascii="新宋体" w:hAnsi="新宋体" w:eastAsia="新宋体"/>
                            <w:szCs w:val="21"/>
                          </w:rPr>
                        </w:pPr>
                        <w:r>
                          <w:rPr>
                            <w:rFonts w:hint="eastAsia" w:ascii="新宋体" w:hAnsi="新宋体" w:eastAsia="新宋体"/>
                            <w:szCs w:val="21"/>
                          </w:rPr>
                          <w:t>1</w:t>
                        </w:r>
                      </w:p>
                    </w:tc>
                    <w:tc>
                      <w:tcPr>
                        <w:tcW w:w="735" w:type="dxa"/>
                        <w:tcBorders>
                          <w:top w:val="outset" w:color="AAAAAA" w:sz="6" w:space="0"/>
                          <w:left w:val="outset" w:color="AAAAAA" w:sz="6" w:space="0"/>
                          <w:bottom w:val="outset" w:color="AAAAAA" w:sz="6" w:space="0"/>
                          <w:right w:val="outset" w:color="AAAAAA" w:sz="6" w:space="0"/>
                        </w:tcBorders>
                        <w:vAlign w:val="center"/>
                      </w:tcPr>
                      <w:p>
                        <w:pPr>
                          <w:spacing w:line="276" w:lineRule="auto"/>
                          <w:jc w:val="center"/>
                          <w:rPr>
                            <w:rFonts w:ascii="新宋体" w:hAnsi="新宋体" w:eastAsia="新宋体"/>
                            <w:szCs w:val="21"/>
                          </w:rPr>
                        </w:pPr>
                        <w:r>
                          <w:rPr>
                            <w:rFonts w:hint="eastAsia" w:ascii="新宋体" w:hAnsi="新宋体" w:eastAsia="新宋体"/>
                            <w:szCs w:val="21"/>
                          </w:rPr>
                          <w:t>项</w:t>
                        </w:r>
                      </w:p>
                    </w:tc>
                  </w:tr>
                  <w:tr>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PrEx>
                    <w:trPr>
                      <w:trHeight w:val="279" w:hRule="atLeast"/>
                      <w:jc w:val="center"/>
                    </w:trPr>
                    <w:tc>
                      <w:tcPr>
                        <w:tcW w:w="8507" w:type="dxa"/>
                        <w:gridSpan w:val="5"/>
                        <w:tcBorders>
                          <w:top w:val="outset" w:color="AAAAAA" w:sz="6" w:space="0"/>
                          <w:left w:val="outset" w:color="AAAAAA" w:sz="6" w:space="0"/>
                          <w:bottom w:val="outset" w:color="AAAAAA" w:sz="6" w:space="0"/>
                          <w:right w:val="outset" w:color="AAAAAA" w:sz="6" w:space="0"/>
                        </w:tcBorders>
                        <w:vAlign w:val="center"/>
                      </w:tcPr>
                      <w:p>
                        <w:pPr>
                          <w:spacing w:line="276" w:lineRule="auto"/>
                          <w:rPr>
                            <w:rFonts w:ascii="新宋体" w:hAnsi="新宋体" w:eastAsia="新宋体" w:cs="宋体"/>
                            <w:szCs w:val="21"/>
                          </w:rPr>
                        </w:pPr>
                        <w:r>
                          <w:rPr>
                            <w:rFonts w:ascii="新宋体" w:hAnsi="新宋体" w:eastAsia="新宋体"/>
                            <w:szCs w:val="21"/>
                          </w:rPr>
                          <w:t>合计（单位：1,109,250.00元）</w:t>
                        </w:r>
                      </w:p>
                    </w:tc>
                  </w:tr>
                </w:tbl>
                <w:p>
                  <w:pPr>
                    <w:keepNext/>
                    <w:keepLines/>
                    <w:spacing w:before="260" w:after="260" w:line="360" w:lineRule="auto"/>
                    <w:outlineLvl w:val="2"/>
                    <w:rPr>
                      <w:rFonts w:ascii="新宋体" w:hAnsi="新宋体" w:eastAsia="新宋体"/>
                      <w:b/>
                      <w:bCs/>
                      <w:szCs w:val="21"/>
                    </w:rPr>
                  </w:pPr>
                  <w:r>
                    <w:rPr>
                      <w:rFonts w:ascii="新宋体" w:hAnsi="新宋体" w:eastAsia="新宋体"/>
                      <w:b/>
                      <w:bCs/>
                      <w:szCs w:val="21"/>
                    </w:rPr>
                    <w:t>六、采购项目需要落实的政府采购政策：</w:t>
                  </w:r>
                  <w:r>
                    <w:rPr>
                      <w:rFonts w:hint="eastAsia" w:ascii="新宋体" w:hAnsi="新宋体" w:eastAsia="新宋体"/>
                      <w:bCs/>
                      <w:szCs w:val="21"/>
                    </w:rPr>
                    <w:t>根据《政府采购促进中小企业发展管理办法》（财库﹝2020﹞46 号）《关于政府采购支持监狱企业发展有关问题的通知》(财库〔2014〕68号)《关于促进残疾人就业政府采购政策的通知》（财库〔2017〕141号)《关于环境标志产品政府采购实施的意见》（财库〔2006〕90号）《国务院办公厅关于建立政府强制采购节能产品制度的通知》（国办发〔2007〕51号）《节能产品政府采购实施意见》的通知（财库〔2004〕185号）《关于印发节能产品政府采购品目清单的通知》（财库〔2019〕19号）《关于印发环境标志产品政府采购品目清单的通知》（财库〔2019〕18号）《财政部 发展改革委 生态环境部 市场监管总局 关于调整优化节能产品、环境标志产品政府采购机制的通知》（财库〔2019〕9号）。</w:t>
                  </w:r>
                </w:p>
                <w:p>
                  <w:pPr>
                    <w:keepNext/>
                    <w:keepLines/>
                    <w:spacing w:before="260" w:after="260" w:line="360" w:lineRule="auto"/>
                    <w:outlineLvl w:val="2"/>
                    <w:rPr>
                      <w:rFonts w:ascii="新宋体" w:hAnsi="新宋体" w:eastAsia="新宋体"/>
                      <w:b/>
                      <w:bCs/>
                      <w:szCs w:val="21"/>
                    </w:rPr>
                  </w:pPr>
                  <w:r>
                    <w:rPr>
                      <w:rFonts w:ascii="新宋体" w:hAnsi="新宋体" w:eastAsia="新宋体"/>
                      <w:b/>
                      <w:bCs/>
                      <w:szCs w:val="21"/>
                    </w:rPr>
                    <w:t>七、投标与开标注意事项：</w:t>
                  </w:r>
                </w:p>
                <w:p>
                  <w:pPr>
                    <w:widowControl/>
                    <w:numPr>
                      <w:ilvl w:val="0"/>
                      <w:numId w:val="7"/>
                    </w:numPr>
                    <w:tabs>
                      <w:tab w:val="left" w:pos="360"/>
                    </w:tabs>
                    <w:spacing w:before="100" w:beforeAutospacing="1" w:after="100" w:afterAutospacing="1" w:line="360" w:lineRule="auto"/>
                    <w:ind w:left="0" w:firstLine="32"/>
                    <w:jc w:val="left"/>
                    <w:rPr>
                      <w:rFonts w:ascii="新宋体" w:hAnsi="新宋体" w:eastAsia="新宋体"/>
                      <w:szCs w:val="21"/>
                    </w:rPr>
                  </w:pPr>
                  <w:r>
                    <w:rPr>
                      <w:rFonts w:ascii="新宋体" w:hAnsi="新宋体" w:eastAsia="新宋体"/>
                      <w:szCs w:val="21"/>
                    </w:rPr>
                    <w:t xml:space="preserve">本项目实行网上投标，采用电子投标文件。 </w:t>
                  </w:r>
                </w:p>
                <w:p>
                  <w:pPr>
                    <w:widowControl/>
                    <w:numPr>
                      <w:ilvl w:val="0"/>
                      <w:numId w:val="7"/>
                    </w:numPr>
                    <w:tabs>
                      <w:tab w:val="left" w:pos="360"/>
                    </w:tabs>
                    <w:spacing w:before="100" w:beforeAutospacing="1" w:after="100" w:afterAutospacing="1" w:line="360" w:lineRule="auto"/>
                    <w:ind w:left="426"/>
                    <w:jc w:val="left"/>
                    <w:rPr>
                      <w:rFonts w:ascii="新宋体" w:hAnsi="新宋体" w:eastAsia="新宋体"/>
                      <w:szCs w:val="21"/>
                    </w:rPr>
                  </w:pPr>
                  <w:r>
                    <w:rPr>
                      <w:rFonts w:ascii="新宋体" w:hAnsi="新宋体" w:eastAsia="新宋体"/>
                      <w:szCs w:val="21"/>
                    </w:rPr>
                    <w:t xml:space="preserve">标书获得方法 </w:t>
                  </w:r>
                  <w:r>
                    <w:rPr>
                      <w:rFonts w:hint="eastAsia" w:ascii="新宋体" w:hAnsi="新宋体" w:eastAsia="新宋体"/>
                      <w:szCs w:val="21"/>
                    </w:rPr>
                    <w:t xml:space="preserve">：凡已注册的深圳市网上政府采购供应商，按照授予的操作权限，可于 </w:t>
                  </w:r>
                  <w:r>
                    <w:rPr>
                      <w:rFonts w:hint="eastAsia" w:ascii="新宋体" w:hAnsi="新宋体" w:eastAsia="新宋体"/>
                      <w:color w:val="FF0000"/>
                      <w:szCs w:val="21"/>
                    </w:rPr>
                    <w:t>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12</w:t>
                  </w:r>
                  <w:r>
                    <w:rPr>
                      <w:rFonts w:hint="eastAsia" w:ascii="新宋体" w:hAnsi="新宋体" w:eastAsia="新宋体"/>
                      <w:color w:val="FF0000"/>
                      <w:szCs w:val="21"/>
                    </w:rPr>
                    <w:t>日 09:00至2021年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20</w:t>
                  </w:r>
                  <w:r>
                    <w:rPr>
                      <w:rFonts w:hint="eastAsia" w:ascii="新宋体" w:hAnsi="新宋体" w:eastAsia="新宋体"/>
                      <w:color w:val="FF0000"/>
                      <w:szCs w:val="21"/>
                    </w:rPr>
                    <w:t xml:space="preserve">日 17:30 </w:t>
                  </w:r>
                  <w:r>
                    <w:rPr>
                      <w:rFonts w:hint="eastAsia" w:ascii="新宋体" w:hAnsi="新宋体" w:eastAsia="新宋体"/>
                      <w:szCs w:val="21"/>
                    </w:rPr>
                    <w:t>时期间登录深圳公共资源交易中心市区政府采购统一平台（www.szzfcg.cn）下载本项目的招标文件。投标人如确定参加投标，首先要在深圳公共资源交易中心网上报名投标，方法为登录深圳公共资源交易中心网后在右上角进入“深圳社会代理机构系统”，点击“应标管理→投标响应”或“应标管理→确认邀请”；如果网上报名后又不参加投标，应再到【应标管理】→【投标响应】功能点中点击“撤销响应”；如果网上报名后上传了投标文件，又不参加投标，应再到【应标管理】→【上传投标文件】功能点中进行“撤标”操作；如果是未注册为深圳政府采购的供应商，请访问深圳公共资源交易中心网站,先办理注册手续，再进行投标报名。在网上报名后，点击“应标管理→下载招标文件”进行招标文件的下载。</w:t>
                  </w:r>
                </w:p>
                <w:p>
                  <w:pPr>
                    <w:widowControl/>
                    <w:numPr>
                      <w:ilvl w:val="0"/>
                      <w:numId w:val="7"/>
                    </w:numPr>
                    <w:tabs>
                      <w:tab w:val="left" w:pos="360"/>
                    </w:tabs>
                    <w:spacing w:before="100" w:beforeAutospacing="1" w:after="100" w:afterAutospacing="1" w:line="360" w:lineRule="auto"/>
                    <w:ind w:left="426"/>
                    <w:jc w:val="left"/>
                    <w:rPr>
                      <w:rFonts w:ascii="新宋体" w:hAnsi="新宋体" w:eastAsia="新宋体"/>
                      <w:szCs w:val="21"/>
                    </w:rPr>
                  </w:pPr>
                  <w:r>
                    <w:rPr>
                      <w:rFonts w:ascii="新宋体" w:hAnsi="新宋体" w:eastAsia="新宋体"/>
                      <w:szCs w:val="21"/>
                    </w:rPr>
                    <w:t>答疑事项</w:t>
                  </w:r>
                  <w:r>
                    <w:rPr>
                      <w:rFonts w:hint="eastAsia" w:ascii="新宋体" w:hAnsi="新宋体" w:eastAsia="新宋体"/>
                      <w:szCs w:val="21"/>
                    </w:rPr>
                    <w:t>：</w:t>
                  </w:r>
                  <w:r>
                    <w:rPr>
                      <w:rFonts w:hint="eastAsia" w:ascii="新宋体" w:hAnsi="新宋体" w:eastAsia="新宋体"/>
                      <w:color w:val="FF0000"/>
                      <w:szCs w:val="21"/>
                    </w:rPr>
                    <w:t>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17</w:t>
                  </w:r>
                  <w:r>
                    <w:rPr>
                      <w:rFonts w:hint="eastAsia" w:ascii="新宋体" w:hAnsi="新宋体" w:eastAsia="新宋体"/>
                      <w:color w:val="FF0000"/>
                      <w:szCs w:val="21"/>
                    </w:rPr>
                    <w:t>日 00:00</w:t>
                  </w:r>
                  <w:r>
                    <w:rPr>
                      <w:rFonts w:hint="eastAsia" w:ascii="新宋体" w:hAnsi="新宋体" w:eastAsia="新宋体"/>
                      <w:szCs w:val="21"/>
                    </w:rPr>
                    <w:t>时前凡对招标文件有任何疑问的（包括认为招标文件的技术指标或参数存在倾向性或不公正性条款），登录“深圳公共</w:t>
                  </w:r>
                  <w:bookmarkStart w:id="33" w:name="_GoBack"/>
                  <w:bookmarkEnd w:id="33"/>
                  <w:r>
                    <w:rPr>
                      <w:rFonts w:hint="eastAsia" w:ascii="新宋体" w:hAnsi="新宋体" w:eastAsia="新宋体"/>
                      <w:szCs w:val="21"/>
                    </w:rPr>
                    <w:t>资源交易中心网”后进入“深圳社会代理机构系统”，在“应标管理→提出采购文件澄清要求”中填写疑问，逾期不予受理。</w:t>
                  </w:r>
                  <w:r>
                    <w:rPr>
                      <w:rFonts w:hint="eastAsia" w:ascii="新宋体" w:hAnsi="新宋体" w:eastAsia="新宋体"/>
                      <w:color w:val="FF0000"/>
                      <w:szCs w:val="21"/>
                    </w:rPr>
                    <w:t>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20</w:t>
                  </w:r>
                  <w:r>
                    <w:rPr>
                      <w:rFonts w:hint="eastAsia" w:ascii="新宋体" w:hAnsi="新宋体" w:eastAsia="新宋体"/>
                      <w:color w:val="FF0000"/>
                      <w:szCs w:val="21"/>
                    </w:rPr>
                    <w:t>日 17:30</w:t>
                  </w:r>
                  <w:r>
                    <w:rPr>
                      <w:rFonts w:hint="eastAsia" w:ascii="新宋体" w:hAnsi="新宋体" w:eastAsia="新宋体"/>
                      <w:szCs w:val="21"/>
                    </w:rPr>
                    <w:t xml:space="preserve"> 将采购文件澄清/修改情况在“应标管理→采购文件澄清/修改查询”中公布 ，望投标人予以关注。 </w:t>
                  </w:r>
                </w:p>
                <w:p>
                  <w:pPr>
                    <w:widowControl/>
                    <w:numPr>
                      <w:ilvl w:val="0"/>
                      <w:numId w:val="7"/>
                    </w:numPr>
                    <w:tabs>
                      <w:tab w:val="left" w:pos="360"/>
                    </w:tabs>
                    <w:spacing w:before="100" w:beforeAutospacing="1" w:after="100" w:afterAutospacing="1" w:line="360" w:lineRule="auto"/>
                    <w:ind w:left="426"/>
                    <w:jc w:val="left"/>
                    <w:rPr>
                      <w:rFonts w:ascii="新宋体" w:hAnsi="新宋体" w:eastAsia="新宋体"/>
                      <w:szCs w:val="21"/>
                    </w:rPr>
                  </w:pPr>
                  <w:r>
                    <w:rPr>
                      <w:rFonts w:ascii="新宋体" w:hAnsi="新宋体" w:eastAsia="新宋体"/>
                      <w:szCs w:val="21"/>
                    </w:rPr>
                    <w:t xml:space="preserve">投标截止时间 </w:t>
                  </w:r>
                  <w:r>
                    <w:rPr>
                      <w:rFonts w:hint="eastAsia" w:ascii="新宋体" w:hAnsi="新宋体" w:eastAsia="新宋体"/>
                      <w:szCs w:val="21"/>
                    </w:rPr>
                    <w:t>：所有投标文件应于</w:t>
                  </w:r>
                  <w:r>
                    <w:rPr>
                      <w:rFonts w:hint="eastAsia" w:ascii="新宋体" w:hAnsi="新宋体" w:eastAsia="新宋体"/>
                      <w:color w:val="FF0000"/>
                      <w:szCs w:val="21"/>
                    </w:rPr>
                    <w:t>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21</w:t>
                  </w:r>
                  <w:r>
                    <w:rPr>
                      <w:rFonts w:hint="eastAsia" w:ascii="新宋体" w:hAnsi="新宋体" w:eastAsia="新宋体"/>
                      <w:color w:val="FF0000"/>
                      <w:szCs w:val="21"/>
                    </w:rPr>
                    <w:t xml:space="preserve">日 </w:t>
                  </w:r>
                  <w:r>
                    <w:rPr>
                      <w:rFonts w:hint="eastAsia" w:ascii="新宋体" w:hAnsi="新宋体" w:eastAsia="新宋体"/>
                      <w:color w:val="FF0000"/>
                      <w:szCs w:val="21"/>
                      <w:lang w:val="en-US" w:eastAsia="zh-CN"/>
                    </w:rPr>
                    <w:t>14</w:t>
                  </w:r>
                  <w:r>
                    <w:rPr>
                      <w:rFonts w:hint="eastAsia" w:ascii="新宋体" w:hAnsi="新宋体" w:eastAsia="新宋体"/>
                      <w:color w:val="FF0000"/>
                      <w:szCs w:val="21"/>
                    </w:rPr>
                    <w:t>:30</w:t>
                  </w:r>
                  <w:r>
                    <w:rPr>
                      <w:rFonts w:hint="eastAsia" w:ascii="新宋体" w:hAnsi="新宋体" w:eastAsia="新宋体"/>
                      <w:szCs w:val="21"/>
                    </w:rPr>
                    <w:t>时之前上传到深圳公共资源交易中心网站。具体操作为登录“深圳公共资源交易中心网”后进入“深圳社会代理机构系统”，用“应标管理→上传投标文件”功能点上传投标文件。本项目电子投标文件最大容量为100MB，超过此容量的文件将被拒绝</w:t>
                  </w:r>
                  <w:r>
                    <w:rPr>
                      <w:rFonts w:ascii="新宋体" w:hAnsi="新宋体" w:eastAsia="新宋体"/>
                      <w:szCs w:val="21"/>
                    </w:rPr>
                    <w:t xml:space="preserve">。 </w:t>
                  </w:r>
                </w:p>
                <w:p>
                  <w:pPr>
                    <w:widowControl/>
                    <w:numPr>
                      <w:ilvl w:val="0"/>
                      <w:numId w:val="7"/>
                    </w:numPr>
                    <w:tabs>
                      <w:tab w:val="left" w:pos="360"/>
                      <w:tab w:val="left" w:pos="426"/>
                    </w:tabs>
                    <w:spacing w:before="100" w:beforeAutospacing="1" w:after="100" w:afterAutospacing="1" w:line="360" w:lineRule="auto"/>
                    <w:ind w:left="426"/>
                    <w:jc w:val="left"/>
                    <w:rPr>
                      <w:rFonts w:ascii="新宋体" w:hAnsi="新宋体" w:eastAsia="新宋体"/>
                      <w:szCs w:val="21"/>
                    </w:rPr>
                  </w:pPr>
                  <w:r>
                    <w:rPr>
                      <w:rFonts w:ascii="新宋体" w:hAnsi="新宋体" w:eastAsia="新宋体"/>
                      <w:szCs w:val="21"/>
                    </w:rPr>
                    <w:t xml:space="preserve">开标时间和地点 </w:t>
                  </w:r>
                  <w:r>
                    <w:rPr>
                      <w:rFonts w:hint="eastAsia" w:ascii="新宋体" w:hAnsi="新宋体" w:eastAsia="新宋体"/>
                      <w:szCs w:val="21"/>
                    </w:rPr>
                    <w:t>：定于</w:t>
                  </w:r>
                  <w:r>
                    <w:rPr>
                      <w:rFonts w:hint="eastAsia" w:ascii="新宋体" w:hAnsi="新宋体" w:eastAsia="新宋体"/>
                      <w:color w:val="FF0000"/>
                      <w:szCs w:val="21"/>
                    </w:rPr>
                    <w:t>2021年</w:t>
                  </w:r>
                  <w:r>
                    <w:rPr>
                      <w:rFonts w:hint="eastAsia" w:ascii="新宋体" w:hAnsi="新宋体" w:eastAsia="新宋体"/>
                      <w:color w:val="FF0000"/>
                      <w:szCs w:val="21"/>
                      <w:lang w:val="en-US" w:eastAsia="zh-CN"/>
                    </w:rPr>
                    <w:t>07</w:t>
                  </w:r>
                  <w:r>
                    <w:rPr>
                      <w:rFonts w:hint="eastAsia" w:ascii="新宋体" w:hAnsi="新宋体" w:eastAsia="新宋体"/>
                      <w:color w:val="FF0000"/>
                      <w:szCs w:val="21"/>
                    </w:rPr>
                    <w:t>月</w:t>
                  </w:r>
                  <w:r>
                    <w:rPr>
                      <w:rFonts w:hint="eastAsia" w:ascii="新宋体" w:hAnsi="新宋体" w:eastAsia="新宋体"/>
                      <w:color w:val="FF0000"/>
                      <w:szCs w:val="21"/>
                      <w:lang w:val="en-US" w:eastAsia="zh-CN"/>
                    </w:rPr>
                    <w:t>21</w:t>
                  </w:r>
                  <w:r>
                    <w:rPr>
                      <w:rFonts w:hint="eastAsia" w:ascii="新宋体" w:hAnsi="新宋体" w:eastAsia="新宋体"/>
                      <w:color w:val="FF0000"/>
                      <w:szCs w:val="21"/>
                    </w:rPr>
                    <w:t xml:space="preserve">日 </w:t>
                  </w:r>
                  <w:r>
                    <w:rPr>
                      <w:rFonts w:hint="eastAsia" w:ascii="新宋体" w:hAnsi="新宋体" w:eastAsia="新宋体"/>
                      <w:color w:val="FF0000"/>
                      <w:szCs w:val="21"/>
                      <w:lang w:val="en-US" w:eastAsia="zh-CN"/>
                    </w:rPr>
                    <w:t>14</w:t>
                  </w:r>
                  <w:r>
                    <w:rPr>
                      <w:rFonts w:hint="eastAsia" w:ascii="新宋体" w:hAnsi="新宋体" w:eastAsia="新宋体"/>
                      <w:color w:val="FF0000"/>
                      <w:szCs w:val="21"/>
                    </w:rPr>
                    <w:t>:30时</w:t>
                  </w:r>
                  <w:r>
                    <w:rPr>
                      <w:rFonts w:hint="eastAsia" w:ascii="新宋体" w:hAnsi="新宋体" w:eastAsia="新宋体"/>
                      <w:szCs w:val="21"/>
                    </w:rPr>
                    <w:t>，在深圳市瑞凝信招标咨询有限公司公开开标。供应商可以登录“深圳公共资源交易中心”后进入“深圳社会代理机构系统”，用“采购实施→查看开标一览表”功能点查询开标情况。</w:t>
                  </w:r>
                  <w:r>
                    <w:rPr>
                      <w:rFonts w:ascii="新宋体" w:hAnsi="新宋体" w:eastAsia="新宋体"/>
                      <w:szCs w:val="21"/>
                    </w:rPr>
                    <w:t xml:space="preserve">。 </w:t>
                  </w:r>
                </w:p>
                <w:p>
                  <w:pPr>
                    <w:keepNext/>
                    <w:keepLines/>
                    <w:spacing w:before="260" w:after="260" w:line="360" w:lineRule="auto"/>
                    <w:outlineLvl w:val="2"/>
                    <w:rPr>
                      <w:rFonts w:ascii="新宋体" w:hAnsi="新宋体" w:eastAsia="新宋体"/>
                      <w:b/>
                      <w:bCs/>
                      <w:szCs w:val="21"/>
                    </w:rPr>
                  </w:pPr>
                  <w:r>
                    <w:rPr>
                      <w:rFonts w:ascii="新宋体" w:hAnsi="新宋体" w:eastAsia="新宋体"/>
                      <w:b/>
                      <w:bCs/>
                      <w:szCs w:val="21"/>
                    </w:rPr>
                    <w:t>八、重要提示：</w:t>
                  </w:r>
                </w:p>
                <w:p>
                  <w:pPr>
                    <w:widowControl/>
                    <w:numPr>
                      <w:ilvl w:val="0"/>
                      <w:numId w:val="8"/>
                    </w:numPr>
                    <w:tabs>
                      <w:tab w:val="left" w:pos="360"/>
                    </w:tabs>
                    <w:spacing w:before="100" w:beforeAutospacing="1" w:after="100" w:afterAutospacing="1" w:line="360" w:lineRule="auto"/>
                    <w:ind w:left="32" w:hanging="32"/>
                    <w:jc w:val="left"/>
                    <w:rPr>
                      <w:rFonts w:ascii="新宋体" w:hAnsi="新宋体" w:eastAsia="新宋体"/>
                      <w:szCs w:val="21"/>
                    </w:rPr>
                  </w:pPr>
                  <w:r>
                    <w:rPr>
                      <w:rFonts w:ascii="新宋体" w:hAnsi="新宋体" w:eastAsia="新宋体"/>
                      <w:szCs w:val="21"/>
                    </w:rPr>
                    <w:t xml:space="preserve">深圳市瑞凝信招标咨询有限公司有权对中标供应商就本项目资格条款要求提供的相关证明资料（原件）进行审查。供应商提供虚假资料被查实的，则可能面临被取消本项目中标资格、列入不良行为记录名单和三年内禁止参与深圳市政府采购活动的风险。 </w:t>
                  </w:r>
                </w:p>
                <w:p>
                  <w:pPr>
                    <w:widowControl/>
                    <w:numPr>
                      <w:ilvl w:val="0"/>
                      <w:numId w:val="8"/>
                    </w:numPr>
                    <w:tabs>
                      <w:tab w:val="left" w:pos="360"/>
                    </w:tabs>
                    <w:spacing w:before="100" w:beforeAutospacing="1" w:after="100" w:afterAutospacing="1" w:line="360" w:lineRule="auto"/>
                    <w:ind w:left="32" w:hanging="32"/>
                    <w:jc w:val="left"/>
                    <w:rPr>
                      <w:rFonts w:ascii="新宋体" w:hAnsi="新宋体" w:eastAsia="新宋体"/>
                      <w:szCs w:val="21"/>
                    </w:rPr>
                  </w:pPr>
                  <w:r>
                    <w:rPr>
                      <w:rFonts w:ascii="新宋体" w:hAnsi="新宋体" w:eastAsia="新宋体"/>
                      <w:szCs w:val="21"/>
                    </w:rPr>
                    <w:t>本招标公告及本项目招标文件所涉及的时间一律为北京时间。投标人有义务在招标活动期间浏览</w:t>
                  </w:r>
                  <w:r>
                    <w:rPr>
                      <w:rFonts w:hint="eastAsia" w:ascii="新宋体" w:hAnsi="新宋体" w:eastAsia="新宋体"/>
                      <w:szCs w:val="21"/>
                    </w:rPr>
                    <w:t>深圳公共资源交易中心</w:t>
                  </w:r>
                  <w:r>
                    <w:rPr>
                      <w:rFonts w:ascii="新宋体" w:hAnsi="新宋体" w:eastAsia="新宋体"/>
                      <w:szCs w:val="21"/>
                    </w:rPr>
                    <w:t>（</w:t>
                  </w:r>
                  <w:r>
                    <w:rPr>
                      <w:rFonts w:hint="eastAsia" w:ascii="新宋体" w:hAnsi="新宋体" w:eastAsia="新宋体" w:cs="新宋体"/>
                      <w:szCs w:val="21"/>
                    </w:rPr>
                    <w:t>www.szzfcg.cn</w:t>
                  </w:r>
                  <w:r>
                    <w:rPr>
                      <w:rFonts w:ascii="新宋体" w:hAnsi="新宋体" w:eastAsia="新宋体"/>
                      <w:szCs w:val="21"/>
                    </w:rPr>
                    <w:t>），在</w:t>
                  </w:r>
                  <w:r>
                    <w:rPr>
                      <w:rFonts w:hint="eastAsia" w:ascii="新宋体" w:hAnsi="新宋体" w:eastAsia="新宋体"/>
                      <w:szCs w:val="21"/>
                    </w:rPr>
                    <w:t>深圳公共资源交易中心</w:t>
                  </w:r>
                  <w:r>
                    <w:rPr>
                      <w:rFonts w:ascii="新宋体" w:hAnsi="新宋体" w:eastAsia="新宋体"/>
                      <w:szCs w:val="21"/>
                    </w:rPr>
                    <w:t xml:space="preserve">网上公布的与本次招标项目有关的信息视为已送达各投标人。 </w:t>
                  </w:r>
                </w:p>
                <w:p>
                  <w:pPr>
                    <w:widowControl/>
                    <w:numPr>
                      <w:ilvl w:val="0"/>
                      <w:numId w:val="8"/>
                    </w:numPr>
                    <w:tabs>
                      <w:tab w:val="left" w:pos="360"/>
                    </w:tabs>
                    <w:spacing w:before="100" w:beforeAutospacing="1" w:after="100" w:afterAutospacing="1" w:line="360" w:lineRule="auto"/>
                    <w:ind w:left="32" w:hanging="32"/>
                    <w:jc w:val="left"/>
                    <w:rPr>
                      <w:rFonts w:ascii="新宋体" w:hAnsi="新宋体" w:eastAsia="新宋体"/>
                      <w:szCs w:val="21"/>
                    </w:rPr>
                  </w:pPr>
                  <w:r>
                    <w:rPr>
                      <w:rFonts w:hint="eastAsia" w:ascii="新宋体" w:hAnsi="新宋体" w:eastAsia="新宋体"/>
                      <w:szCs w:val="21"/>
                    </w:rPr>
                    <w:t>关于</w:t>
                  </w:r>
                  <w:r>
                    <w:rPr>
                      <w:rFonts w:ascii="新宋体" w:hAnsi="新宋体" w:eastAsia="新宋体"/>
                      <w:szCs w:val="21"/>
                    </w:rPr>
                    <w:t xml:space="preserve">投标保证金： </w:t>
                  </w:r>
                  <w:r>
                    <w:rPr>
                      <w:rFonts w:ascii="新宋体" w:hAnsi="新宋体" w:eastAsia="新宋体"/>
                      <w:szCs w:val="21"/>
                    </w:rPr>
                    <w:br w:type="textWrapping"/>
                  </w:r>
                  <w:r>
                    <w:rPr>
                      <w:rFonts w:ascii="新宋体" w:hAnsi="新宋体" w:eastAsia="新宋体"/>
                      <w:szCs w:val="21"/>
                    </w:rPr>
                    <w:t>（1）</w:t>
                  </w:r>
                  <w:r>
                    <w:rPr>
                      <w:rFonts w:hint="eastAsia" w:ascii="新宋体" w:hAnsi="新宋体" w:eastAsia="新宋体"/>
                      <w:szCs w:val="21"/>
                    </w:rPr>
                    <w:t>自2019年8月15日起，市政府采购中心所有采购项目停止收取投标保证金，同时将为所有注册供应商（因受到处罚被锁定权限的注册供应商除外）开放投标权限；</w:t>
                  </w:r>
                  <w:r>
                    <w:rPr>
                      <w:rFonts w:ascii="新宋体" w:hAnsi="新宋体" w:eastAsia="新宋体"/>
                      <w:szCs w:val="21"/>
                    </w:rPr>
                    <w:br w:type="textWrapping"/>
                  </w:r>
                  <w:r>
                    <w:rPr>
                      <w:rFonts w:ascii="新宋体" w:hAnsi="新宋体" w:eastAsia="新宋体"/>
                      <w:szCs w:val="21"/>
                    </w:rPr>
                    <w:t>（</w:t>
                  </w:r>
                  <w:r>
                    <w:rPr>
                      <w:rFonts w:hint="eastAsia" w:ascii="新宋体" w:hAnsi="新宋体" w:eastAsia="新宋体"/>
                      <w:szCs w:val="21"/>
                    </w:rPr>
                    <w:t>2</w:t>
                  </w:r>
                  <w:r>
                    <w:rPr>
                      <w:rFonts w:ascii="新宋体" w:hAnsi="新宋体" w:eastAsia="新宋体"/>
                      <w:szCs w:val="21"/>
                    </w:rPr>
                    <w:t xml:space="preserve">）保证金咨询电话：0755-83948155。 </w:t>
                  </w:r>
                </w:p>
                <w:p>
                  <w:pPr>
                    <w:keepNext/>
                    <w:keepLines/>
                    <w:spacing w:before="260" w:after="260" w:line="360" w:lineRule="auto"/>
                    <w:outlineLvl w:val="2"/>
                    <w:rPr>
                      <w:rFonts w:ascii="新宋体" w:hAnsi="新宋体" w:eastAsia="新宋体"/>
                      <w:b/>
                      <w:bCs/>
                      <w:szCs w:val="21"/>
                    </w:rPr>
                  </w:pPr>
                  <w:r>
                    <w:rPr>
                      <w:rFonts w:ascii="新宋体" w:hAnsi="新宋体" w:eastAsia="新宋体"/>
                      <w:b/>
                      <w:bCs/>
                      <w:szCs w:val="21"/>
                    </w:rPr>
                    <w:t>九、联系方式</w:t>
                  </w:r>
                </w:p>
                <w:p>
                  <w:pPr>
                    <w:spacing w:line="360" w:lineRule="auto"/>
                  </w:pPr>
                  <w:r>
                    <w:rPr>
                      <w:rFonts w:hint="eastAsia"/>
                    </w:rPr>
                    <w:t>1、招标组织机构</w:t>
                  </w:r>
                </w:p>
                <w:p>
                  <w:pPr>
                    <w:spacing w:line="360" w:lineRule="auto"/>
                  </w:pPr>
                  <w:r>
                    <w:rPr>
                      <w:rFonts w:hint="eastAsia"/>
                    </w:rPr>
                    <w:t>招标代理机构名称：深圳市瑞凝信招标咨询有限公司</w:t>
                  </w:r>
                </w:p>
                <w:p>
                  <w:pPr>
                    <w:spacing w:line="360" w:lineRule="auto"/>
                  </w:pPr>
                  <w:r>
                    <w:rPr>
                      <w:rFonts w:hint="eastAsia"/>
                    </w:rPr>
                    <w:t xml:space="preserve">招标代理机构地址：深圳市福田区天安数码城创新科技广场一期B座1210 </w:t>
                  </w:r>
                </w:p>
                <w:p>
                  <w:pPr>
                    <w:spacing w:line="360" w:lineRule="auto"/>
                  </w:pPr>
                  <w:r>
                    <w:rPr>
                      <w:rFonts w:hint="eastAsia"/>
                    </w:rPr>
                    <w:t xml:space="preserve">联系人：吴小姐   陈先生      联系电话：0755-88602731  </w:t>
                  </w:r>
                </w:p>
                <w:p>
                  <w:pPr>
                    <w:spacing w:line="360" w:lineRule="auto"/>
                  </w:pPr>
                  <w:r>
                    <w:rPr>
                      <w:rFonts w:hint="eastAsia"/>
                    </w:rPr>
                    <w:t>网上操作咨询：</w:t>
                  </w:r>
                </w:p>
                <w:p>
                  <w:pPr>
                    <w:spacing w:line="360" w:lineRule="auto"/>
                  </w:pPr>
                  <w:r>
                    <w:rPr>
                      <w:rFonts w:hint="eastAsia"/>
                    </w:rPr>
                    <w:t xml:space="preserve">采购系统、招投标软件技术支持：张工 / 0755-83203022-805 / 工作QQ：1272422942 </w:t>
                  </w:r>
                </w:p>
                <w:p>
                  <w:pPr>
                    <w:spacing w:line="360" w:lineRule="auto"/>
                  </w:pPr>
                  <w:r>
                    <w:rPr>
                      <w:rFonts w:hint="eastAsia"/>
                    </w:rPr>
                    <w:t xml:space="preserve">代理机构系统技术支持：温工 / 0755-83203022-808 / 技术支持QQ群：673471913 </w:t>
                  </w:r>
                </w:p>
                <w:p>
                  <w:pPr>
                    <w:spacing w:line="360" w:lineRule="auto"/>
                  </w:pPr>
                  <w:r>
                    <w:rPr>
                      <w:rFonts w:hint="eastAsia"/>
                    </w:rPr>
                    <w:t xml:space="preserve">注册咨询：83938966 </w:t>
                  </w:r>
                </w:p>
                <w:p>
                  <w:pPr>
                    <w:spacing w:line="360" w:lineRule="auto"/>
                  </w:pPr>
                  <w:r>
                    <w:rPr>
                      <w:rFonts w:hint="eastAsia"/>
                    </w:rPr>
                    <w:t xml:space="preserve">电子密钥咨询：83948165 4008301330 </w:t>
                  </w:r>
                </w:p>
                <w:p>
                  <w:pPr>
                    <w:spacing w:line="360" w:lineRule="auto"/>
                  </w:pPr>
                  <w:r>
                    <w:rPr>
                      <w:rFonts w:hint="eastAsia"/>
                    </w:rPr>
                    <w:t>2、采购单位</w:t>
                  </w:r>
                </w:p>
                <w:p>
                  <w:pPr>
                    <w:spacing w:line="360" w:lineRule="auto"/>
                  </w:pPr>
                  <w:r>
                    <w:rPr>
                      <w:rFonts w:hint="eastAsia"/>
                    </w:rPr>
                    <w:t>单位名称：深圳市南山区前海学校</w:t>
                  </w:r>
                </w:p>
                <w:p>
                  <w:pPr>
                    <w:spacing w:line="360" w:lineRule="auto"/>
                  </w:pPr>
                  <w:r>
                    <w:rPr>
                      <w:rFonts w:hint="eastAsia"/>
                    </w:rPr>
                    <w:t>详细地址：深圳市南山区桃李路1号</w:t>
                  </w:r>
                </w:p>
                <w:p>
                  <w:pPr>
                    <w:spacing w:line="360" w:lineRule="auto"/>
                  </w:pPr>
                  <w:r>
                    <w:rPr>
                      <w:rFonts w:hint="eastAsia"/>
                    </w:rPr>
                    <w:t>联系方</w:t>
                  </w:r>
                  <w:r>
                    <w:rPr>
                      <w:rFonts w:hint="eastAsia" w:ascii="新宋体" w:hAnsi="新宋体" w:eastAsia="新宋体"/>
                      <w:szCs w:val="21"/>
                    </w:rPr>
                    <w:t xml:space="preserve">式：韩老师   </w:t>
                  </w:r>
                  <w:r>
                    <w:rPr>
                      <w:rFonts w:ascii="新宋体" w:hAnsi="新宋体" w:eastAsia="新宋体"/>
                      <w:szCs w:val="21"/>
                    </w:rPr>
                    <w:t>0755-26470861</w:t>
                  </w:r>
                </w:p>
              </w:tc>
            </w:tr>
            <w:tr>
              <w:tblPrEx>
                <w:tblCellMar>
                  <w:top w:w="0" w:type="dxa"/>
                  <w:left w:w="0" w:type="dxa"/>
                  <w:bottom w:w="0" w:type="dxa"/>
                  <w:right w:w="0" w:type="dxa"/>
                </w:tblCellMar>
              </w:tblPrEx>
              <w:trPr>
                <w:trHeight w:val="785" w:hRule="atLeast"/>
                <w:tblCellSpacing w:w="0" w:type="dxa"/>
                <w:jc w:val="center"/>
              </w:trPr>
              <w:tc>
                <w:tcPr>
                  <w:tcW w:w="8638" w:type="dxa"/>
                  <w:vAlign w:val="center"/>
                </w:tcPr>
                <w:p>
                  <w:pPr>
                    <w:spacing w:line="360" w:lineRule="auto"/>
                    <w:rPr>
                      <w:rFonts w:ascii="新宋体" w:hAnsi="新宋体" w:eastAsia="新宋体"/>
                      <w:szCs w:val="21"/>
                    </w:rPr>
                  </w:pPr>
                </w:p>
              </w:tc>
            </w:tr>
          </w:tbl>
          <w:p>
            <w:pPr>
              <w:rPr>
                <w:rFonts w:ascii="宋体" w:hAnsi="宋体" w:cs="宋体"/>
                <w:sz w:val="24"/>
              </w:rPr>
            </w:pPr>
          </w:p>
        </w:tc>
      </w:tr>
    </w:tbl>
    <w:p>
      <w:pPr>
        <w:pStyle w:val="5"/>
      </w:pPr>
      <w:r>
        <w:rPr>
          <w:rFonts w:hint="eastAsia"/>
        </w:rPr>
        <w:t>第二章  招标项目需求</w:t>
      </w:r>
    </w:p>
    <w:p>
      <w:pPr>
        <w:pStyle w:val="5"/>
        <w:spacing w:before="120" w:beforeLines="50" w:after="120" w:afterLines="50"/>
        <w:rPr>
          <w:sz w:val="28"/>
          <w:szCs w:val="28"/>
        </w:rPr>
      </w:pPr>
      <w:bookmarkStart w:id="17" w:name="_Toc73517639"/>
      <w:bookmarkStart w:id="18" w:name="_Toc60631620"/>
      <w:bookmarkStart w:id="19" w:name="_Toc73521547"/>
      <w:bookmarkStart w:id="20" w:name="_Toc73521635"/>
      <w:bookmarkStart w:id="21" w:name="_Toc100052364"/>
      <w:bookmarkStart w:id="22" w:name="_Toc73518117"/>
      <w:bookmarkStart w:id="23" w:name="_Toc60560625"/>
      <w:bookmarkStart w:id="24" w:name="_Toc101074876"/>
      <w:r>
        <w:rPr>
          <w:rFonts w:hint="eastAsia"/>
          <w:sz w:val="28"/>
          <w:szCs w:val="28"/>
        </w:rPr>
        <w:t>一、对通用条款的补充内容</w:t>
      </w:r>
    </w:p>
    <w:bookmarkEnd w:id="17"/>
    <w:bookmarkEnd w:id="18"/>
    <w:bookmarkEnd w:id="19"/>
    <w:bookmarkEnd w:id="20"/>
    <w:bookmarkEnd w:id="21"/>
    <w:bookmarkEnd w:id="22"/>
    <w:bookmarkEnd w:id="23"/>
    <w:bookmarkEnd w:id="24"/>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07"/>
        <w:gridCol w:w="2160"/>
        <w:gridCol w:w="540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b/>
                <w:bCs/>
              </w:rPr>
            </w:pPr>
            <w:r>
              <w:rPr>
                <w:rFonts w:hint="eastAsia" w:ascii="宋体" w:hAnsi="宋体"/>
                <w:b/>
                <w:bCs/>
              </w:rPr>
              <w:t>序号</w:t>
            </w:r>
          </w:p>
        </w:tc>
        <w:tc>
          <w:tcPr>
            <w:tcW w:w="2160" w:type="dxa"/>
            <w:vAlign w:val="center"/>
          </w:tcPr>
          <w:p>
            <w:pPr>
              <w:jc w:val="center"/>
              <w:rPr>
                <w:rFonts w:ascii="宋体" w:hAnsi="宋体"/>
                <w:b/>
                <w:bCs/>
              </w:rPr>
            </w:pPr>
            <w:r>
              <w:rPr>
                <w:rFonts w:hint="eastAsia" w:ascii="宋体" w:hAnsi="宋体"/>
                <w:b/>
                <w:bCs/>
              </w:rPr>
              <w:t>内   容</w:t>
            </w:r>
          </w:p>
        </w:tc>
        <w:tc>
          <w:tcPr>
            <w:tcW w:w="5400" w:type="dxa"/>
            <w:vAlign w:val="center"/>
          </w:tcPr>
          <w:p>
            <w:pPr>
              <w:jc w:val="center"/>
              <w:rPr>
                <w:rFonts w:ascii="宋体" w:hAnsi="宋体"/>
                <w:b/>
                <w:bCs/>
              </w:rPr>
            </w:pPr>
            <w:r>
              <w:rPr>
                <w:rFonts w:hint="eastAsia" w:ascii="宋体" w:hAnsi="宋体"/>
                <w:b/>
                <w:bCs/>
              </w:rPr>
              <w:t>规      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1</w:t>
            </w:r>
          </w:p>
        </w:tc>
        <w:tc>
          <w:tcPr>
            <w:tcW w:w="2160" w:type="dxa"/>
            <w:vAlign w:val="center"/>
          </w:tcPr>
          <w:p>
            <w:r>
              <w:rPr>
                <w:rFonts w:hint="eastAsia"/>
              </w:rPr>
              <w:t>联合体投标</w:t>
            </w:r>
          </w:p>
        </w:tc>
        <w:tc>
          <w:tcPr>
            <w:tcW w:w="5400" w:type="dxa"/>
            <w:vAlign w:val="center"/>
          </w:tcPr>
          <w:p>
            <w:pPr>
              <w:rPr>
                <w:rFonts w:ascii="宋体" w:hAnsi="宋体"/>
                <w:snapToGrid w:val="0"/>
                <w:kern w:val="0"/>
                <w:szCs w:val="32"/>
                <w:u w:val="single"/>
                <w:lang w:val="zh-CN"/>
              </w:rPr>
            </w:pPr>
            <w:r>
              <w:rPr>
                <w:rFonts w:hint="eastAsia" w:ascii="宋体" w:hAnsi="宋体"/>
                <w:snapToGrid w:val="0"/>
                <w:kern w:val="0"/>
                <w:szCs w:val="32"/>
                <w:u w:val="single"/>
                <w:lang w:val="zh-CN"/>
              </w:rPr>
              <w:t>见《招标公告》中“投标人资格要求”部分的相关内容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2</w:t>
            </w:r>
          </w:p>
        </w:tc>
        <w:tc>
          <w:tcPr>
            <w:tcW w:w="2160" w:type="dxa"/>
            <w:vAlign w:val="center"/>
          </w:tcPr>
          <w:p>
            <w:pPr>
              <w:rPr>
                <w:rFonts w:ascii="宋体" w:hAnsi="宋体"/>
              </w:rPr>
            </w:pPr>
            <w:r>
              <w:rPr>
                <w:rFonts w:hint="eastAsia" w:ascii="宋体" w:hAnsi="宋体"/>
              </w:rPr>
              <w:t>投标有效期</w:t>
            </w:r>
          </w:p>
        </w:tc>
        <w:tc>
          <w:tcPr>
            <w:tcW w:w="5400" w:type="dxa"/>
            <w:vAlign w:val="center"/>
          </w:tcPr>
          <w:p>
            <w:pPr>
              <w:rPr>
                <w:rFonts w:ascii="宋体" w:hAnsi="宋体"/>
              </w:rPr>
            </w:pPr>
            <w:r>
              <w:rPr>
                <w:rFonts w:hint="eastAsia" w:ascii="宋体" w:hAnsi="宋体"/>
                <w:u w:val="single"/>
              </w:rPr>
              <w:t>120</w:t>
            </w:r>
            <w:r>
              <w:rPr>
                <w:rFonts w:ascii="宋体" w:hAnsi="宋体"/>
                <w:u w:val="single"/>
              </w:rPr>
              <w:t>日历天</w:t>
            </w:r>
            <w:r>
              <w:rPr>
                <w:rFonts w:ascii="宋体" w:hAnsi="宋体"/>
              </w:rPr>
              <w:t>（从投标截止之日算起）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3</w:t>
            </w:r>
          </w:p>
        </w:tc>
        <w:tc>
          <w:tcPr>
            <w:tcW w:w="2160" w:type="dxa"/>
            <w:vAlign w:val="center"/>
          </w:tcPr>
          <w:p>
            <w:pPr>
              <w:rPr>
                <w:rFonts w:ascii="宋体" w:hAnsi="宋体"/>
              </w:rPr>
            </w:pPr>
            <w:r>
              <w:rPr>
                <w:rFonts w:hint="eastAsia" w:ascii="宋体" w:hAnsi="宋体"/>
              </w:rPr>
              <w:t>投标人的替代方案</w:t>
            </w:r>
          </w:p>
        </w:tc>
        <w:tc>
          <w:tcPr>
            <w:tcW w:w="5400" w:type="dxa"/>
            <w:vAlign w:val="center"/>
          </w:tcPr>
          <w:p>
            <w:pPr>
              <w:rPr>
                <w:rFonts w:ascii="宋体" w:hAnsi="宋体"/>
              </w:rPr>
            </w:pPr>
            <w:r>
              <w:rPr>
                <w:rFonts w:hint="eastAsia" w:ascii="宋体" w:hAnsi="宋体"/>
              </w:rPr>
              <w:t>不允许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4</w:t>
            </w:r>
          </w:p>
        </w:tc>
        <w:tc>
          <w:tcPr>
            <w:tcW w:w="2160" w:type="dxa"/>
            <w:vAlign w:val="center"/>
          </w:tcPr>
          <w:p>
            <w:pPr>
              <w:rPr>
                <w:rFonts w:ascii="宋体" w:hAnsi="宋体"/>
              </w:rPr>
            </w:pPr>
            <w:r>
              <w:rPr>
                <w:rFonts w:hint="eastAsia" w:ascii="宋体" w:hAnsi="宋体"/>
              </w:rPr>
              <w:t>投标文件的投递</w:t>
            </w:r>
          </w:p>
        </w:tc>
        <w:tc>
          <w:tcPr>
            <w:tcW w:w="5400" w:type="dxa"/>
            <w:vAlign w:val="center"/>
          </w:tcPr>
          <w:p>
            <w:pPr>
              <w:rPr>
                <w:rFonts w:ascii="宋体" w:hAnsi="宋体"/>
              </w:rPr>
            </w:pPr>
            <w:r>
              <w:rPr>
                <w:rFonts w:hint="eastAsia" w:ascii="宋体" w:hAnsi="宋体"/>
              </w:rPr>
              <w:t>本项目实行网上投标，投标人必须在招标文件规定的投标截止时间前登录“深圳市政府采购网”，使用“应标管理</w:t>
            </w:r>
            <w:r>
              <w:rPr>
                <w:rFonts w:ascii="宋体" w:hAnsi="宋体"/>
              </w:rPr>
              <w:t>-&gt;上传投标文件”功能</w:t>
            </w:r>
            <w:r>
              <w:rPr>
                <w:rFonts w:hint="eastAsia" w:ascii="宋体" w:hAnsi="宋体"/>
              </w:rPr>
              <w:t>点，</w:t>
            </w:r>
            <w:r>
              <w:rPr>
                <w:rFonts w:ascii="宋体" w:hAnsi="宋体"/>
              </w:rPr>
              <w:t>将编制好的电子投标文件上传，投标文件大小不得超过</w:t>
            </w:r>
            <w:r>
              <w:rPr>
                <w:rFonts w:hint="eastAsia" w:ascii="宋体" w:hAnsi="宋体"/>
              </w:rPr>
              <w:t>10</w:t>
            </w:r>
            <w:r>
              <w:rPr>
                <w:rFonts w:ascii="宋体" w:hAnsi="宋体"/>
              </w:rPr>
              <w:t>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5</w:t>
            </w:r>
          </w:p>
        </w:tc>
        <w:tc>
          <w:tcPr>
            <w:tcW w:w="2160" w:type="dxa"/>
            <w:vAlign w:val="center"/>
          </w:tcPr>
          <w:p>
            <w:pPr>
              <w:rPr>
                <w:rFonts w:ascii="宋体" w:hAnsi="宋体"/>
              </w:rPr>
            </w:pPr>
            <w:r>
              <w:rPr>
                <w:rFonts w:hint="eastAsia" w:ascii="宋体" w:hAnsi="宋体"/>
              </w:rPr>
              <w:t>履约保证金</w:t>
            </w:r>
          </w:p>
        </w:tc>
        <w:tc>
          <w:tcPr>
            <w:tcW w:w="5400" w:type="dxa"/>
            <w:vAlign w:val="center"/>
          </w:tcPr>
          <w:p>
            <w:pPr>
              <w:rPr>
                <w:rFonts w:ascii="宋体" w:hAnsi="宋体"/>
                <w:color w:val="FF0000"/>
              </w:rPr>
            </w:pPr>
            <w:r>
              <w:rPr>
                <w:rFonts w:hint="eastAsia"/>
              </w:rPr>
              <w:t>_____万元或合同金额的_____%</w:t>
            </w:r>
            <w:r>
              <w:rPr>
                <w:rFonts w:hint="eastAsia"/>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pPr>
              <w:jc w:val="center"/>
              <w:rPr>
                <w:rFonts w:ascii="宋体" w:hAnsi="宋体"/>
              </w:rPr>
            </w:pPr>
            <w:r>
              <w:rPr>
                <w:rFonts w:hint="eastAsia" w:ascii="宋体" w:hAnsi="宋体"/>
              </w:rPr>
              <w:t>6</w:t>
            </w:r>
          </w:p>
        </w:tc>
        <w:tc>
          <w:tcPr>
            <w:tcW w:w="2160" w:type="dxa"/>
            <w:vAlign w:val="center"/>
          </w:tcPr>
          <w:p>
            <w:pPr>
              <w:rPr>
                <w:rFonts w:ascii="宋体" w:hAnsi="宋体"/>
              </w:rPr>
            </w:pPr>
            <w:r>
              <w:rPr>
                <w:rFonts w:hint="eastAsia" w:ascii="新宋体" w:hAnsi="新宋体" w:eastAsia="新宋体"/>
                <w:szCs w:val="21"/>
              </w:rPr>
              <w:t>中标服务费</w:t>
            </w:r>
          </w:p>
        </w:tc>
        <w:tc>
          <w:tcPr>
            <w:tcW w:w="5400" w:type="dxa"/>
            <w:vAlign w:val="center"/>
          </w:tcPr>
          <w:p>
            <w:pPr>
              <w:spacing w:line="276" w:lineRule="auto"/>
              <w:rPr>
                <w:rFonts w:ascii="新宋体" w:hAnsi="新宋体" w:eastAsia="新宋体"/>
                <w:szCs w:val="21"/>
              </w:rPr>
            </w:pPr>
            <w:r>
              <w:rPr>
                <w:rFonts w:hint="eastAsia" w:ascii="新宋体" w:hAnsi="新宋体" w:eastAsia="新宋体"/>
                <w:szCs w:val="21"/>
              </w:rPr>
              <w:t>根据“深圳市财政委员会关于规范深圳市社会采购代理机构管理有关事项的补充通知(深财购[2018]27号)”的规定执行。招标代理服务收费以中标/成交通知书公布的中标金额为计算基准,按差额定率累进法计算,作为招标代理服务费。</w:t>
            </w:r>
          </w:p>
          <w:p>
            <w:pPr>
              <w:spacing w:line="276" w:lineRule="auto"/>
              <w:rPr>
                <w:rFonts w:ascii="新宋体" w:hAnsi="新宋体" w:eastAsia="新宋体"/>
                <w:szCs w:val="21"/>
              </w:rPr>
            </w:pPr>
            <w:r>
              <w:rPr>
                <w:rFonts w:hint="eastAsia" w:ascii="新宋体" w:hAnsi="新宋体" w:eastAsia="新宋体"/>
                <w:szCs w:val="21"/>
              </w:rPr>
              <w:t>1、招标代理服务收费按差额定率累进法计算；</w:t>
            </w:r>
          </w:p>
          <w:p>
            <w:r>
              <w:rPr>
                <w:rFonts w:hint="eastAsia" w:ascii="新宋体" w:hAnsi="新宋体" w:eastAsia="新宋体"/>
                <w:szCs w:val="21"/>
              </w:rPr>
              <w:t>2、中标服务费的缴纳形式：向招标代理机构直接缴纳，可用支票、电汇等付款方式；</w:t>
            </w:r>
          </w:p>
        </w:tc>
      </w:tr>
    </w:tbl>
    <w:p>
      <w:pPr>
        <w:rPr>
          <w:b/>
        </w:rPr>
      </w:pPr>
      <w:r>
        <w:rPr>
          <w:rFonts w:hint="eastAsia"/>
          <w:szCs w:val="21"/>
        </w:rPr>
        <w:t>备注：本表为通用条款相关内容的补充和明确，如与通用条款相冲突的以本表为准。</w:t>
      </w:r>
    </w:p>
    <w:p>
      <w:pPr>
        <w:rPr>
          <w:b/>
        </w:rPr>
      </w:pPr>
    </w:p>
    <w:p/>
    <w:p>
      <w:pPr>
        <w:pStyle w:val="5"/>
        <w:spacing w:before="120" w:beforeLines="50" w:after="120" w:afterLines="50"/>
        <w:rPr>
          <w:sz w:val="28"/>
          <w:szCs w:val="28"/>
        </w:rPr>
      </w:pPr>
      <w:r>
        <w:rPr>
          <w:rFonts w:hint="eastAsia"/>
          <w:sz w:val="28"/>
          <w:szCs w:val="28"/>
        </w:rPr>
        <w:t>二、货物清单</w:t>
      </w:r>
    </w:p>
    <w:p>
      <w:pPr>
        <w:rPr>
          <w:rFonts w:ascii="宋体" w:hAnsi="宋体"/>
          <w:b/>
          <w:szCs w:val="21"/>
        </w:rPr>
      </w:pPr>
      <w:r>
        <w:rPr>
          <w:rFonts w:hint="eastAsia" w:ascii="宋体" w:hAnsi="宋体"/>
          <w:b/>
          <w:szCs w:val="21"/>
        </w:rPr>
        <w:t>（一）货物总清单</w:t>
      </w:r>
    </w:p>
    <w:tbl>
      <w:tblPr>
        <w:tblStyle w:val="43"/>
        <w:tblpPr w:leftFromText="180" w:rightFromText="180" w:vertAnchor="text" w:horzAnchor="page" w:tblpX="1792" w:tblpY="301"/>
        <w:tblOverlap w:val="never"/>
        <w:tblW w:w="496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9"/>
        <w:gridCol w:w="3176"/>
        <w:gridCol w:w="1212"/>
        <w:gridCol w:w="2034"/>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708" w:type="pct"/>
            <w:vAlign w:val="center"/>
          </w:tcPr>
          <w:p>
            <w:pPr>
              <w:widowControl/>
              <w:spacing w:before="120" w:after="120"/>
              <w:jc w:val="center"/>
              <w:textAlignment w:val="center"/>
              <w:rPr>
                <w:rFonts w:ascii="新宋体" w:hAnsi="新宋体" w:eastAsia="新宋体" w:cs="宋体"/>
                <w:b/>
                <w:bCs/>
                <w:color w:val="000000"/>
                <w:szCs w:val="21"/>
              </w:rPr>
            </w:pPr>
            <w:r>
              <w:rPr>
                <w:rFonts w:hint="eastAsia" w:ascii="新宋体" w:hAnsi="新宋体" w:eastAsia="新宋体" w:cs="宋体"/>
                <w:b/>
                <w:bCs/>
                <w:color w:val="000000"/>
                <w:kern w:val="0"/>
                <w:szCs w:val="21"/>
              </w:rPr>
              <w:drawing>
                <wp:anchor distT="0" distB="0" distL="114300" distR="114300" simplePos="0" relativeHeight="251659264" behindDoc="0" locked="0" layoutInCell="1" allowOverlap="1">
                  <wp:simplePos x="0" y="0"/>
                  <wp:positionH relativeFrom="column">
                    <wp:posOffset>438150</wp:posOffset>
                  </wp:positionH>
                  <wp:positionV relativeFrom="paragraph">
                    <wp:posOffset>123825</wp:posOffset>
                  </wp:positionV>
                  <wp:extent cx="635" cy="857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5" cy="85725"/>
                          </a:xfrm>
                          <a:prstGeom prst="rect">
                            <a:avLst/>
                          </a:prstGeom>
                          <a:noFill/>
                          <a:ln>
                            <a:noFill/>
                          </a:ln>
                        </pic:spPr>
                      </pic:pic>
                    </a:graphicData>
                  </a:graphic>
                </wp:anchor>
              </w:drawing>
            </w:r>
            <w:r>
              <w:rPr>
                <w:rFonts w:hint="eastAsia" w:ascii="新宋体" w:hAnsi="新宋体" w:eastAsia="新宋体" w:cs="宋体"/>
                <w:b/>
                <w:bCs/>
                <w:color w:val="000000"/>
                <w:kern w:val="0"/>
                <w:szCs w:val="21"/>
                <w:lang w:bidi="ar"/>
              </w:rPr>
              <w:t>序号</w:t>
            </w:r>
          </w:p>
        </w:tc>
        <w:tc>
          <w:tcPr>
            <w:tcW w:w="1874" w:type="pct"/>
            <w:vAlign w:val="center"/>
          </w:tcPr>
          <w:p>
            <w:pPr>
              <w:widowControl/>
              <w:spacing w:before="156" w:after="156"/>
              <w:jc w:val="center"/>
              <w:textAlignment w:val="center"/>
              <w:rPr>
                <w:rFonts w:ascii="新宋体" w:hAnsi="新宋体" w:eastAsia="新宋体" w:cs="宋体"/>
                <w:b/>
                <w:bCs/>
                <w:color w:val="000000"/>
                <w:szCs w:val="21"/>
              </w:rPr>
            </w:pPr>
            <w:r>
              <w:rPr>
                <w:rFonts w:hint="eastAsia" w:ascii="新宋体" w:hAnsi="新宋体" w:eastAsia="新宋体" w:cs="宋体"/>
                <w:b/>
                <w:bCs/>
                <w:color w:val="000000"/>
                <w:kern w:val="0"/>
                <w:szCs w:val="21"/>
                <w:lang w:bidi="ar"/>
              </w:rPr>
              <w:t>产品名称</w:t>
            </w:r>
          </w:p>
        </w:tc>
        <w:tc>
          <w:tcPr>
            <w:tcW w:w="715" w:type="pct"/>
            <w:vAlign w:val="center"/>
          </w:tcPr>
          <w:p>
            <w:pPr>
              <w:widowControl/>
              <w:spacing w:before="156" w:after="156"/>
              <w:jc w:val="center"/>
              <w:textAlignment w:val="center"/>
              <w:rPr>
                <w:rFonts w:ascii="新宋体" w:hAnsi="新宋体" w:eastAsia="新宋体" w:cs="宋体"/>
                <w:b/>
                <w:bCs/>
                <w:color w:val="000000"/>
                <w:szCs w:val="21"/>
              </w:rPr>
            </w:pPr>
            <w:r>
              <w:rPr>
                <w:rFonts w:hint="eastAsia" w:ascii="新宋体" w:hAnsi="新宋体" w:eastAsia="新宋体" w:cs="宋体"/>
                <w:b/>
                <w:bCs/>
                <w:color w:val="000000"/>
                <w:kern w:val="0"/>
                <w:szCs w:val="21"/>
                <w:lang w:bidi="ar"/>
              </w:rPr>
              <w:t>数量</w:t>
            </w:r>
          </w:p>
        </w:tc>
        <w:tc>
          <w:tcPr>
            <w:tcW w:w="1200" w:type="pct"/>
            <w:noWrap/>
            <w:vAlign w:val="center"/>
          </w:tcPr>
          <w:p>
            <w:pPr>
              <w:widowControl/>
              <w:spacing w:before="156" w:after="156"/>
              <w:jc w:val="center"/>
              <w:textAlignment w:val="center"/>
              <w:rPr>
                <w:rFonts w:ascii="新宋体" w:hAnsi="新宋体" w:eastAsia="新宋体" w:cs="宋体"/>
                <w:b/>
                <w:bCs/>
                <w:color w:val="000000"/>
                <w:szCs w:val="21"/>
              </w:rPr>
            </w:pPr>
            <w:r>
              <w:rPr>
                <w:rFonts w:hint="eastAsia" w:ascii="新宋体" w:hAnsi="新宋体" w:eastAsia="新宋体" w:cs="宋体"/>
                <w:b/>
                <w:bCs/>
                <w:color w:val="000000"/>
                <w:kern w:val="0"/>
                <w:szCs w:val="21"/>
                <w:lang w:bidi="ar"/>
              </w:rPr>
              <w:t>单位</w:t>
            </w:r>
          </w:p>
        </w:tc>
        <w:tc>
          <w:tcPr>
            <w:tcW w:w="503" w:type="pct"/>
          </w:tcPr>
          <w:p>
            <w:pPr>
              <w:widowControl/>
              <w:spacing w:before="156" w:after="156"/>
              <w:jc w:val="center"/>
              <w:textAlignment w:val="center"/>
              <w:rPr>
                <w:rFonts w:ascii="新宋体" w:hAnsi="新宋体" w:eastAsia="新宋体" w:cs="宋体"/>
                <w:b/>
                <w:bCs/>
                <w:color w:val="000000"/>
                <w:kern w:val="0"/>
                <w:szCs w:val="21"/>
                <w:lang w:bidi="ar"/>
              </w:rPr>
            </w:pPr>
            <w:r>
              <w:rPr>
                <w:rFonts w:hint="eastAsia" w:ascii="新宋体" w:hAnsi="新宋体" w:eastAsia="新宋体" w:cs="宋体"/>
                <w:b/>
                <w:bCs/>
                <w:color w:val="000000"/>
                <w:kern w:val="0"/>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000" w:type="pct"/>
            <w:gridSpan w:val="5"/>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b/>
                <w:bCs/>
                <w:color w:val="000000"/>
                <w:kern w:val="0"/>
                <w:szCs w:val="21"/>
                <w:lang w:bidi="ar"/>
              </w:rPr>
              <w:t>4K虚拟演播室系统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 xml:space="preserve"> UHD虚拟演播渲染系统</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szCs w:val="21"/>
              </w:rPr>
              <w:t>虚拟演播室系统软件</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3</w:t>
            </w:r>
          </w:p>
        </w:tc>
        <w:tc>
          <w:tcPr>
            <w:tcW w:w="1874" w:type="pct"/>
            <w:noWrap/>
            <w:vAlign w:val="center"/>
          </w:tcPr>
          <w:p>
            <w:pPr>
              <w:widowControl/>
              <w:spacing w:before="156" w:after="156"/>
              <w:jc w:val="center"/>
              <w:textAlignment w:val="center"/>
              <w:rPr>
                <w:rFonts w:ascii="新宋体" w:hAnsi="新宋体" w:eastAsia="新宋体"/>
                <w:szCs w:val="21"/>
              </w:rPr>
            </w:pPr>
            <w:r>
              <w:rPr>
                <w:rFonts w:hint="eastAsia" w:ascii="新宋体" w:hAnsi="新宋体" w:eastAsia="新宋体" w:cs="宋体"/>
                <w:kern w:val="0"/>
                <w:szCs w:val="21"/>
              </w:rPr>
              <w:t>动画设计器</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ascii="新宋体" w:hAnsi="新宋体" w:eastAsia="新宋体" w:cs="宋体"/>
                <w:color w:val="000000"/>
                <w:kern w:val="0"/>
                <w:szCs w:val="21"/>
                <w:lang w:bidi="ar"/>
              </w:rPr>
              <w:t>4</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平台服务器</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5</w:t>
            </w:r>
          </w:p>
        </w:tc>
        <w:tc>
          <w:tcPr>
            <w:tcW w:w="1874"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导播台</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6</w:t>
            </w:r>
          </w:p>
        </w:tc>
        <w:tc>
          <w:tcPr>
            <w:tcW w:w="1874"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应用服务教育云平台</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7</w:t>
            </w:r>
          </w:p>
        </w:tc>
        <w:tc>
          <w:tcPr>
            <w:tcW w:w="1874"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内网直播</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8</w:t>
            </w:r>
          </w:p>
        </w:tc>
        <w:tc>
          <w:tcPr>
            <w:tcW w:w="1874"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校园电视播出系统</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5000" w:type="pct"/>
            <w:gridSpan w:val="5"/>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b/>
                <w:bCs/>
                <w:color w:val="000000"/>
                <w:kern w:val="0"/>
                <w:szCs w:val="21"/>
                <w:lang w:bidi="ar"/>
              </w:rPr>
              <w:t>周边设备配置清单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9</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4K摄像机</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10</w:t>
            </w:r>
          </w:p>
        </w:tc>
        <w:tc>
          <w:tcPr>
            <w:tcW w:w="1874" w:type="pct"/>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储存卡</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张</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11</w:t>
            </w:r>
          </w:p>
        </w:tc>
        <w:tc>
          <w:tcPr>
            <w:tcW w:w="1874" w:type="pct"/>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读卡器</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张</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12</w:t>
            </w:r>
          </w:p>
        </w:tc>
        <w:tc>
          <w:tcPr>
            <w:tcW w:w="1874" w:type="pct"/>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备用电池</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个</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708"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szCs w:val="21"/>
              </w:rPr>
              <w:t>13</w:t>
            </w:r>
          </w:p>
        </w:tc>
        <w:tc>
          <w:tcPr>
            <w:tcW w:w="1874" w:type="pct"/>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三脚架</w:t>
            </w:r>
          </w:p>
        </w:tc>
        <w:tc>
          <w:tcPr>
            <w:tcW w:w="715"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708"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szCs w:val="21"/>
              </w:rPr>
              <w:t>14</w:t>
            </w:r>
          </w:p>
        </w:tc>
        <w:tc>
          <w:tcPr>
            <w:tcW w:w="1874" w:type="pct"/>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回监电视</w:t>
            </w:r>
          </w:p>
        </w:tc>
        <w:tc>
          <w:tcPr>
            <w:tcW w:w="715"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szCs w:val="21"/>
              </w:rPr>
            </w:pPr>
            <w:r>
              <w:rPr>
                <w:rFonts w:hint="eastAsia" w:ascii="新宋体" w:hAnsi="新宋体" w:eastAsia="新宋体" w:cs="宋体"/>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15</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视频转换器</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个</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16</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智能提词器双屏</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17</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非编服务器</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18</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4K显示器</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19</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主扩音箱</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20</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主扩功放</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21</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调音台</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22</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无线领夹话筒 （一拖二）</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23</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智能电源管理系统</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24</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智能电源管理系统软件</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25</w:t>
            </w:r>
          </w:p>
        </w:tc>
        <w:tc>
          <w:tcPr>
            <w:tcW w:w="1874" w:type="pct"/>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监听耳机</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26</w:t>
            </w:r>
          </w:p>
        </w:tc>
        <w:tc>
          <w:tcPr>
            <w:tcW w:w="1874" w:type="pct"/>
            <w:noWrap/>
            <w:vAlign w:val="center"/>
          </w:tcPr>
          <w:p>
            <w:pPr>
              <w:widowControl/>
              <w:spacing w:before="156" w:after="156"/>
              <w:jc w:val="center"/>
              <w:rPr>
                <w:rFonts w:ascii="新宋体" w:hAnsi="新宋体" w:eastAsia="新宋体" w:cs="宋体"/>
                <w:kern w:val="0"/>
                <w:szCs w:val="21"/>
              </w:rPr>
            </w:pPr>
            <w:r>
              <w:rPr>
                <w:rFonts w:hint="eastAsia" w:ascii="新宋体" w:hAnsi="新宋体" w:eastAsia="新宋体" w:cs="宋体"/>
                <w:kern w:val="0"/>
                <w:szCs w:val="21"/>
              </w:rPr>
              <w:t>LED教室灯</w:t>
            </w:r>
          </w:p>
        </w:tc>
        <w:tc>
          <w:tcPr>
            <w:tcW w:w="715" w:type="pct"/>
            <w:noWrap/>
            <w:vAlign w:val="center"/>
          </w:tcPr>
          <w:p>
            <w:pPr>
              <w:widowControl/>
              <w:spacing w:before="156" w:after="156"/>
              <w:jc w:val="center"/>
              <w:rPr>
                <w:rFonts w:ascii="新宋体" w:hAnsi="新宋体" w:eastAsia="新宋体" w:cs="宋体"/>
                <w:kern w:val="0"/>
                <w:szCs w:val="21"/>
              </w:rPr>
            </w:pPr>
            <w:r>
              <w:rPr>
                <w:rFonts w:hint="eastAsia" w:ascii="新宋体" w:hAnsi="新宋体" w:eastAsia="新宋体" w:cs="宋体"/>
                <w:kern w:val="0"/>
                <w:szCs w:val="21"/>
              </w:rPr>
              <w:t>9</w:t>
            </w:r>
          </w:p>
        </w:tc>
        <w:tc>
          <w:tcPr>
            <w:tcW w:w="1200" w:type="pct"/>
            <w:noWrap/>
            <w:vAlign w:val="center"/>
          </w:tcPr>
          <w:p>
            <w:pPr>
              <w:widowControl/>
              <w:spacing w:before="156" w:after="156"/>
              <w:jc w:val="center"/>
              <w:rPr>
                <w:rFonts w:ascii="新宋体" w:hAnsi="新宋体" w:eastAsia="新宋体" w:cs="宋体"/>
                <w:kern w:val="0"/>
                <w:szCs w:val="21"/>
              </w:rPr>
            </w:pPr>
            <w:r>
              <w:rPr>
                <w:rFonts w:hint="eastAsia" w:ascii="新宋体" w:hAnsi="新宋体" w:eastAsia="新宋体" w:cs="宋体"/>
                <w:kern w:val="0"/>
                <w:szCs w:val="21"/>
              </w:rPr>
              <w:t>盏</w:t>
            </w:r>
          </w:p>
        </w:tc>
        <w:tc>
          <w:tcPr>
            <w:tcW w:w="503" w:type="pct"/>
            <w:vAlign w:val="center"/>
          </w:tcPr>
          <w:p>
            <w:pPr>
              <w:widowControl/>
              <w:spacing w:before="156" w:after="156"/>
              <w:jc w:val="center"/>
              <w:rPr>
                <w:rFonts w:ascii="新宋体" w:hAnsi="新宋体" w:eastAsia="新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27</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免漆拼接式绿箱</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20</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平米</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28</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虚拟绿箱背景用平板式柔光灯</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4</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29</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虚拟绿箱侧光用平板式柔光灯</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30</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虚拟绿箱面光用平板式柔光灯</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31</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轮廓光用LED螺纹透镜聚光灯</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2</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台</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32</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灯具悬挂轨道</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套</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33</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恒力铰链</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4</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个</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34</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遥控器</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个</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35</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阻燃线缆</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100</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米</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36</w:t>
            </w:r>
          </w:p>
        </w:tc>
        <w:tc>
          <w:tcPr>
            <w:tcW w:w="1874"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安装调试</w:t>
            </w:r>
          </w:p>
        </w:tc>
        <w:tc>
          <w:tcPr>
            <w:tcW w:w="715"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kern w:val="0"/>
                <w:szCs w:val="21"/>
                <w:lang w:bidi="ar"/>
              </w:rPr>
              <w:t>项</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708"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37</w:t>
            </w:r>
          </w:p>
        </w:tc>
        <w:tc>
          <w:tcPr>
            <w:tcW w:w="1874"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线材费</w:t>
            </w:r>
          </w:p>
        </w:tc>
        <w:tc>
          <w:tcPr>
            <w:tcW w:w="715"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1</w:t>
            </w:r>
          </w:p>
        </w:tc>
        <w:tc>
          <w:tcPr>
            <w:tcW w:w="1200" w:type="pct"/>
            <w:noWrap/>
            <w:vAlign w:val="center"/>
          </w:tcPr>
          <w:p>
            <w:pPr>
              <w:widowControl/>
              <w:spacing w:before="156" w:after="156"/>
              <w:jc w:val="center"/>
              <w:textAlignment w:val="center"/>
              <w:rPr>
                <w:rFonts w:ascii="新宋体" w:hAnsi="新宋体" w:eastAsia="新宋体" w:cs="宋体"/>
                <w:color w:val="000000"/>
                <w:kern w:val="0"/>
                <w:szCs w:val="21"/>
                <w:lang w:bidi="ar"/>
              </w:rPr>
            </w:pPr>
            <w:r>
              <w:rPr>
                <w:rFonts w:hint="eastAsia" w:ascii="新宋体" w:hAnsi="新宋体" w:eastAsia="新宋体" w:cs="宋体"/>
                <w:color w:val="000000"/>
                <w:kern w:val="0"/>
                <w:szCs w:val="21"/>
                <w:lang w:bidi="ar"/>
              </w:rPr>
              <w:t>项</w:t>
            </w:r>
          </w:p>
        </w:tc>
        <w:tc>
          <w:tcPr>
            <w:tcW w:w="503" w:type="pct"/>
            <w:vAlign w:val="center"/>
          </w:tcPr>
          <w:p>
            <w:pPr>
              <w:widowControl/>
              <w:spacing w:before="156" w:after="156"/>
              <w:jc w:val="center"/>
              <w:textAlignment w:val="center"/>
              <w:rPr>
                <w:rFonts w:ascii="新宋体" w:hAnsi="新宋体" w:eastAsia="新宋体" w:cs="宋体"/>
                <w:color w:val="000000"/>
                <w:kern w:val="0"/>
                <w:szCs w:val="21"/>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8" w:type="pct"/>
            <w:noWrap/>
            <w:vAlign w:val="center"/>
          </w:tcPr>
          <w:p>
            <w:pPr>
              <w:widowControl/>
              <w:spacing w:before="156" w:after="156"/>
              <w:jc w:val="center"/>
              <w:textAlignment w:val="center"/>
              <w:rPr>
                <w:rFonts w:ascii="新宋体" w:hAnsi="新宋体" w:eastAsia="新宋体" w:cs="宋体"/>
                <w:color w:val="000000"/>
                <w:szCs w:val="21"/>
              </w:rPr>
            </w:pPr>
            <w:r>
              <w:rPr>
                <w:rFonts w:hint="eastAsia" w:ascii="新宋体" w:hAnsi="新宋体" w:eastAsia="新宋体" w:cs="宋体"/>
                <w:color w:val="000000"/>
                <w:szCs w:val="21"/>
              </w:rPr>
              <w:t>3</w:t>
            </w:r>
            <w:r>
              <w:rPr>
                <w:rFonts w:ascii="新宋体" w:hAnsi="新宋体" w:eastAsia="新宋体" w:cs="宋体"/>
                <w:color w:val="000000"/>
                <w:szCs w:val="21"/>
              </w:rPr>
              <w:t>9</w:t>
            </w:r>
          </w:p>
        </w:tc>
        <w:tc>
          <w:tcPr>
            <w:tcW w:w="1874" w:type="pct"/>
            <w:noWrap/>
            <w:vAlign w:val="center"/>
          </w:tcPr>
          <w:p>
            <w:pPr>
              <w:widowControl/>
              <w:spacing w:before="156" w:after="156"/>
              <w:jc w:val="center"/>
              <w:textAlignment w:val="center"/>
              <w:rPr>
                <w:rFonts w:ascii="新宋体" w:hAnsi="新宋体" w:eastAsia="新宋体" w:cs="宋体"/>
                <w:kern w:val="0"/>
                <w:szCs w:val="21"/>
              </w:rPr>
            </w:pPr>
            <w:r>
              <w:rPr>
                <w:rFonts w:hint="eastAsia" w:ascii="新宋体" w:hAnsi="新宋体" w:eastAsia="新宋体" w:cs="宋体"/>
                <w:kern w:val="0"/>
                <w:szCs w:val="21"/>
              </w:rPr>
              <w:t>垃圾清理</w:t>
            </w:r>
          </w:p>
        </w:tc>
        <w:tc>
          <w:tcPr>
            <w:tcW w:w="715" w:type="pct"/>
            <w:noWrap/>
            <w:vAlign w:val="center"/>
          </w:tcPr>
          <w:p>
            <w:pPr>
              <w:widowControl/>
              <w:spacing w:before="156" w:after="156"/>
              <w:jc w:val="center"/>
              <w:rPr>
                <w:rFonts w:ascii="新宋体" w:hAnsi="新宋体" w:eastAsia="新宋体" w:cs="宋体"/>
                <w:kern w:val="0"/>
                <w:szCs w:val="21"/>
              </w:rPr>
            </w:pPr>
            <w:r>
              <w:rPr>
                <w:rFonts w:hint="eastAsia" w:ascii="新宋体" w:hAnsi="新宋体" w:eastAsia="新宋体" w:cs="宋体"/>
                <w:kern w:val="0"/>
                <w:szCs w:val="21"/>
              </w:rPr>
              <w:t>1</w:t>
            </w:r>
          </w:p>
        </w:tc>
        <w:tc>
          <w:tcPr>
            <w:tcW w:w="1200" w:type="pct"/>
            <w:noWrap/>
            <w:vAlign w:val="center"/>
          </w:tcPr>
          <w:p>
            <w:pPr>
              <w:widowControl/>
              <w:spacing w:before="156" w:after="156"/>
              <w:ind w:firstLine="105" w:firstLineChars="50"/>
              <w:jc w:val="center"/>
              <w:rPr>
                <w:rFonts w:ascii="新宋体" w:hAnsi="新宋体" w:eastAsia="新宋体" w:cs="宋体"/>
                <w:kern w:val="0"/>
                <w:szCs w:val="21"/>
              </w:rPr>
            </w:pPr>
            <w:r>
              <w:rPr>
                <w:rFonts w:hint="eastAsia" w:ascii="新宋体" w:hAnsi="新宋体" w:eastAsia="新宋体" w:cs="宋体"/>
                <w:kern w:val="0"/>
                <w:szCs w:val="21"/>
              </w:rPr>
              <w:t>项</w:t>
            </w:r>
          </w:p>
        </w:tc>
        <w:tc>
          <w:tcPr>
            <w:tcW w:w="503" w:type="pct"/>
            <w:vAlign w:val="center"/>
          </w:tcPr>
          <w:p>
            <w:pPr>
              <w:widowControl/>
              <w:spacing w:before="156" w:after="156"/>
              <w:ind w:firstLine="105" w:firstLineChars="50"/>
              <w:jc w:val="center"/>
              <w:rPr>
                <w:rFonts w:ascii="新宋体" w:hAnsi="新宋体" w:eastAsia="新宋体" w:cs="宋体"/>
                <w:kern w:val="0"/>
                <w:szCs w:val="21"/>
              </w:rPr>
            </w:pPr>
          </w:p>
        </w:tc>
      </w:tr>
    </w:tbl>
    <w:p>
      <w:pPr>
        <w:rPr>
          <w:rFonts w:ascii="宋体" w:hAnsi="宋体"/>
          <w:b/>
          <w:color w:val="FF0000"/>
          <w:szCs w:val="21"/>
        </w:rPr>
      </w:pPr>
    </w:p>
    <w:p>
      <w:pPr>
        <w:spacing w:line="360" w:lineRule="auto"/>
        <w:rPr>
          <w:rFonts w:ascii="新宋体" w:hAnsi="新宋体" w:eastAsia="新宋体"/>
          <w:b/>
          <w:color w:val="FF0000"/>
          <w:szCs w:val="21"/>
        </w:rPr>
      </w:pPr>
      <w:r>
        <w:rPr>
          <w:rFonts w:hint="eastAsia" w:ascii="新宋体" w:hAnsi="新宋体" w:eastAsia="新宋体"/>
          <w:b/>
          <w:color w:val="FF0000"/>
          <w:szCs w:val="21"/>
        </w:rPr>
        <w:t xml:space="preserve">备注：1.备注栏注明“拒绝进口”的产品不接受投标人选用进口产品参与投标；注明“接受进口”的产品允许投标人选用进口产品参与投标，但不排斥国内产品。 </w:t>
      </w:r>
    </w:p>
    <w:p>
      <w:pPr>
        <w:spacing w:line="360" w:lineRule="auto"/>
        <w:rPr>
          <w:rFonts w:ascii="新宋体" w:hAnsi="新宋体" w:eastAsia="新宋体"/>
          <w:b/>
          <w:color w:val="FF0000"/>
          <w:szCs w:val="21"/>
        </w:rPr>
      </w:pPr>
      <w:r>
        <w:rPr>
          <w:rFonts w:hint="eastAsia" w:ascii="新宋体" w:hAnsi="新宋体" w:eastAsia="新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spacing w:line="360" w:lineRule="auto"/>
        <w:rPr>
          <w:rFonts w:ascii="新宋体" w:hAnsi="新宋体" w:eastAsia="新宋体"/>
          <w:b/>
          <w:color w:val="FF0000"/>
          <w:szCs w:val="21"/>
        </w:rPr>
      </w:pPr>
      <w:r>
        <w:rPr>
          <w:rFonts w:hint="eastAsia" w:ascii="新宋体" w:hAnsi="新宋体" w:eastAsia="新宋体"/>
          <w:b/>
          <w:color w:val="FF0000"/>
          <w:szCs w:val="21"/>
        </w:rPr>
        <w:t>3、本项目核心产品为：</w:t>
      </w:r>
      <w:r>
        <w:rPr>
          <w:rFonts w:hint="eastAsia" w:ascii="新宋体" w:hAnsi="新宋体" w:eastAsia="新宋体"/>
          <w:b/>
          <w:color w:val="FF0000"/>
          <w:szCs w:val="21"/>
          <w:u w:val="single"/>
        </w:rPr>
        <w:t>UHD虚拟演播渲染系统</w:t>
      </w:r>
      <w:r>
        <w:rPr>
          <w:rFonts w:hint="eastAsia" w:ascii="新宋体" w:hAnsi="新宋体" w:eastAsia="新宋体"/>
          <w:b/>
          <w:color w:val="FF0000"/>
          <w:szCs w:val="21"/>
        </w:rPr>
        <w:t>。</w:t>
      </w:r>
    </w:p>
    <w:p>
      <w:pPr>
        <w:rPr>
          <w:rFonts w:ascii="宋体" w:hAnsi="宋体"/>
          <w:b/>
          <w:color w:val="FF0000"/>
          <w:szCs w:val="21"/>
        </w:rPr>
      </w:pPr>
    </w:p>
    <w:p>
      <w:pPr>
        <w:pStyle w:val="5"/>
        <w:spacing w:before="120" w:beforeLines="50" w:after="120" w:afterLines="50"/>
        <w:rPr>
          <w:sz w:val="28"/>
          <w:szCs w:val="28"/>
        </w:rPr>
      </w:pPr>
      <w:bookmarkStart w:id="25" w:name="_Toc128884461"/>
      <w:r>
        <w:rPr>
          <w:rFonts w:hint="eastAsia"/>
          <w:sz w:val="28"/>
          <w:szCs w:val="28"/>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序号</w:t>
            </w:r>
          </w:p>
        </w:tc>
        <w:tc>
          <w:tcPr>
            <w:tcW w:w="7483" w:type="dxa"/>
          </w:tcPr>
          <w:p>
            <w:pPr>
              <w:adjustRightInd w:val="0"/>
              <w:snapToGrid w:val="0"/>
              <w:spacing w:line="360" w:lineRule="auto"/>
              <w:rPr>
                <w:rFonts w:ascii="宋体" w:hAnsi="宋体"/>
                <w:kern w:val="0"/>
                <w:szCs w:val="21"/>
              </w:rPr>
            </w:pPr>
            <w:r>
              <w:rPr>
                <w:rFonts w:hint="eastAsia" w:ascii="宋体" w:hAnsi="宋体"/>
                <w:kern w:val="0"/>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7483" w:type="dxa"/>
          </w:tcPr>
          <w:p>
            <w:pPr>
              <w:adjustRightInd w:val="0"/>
              <w:snapToGrid w:val="0"/>
              <w:spacing w:line="360" w:lineRule="auto"/>
              <w:rPr>
                <w:rFonts w:hAnsi="宋体"/>
                <w:kern w:val="0"/>
                <w:szCs w:val="21"/>
              </w:rPr>
            </w:pPr>
            <w:r>
              <w:rPr>
                <w:rFonts w:hint="eastAsia" w:hAnsi="宋体"/>
                <w:kern w:val="0"/>
                <w:szCs w:val="21"/>
              </w:rPr>
              <w:t>投标文件载明的交货期不超过招标文件规定的期限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2</w:t>
            </w:r>
          </w:p>
        </w:tc>
        <w:tc>
          <w:tcPr>
            <w:tcW w:w="7483" w:type="dxa"/>
          </w:tcPr>
          <w:p>
            <w:pPr>
              <w:adjustRightInd w:val="0"/>
              <w:snapToGrid w:val="0"/>
              <w:spacing w:line="360" w:lineRule="auto"/>
              <w:rPr>
                <w:rFonts w:hAnsi="宋体"/>
                <w:kern w:val="0"/>
                <w:szCs w:val="21"/>
              </w:rPr>
            </w:pPr>
            <w:r>
              <w:rPr>
                <w:rFonts w:hint="eastAsia" w:hAnsi="宋体"/>
                <w:kern w:val="0"/>
                <w:szCs w:val="21"/>
              </w:rPr>
              <w:t>投标文件载明的免费保修期不低于招标文件规定的期限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3</w:t>
            </w:r>
          </w:p>
        </w:tc>
        <w:tc>
          <w:tcPr>
            <w:tcW w:w="7483" w:type="dxa"/>
          </w:tcPr>
          <w:p>
            <w:pPr>
              <w:adjustRightInd w:val="0"/>
              <w:snapToGrid w:val="0"/>
              <w:spacing w:line="360" w:lineRule="auto"/>
              <w:rPr>
                <w:rFonts w:hAnsi="宋体"/>
                <w:kern w:val="0"/>
                <w:szCs w:val="21"/>
              </w:rPr>
            </w:pPr>
            <w:r>
              <w:rPr>
                <w:rFonts w:hint="eastAsia" w:hAnsi="宋体"/>
                <w:kern w:val="0"/>
                <w:szCs w:val="21"/>
              </w:rPr>
              <w:t>具体技术要求、商务需求中带“★”要求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w:t>
            </w:r>
          </w:p>
        </w:tc>
        <w:tc>
          <w:tcPr>
            <w:tcW w:w="7483" w:type="dxa"/>
          </w:tcPr>
          <w:p>
            <w:pPr>
              <w:adjustRightInd w:val="0"/>
              <w:snapToGrid w:val="0"/>
              <w:spacing w:line="360" w:lineRule="auto"/>
              <w:rPr>
                <w:rFonts w:hAnsi="宋体"/>
                <w:kern w:val="0"/>
                <w:szCs w:val="21"/>
              </w:rPr>
            </w:pPr>
            <w:r>
              <w:rPr>
                <w:rFonts w:hint="eastAsia" w:ascii="宋体" w:hAnsi="宋体"/>
                <w:kern w:val="0"/>
                <w:szCs w:val="21"/>
              </w:rPr>
              <w:t>……</w:t>
            </w:r>
          </w:p>
        </w:tc>
      </w:tr>
    </w:tbl>
    <w:p>
      <w:pPr>
        <w:pStyle w:val="4"/>
        <w:tabs>
          <w:tab w:val="left" w:pos="765"/>
        </w:tabs>
        <w:rPr>
          <w:rFonts w:ascii="黑体"/>
          <w:b w:val="0"/>
          <w:kern w:val="0"/>
          <w:sz w:val="24"/>
          <w:szCs w:val="24"/>
        </w:rPr>
      </w:pPr>
      <w:r>
        <w:rPr>
          <w:rFonts w:hint="eastAsia" w:ascii="黑体"/>
          <w:b w:val="0"/>
          <w:kern w:val="0"/>
          <w:sz w:val="24"/>
          <w:szCs w:val="24"/>
        </w:rPr>
        <w:t>注：上表所列内容为不可负偏离条款</w:t>
      </w:r>
      <w:bookmarkEnd w:id="25"/>
    </w:p>
    <w:p>
      <w:pPr>
        <w:rPr>
          <w:b/>
          <w:szCs w:val="21"/>
        </w:rPr>
      </w:pPr>
    </w:p>
    <w:p>
      <w:pPr>
        <w:pStyle w:val="5"/>
        <w:spacing w:before="120" w:beforeLines="50" w:after="120" w:afterLines="50"/>
        <w:rPr>
          <w:sz w:val="28"/>
          <w:szCs w:val="28"/>
        </w:rPr>
      </w:pPr>
      <w:r>
        <w:rPr>
          <w:rFonts w:hint="eastAsia"/>
          <w:sz w:val="28"/>
          <w:szCs w:val="28"/>
        </w:rPr>
        <w:t>四、具体技术要求</w:t>
      </w:r>
    </w:p>
    <w:p>
      <w:pPr>
        <w:spacing w:line="360" w:lineRule="auto"/>
        <w:ind w:firstLine="422" w:firstLineChars="200"/>
        <w:rPr>
          <w:rFonts w:ascii="新宋体" w:hAnsi="新宋体" w:eastAsia="新宋体"/>
          <w:b/>
          <w:szCs w:val="21"/>
        </w:rPr>
      </w:pPr>
      <w:r>
        <w:rPr>
          <w:rFonts w:hint="eastAsia" w:ascii="新宋体" w:hAnsi="新宋体" w:eastAsia="新宋体"/>
          <w:b/>
          <w:szCs w:val="21"/>
        </w:rPr>
        <w:t>说明：1、带“</w:t>
      </w:r>
      <w:r>
        <w:rPr>
          <w:rFonts w:hint="eastAsia" w:ascii="新宋体" w:hAnsi="新宋体" w:eastAsia="新宋体" w:cs="宋体"/>
          <w:b/>
          <w:szCs w:val="21"/>
        </w:rPr>
        <w:t>★</w:t>
      </w:r>
      <w:r>
        <w:rPr>
          <w:rFonts w:hint="eastAsia" w:ascii="新宋体" w:hAnsi="新宋体" w:eastAsia="新宋体"/>
          <w:b/>
          <w:szCs w:val="21"/>
        </w:rPr>
        <w:t>”指标项为实质性条款，如出现负偏离，将被视为未实质性满足招标文件要求作投标无效处理。带“</w:t>
      </w:r>
      <w:r>
        <w:rPr>
          <w:rFonts w:ascii="新宋体" w:hAnsi="新宋体" w:eastAsia="新宋体"/>
        </w:rPr>
        <w:t>▲</w:t>
      </w:r>
      <w:r>
        <w:rPr>
          <w:rFonts w:hint="eastAsia" w:ascii="新宋体" w:hAnsi="新宋体" w:eastAsia="新宋体"/>
          <w:b/>
          <w:szCs w:val="21"/>
        </w:rPr>
        <w:t xml:space="preserve">”指标项为重要参数，负偏离时依相关评分准则内容作重点扣分处理。 </w:t>
      </w:r>
    </w:p>
    <w:p>
      <w:pPr>
        <w:spacing w:line="360" w:lineRule="auto"/>
        <w:ind w:left="210" w:leftChars="100" w:firstLine="211" w:firstLineChars="100"/>
        <w:rPr>
          <w:rFonts w:ascii="新宋体" w:hAnsi="新宋体" w:eastAsia="新宋体"/>
          <w:b/>
          <w:szCs w:val="21"/>
        </w:rPr>
      </w:pPr>
      <w:r>
        <w:rPr>
          <w:rFonts w:hint="eastAsia" w:ascii="新宋体" w:hAnsi="新宋体" w:eastAsia="新宋体"/>
          <w:b/>
          <w:szCs w:val="21"/>
        </w:rPr>
        <w:t>2、招标技术要求中，用红色加粗字体标注的技术条款为要求提供证明资料的条款，其余为未要求提供证明资料的条款，无需提供相关证明资料。</w:t>
      </w:r>
    </w:p>
    <w:p>
      <w:pPr>
        <w:spacing w:line="360" w:lineRule="auto"/>
        <w:ind w:firstLine="422" w:firstLineChars="200"/>
        <w:rPr>
          <w:rFonts w:ascii="新宋体" w:hAnsi="新宋体" w:eastAsia="新宋体"/>
          <w:b/>
          <w:szCs w:val="21"/>
        </w:rPr>
      </w:pPr>
      <w:r>
        <w:rPr>
          <w:rFonts w:hint="eastAsia" w:ascii="新宋体" w:hAnsi="新宋体" w:eastAsia="新宋体"/>
          <w:b/>
        </w:rPr>
        <w:t>3、评分时，如对一项招标技术要求（以划分框为准）中的内容存在两处（或以上）负偏离的，在评分时只作一项负偏离扣分。</w:t>
      </w:r>
    </w:p>
    <w:tbl>
      <w:tblPr>
        <w:tblStyle w:val="43"/>
        <w:tblpPr w:leftFromText="180" w:rightFromText="180" w:vertAnchor="text" w:horzAnchor="page" w:tblpX="1481" w:tblpY="301"/>
        <w:tblOverlap w:val="never"/>
        <w:tblW w:w="51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7"/>
        <w:gridCol w:w="75"/>
        <w:gridCol w:w="1802"/>
        <w:gridCol w:w="249"/>
        <w:gridCol w:w="4981"/>
        <w:gridCol w:w="581"/>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204" w:type="pct"/>
            <w:vAlign w:val="center"/>
          </w:tcPr>
          <w:p>
            <w:pPr>
              <w:widowControl/>
              <w:spacing w:before="120" w:after="120"/>
              <w:jc w:val="center"/>
              <w:textAlignment w:val="center"/>
              <w:rPr>
                <w:rFonts w:ascii="宋体" w:hAnsi="宋体" w:cs="宋体"/>
                <w:b/>
                <w:bCs/>
                <w:color w:val="000000"/>
                <w:szCs w:val="21"/>
              </w:rPr>
            </w:pPr>
            <w:r>
              <w:rPr>
                <w:rFonts w:hint="eastAsia" w:ascii="宋体" w:hAnsi="宋体" w:cs="宋体"/>
                <w:b/>
                <w:bCs/>
                <w:color w:val="000000"/>
                <w:kern w:val="0"/>
                <w:szCs w:val="21"/>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123825</wp:posOffset>
                  </wp:positionV>
                  <wp:extent cx="635" cy="8572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5" cy="85725"/>
                          </a:xfrm>
                          <a:prstGeom prst="rect">
                            <a:avLst/>
                          </a:prstGeom>
                          <a:noFill/>
                          <a:ln>
                            <a:noFill/>
                          </a:ln>
                        </pic:spPr>
                      </pic:pic>
                    </a:graphicData>
                  </a:graphic>
                </wp:anchor>
              </w:drawing>
            </w:r>
            <w:r>
              <w:rPr>
                <w:rFonts w:hint="eastAsia" w:ascii="宋体" w:hAnsi="宋体" w:cs="宋体"/>
                <w:b/>
                <w:bCs/>
                <w:color w:val="000000"/>
                <w:kern w:val="0"/>
                <w:szCs w:val="21"/>
                <w:lang w:bidi="ar"/>
              </w:rPr>
              <w:t>序号</w:t>
            </w:r>
          </w:p>
        </w:tc>
        <w:tc>
          <w:tcPr>
            <w:tcW w:w="1072" w:type="pct"/>
            <w:gridSpan w:val="2"/>
            <w:vAlign w:val="center"/>
          </w:tcPr>
          <w:p>
            <w:pPr>
              <w:widowControl/>
              <w:spacing w:before="156" w:after="156"/>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产品</w:t>
            </w:r>
          </w:p>
          <w:p>
            <w:pPr>
              <w:widowControl/>
              <w:spacing w:before="156" w:after="156"/>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名称</w:t>
            </w:r>
          </w:p>
        </w:tc>
        <w:tc>
          <w:tcPr>
            <w:tcW w:w="2987" w:type="pct"/>
            <w:gridSpan w:val="2"/>
            <w:noWrap/>
            <w:vAlign w:val="center"/>
          </w:tcPr>
          <w:p>
            <w:pPr>
              <w:widowControl/>
              <w:spacing w:before="156" w:after="156"/>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产品参数</w:t>
            </w:r>
          </w:p>
        </w:tc>
        <w:tc>
          <w:tcPr>
            <w:tcW w:w="332" w:type="pct"/>
            <w:vAlign w:val="center"/>
          </w:tcPr>
          <w:p>
            <w:pPr>
              <w:widowControl/>
              <w:spacing w:before="156" w:after="156"/>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404" w:type="pct"/>
            <w:noWrap/>
            <w:vAlign w:val="center"/>
          </w:tcPr>
          <w:p>
            <w:pPr>
              <w:widowControl/>
              <w:spacing w:before="156" w:after="156"/>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2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72"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 xml:space="preserve"> UHD虚拟演播渲染系统</w:t>
            </w:r>
          </w:p>
        </w:tc>
        <w:tc>
          <w:tcPr>
            <w:tcW w:w="2987" w:type="pct"/>
            <w:gridSpan w:val="2"/>
            <w:vAlign w:val="bottom"/>
          </w:tcPr>
          <w:p>
            <w:pPr>
              <w:rPr>
                <w:rFonts w:ascii="宋体" w:hAnsi="宋体"/>
                <w:szCs w:val="21"/>
              </w:rPr>
            </w:pPr>
            <w:r>
              <w:rPr>
                <w:rFonts w:hint="eastAsia" w:ascii="宋体" w:hAnsi="宋体"/>
                <w:szCs w:val="21"/>
              </w:rPr>
              <w:t>用于实现虚拟演播系统的虚拟场景、三维动画、三维模型、图文包装模板、前景植入物体模板、数据可视化素材的渲染、播出、控制、录制、直播；</w:t>
            </w:r>
          </w:p>
          <w:p>
            <w:pPr>
              <w:rPr>
                <w:rFonts w:ascii="宋体" w:hAnsi="宋体"/>
                <w:szCs w:val="21"/>
              </w:rPr>
            </w:pPr>
            <w:r>
              <w:rPr>
                <w:rFonts w:hint="eastAsia" w:ascii="宋体" w:hAnsi="宋体"/>
                <w:szCs w:val="21"/>
              </w:rPr>
              <w:t>针对校园新闻、访谈、精品课录制等场景对资源内容、软件版本的集中管控、更新、优化、升级等；运行</w:t>
            </w:r>
            <w:r>
              <w:rPr>
                <w:rFonts w:ascii="宋体" w:hAnsi="宋体"/>
                <w:szCs w:val="21"/>
              </w:rPr>
              <w:t>环境不低于以</w:t>
            </w:r>
            <w:r>
              <w:rPr>
                <w:rFonts w:hint="eastAsia" w:ascii="宋体" w:hAnsi="宋体"/>
                <w:szCs w:val="21"/>
              </w:rPr>
              <w:t>下</w:t>
            </w:r>
            <w:r>
              <w:rPr>
                <w:rFonts w:ascii="宋体" w:hAnsi="宋体"/>
                <w:szCs w:val="21"/>
              </w:rPr>
              <w:t>配置:</w:t>
            </w:r>
          </w:p>
          <w:p>
            <w:pPr>
              <w:rPr>
                <w:rFonts w:ascii="宋体" w:hAnsi="宋体"/>
                <w:szCs w:val="21"/>
              </w:rPr>
            </w:pPr>
            <w:r>
              <w:rPr>
                <w:rFonts w:hint="eastAsia" w:ascii="宋体" w:hAnsi="宋体"/>
                <w:szCs w:val="21"/>
              </w:rPr>
              <w:t>渲染服务器：</w:t>
            </w:r>
          </w:p>
          <w:p>
            <w:pPr>
              <w:widowControl/>
              <w:jc w:val="left"/>
              <w:textAlignment w:val="bottom"/>
              <w:rPr>
                <w:rFonts w:ascii="宋体" w:hAnsi="宋体" w:cs="宋体"/>
                <w:color w:val="000000"/>
                <w:szCs w:val="21"/>
              </w:rPr>
            </w:pPr>
            <w:r>
              <w:rPr>
                <w:rFonts w:hint="eastAsia" w:ascii="宋体" w:hAnsi="宋体" w:cs="宋体"/>
                <w:color w:val="000000"/>
                <w:kern w:val="0"/>
                <w:szCs w:val="21"/>
              </w:rPr>
              <w:t>1.CPU：4210*2；</w:t>
            </w:r>
            <w:r>
              <w:rPr>
                <w:rFonts w:hint="eastAsia" w:ascii="宋体" w:hAnsi="宋体" w:cs="宋体"/>
                <w:color w:val="000000"/>
                <w:kern w:val="0"/>
                <w:szCs w:val="21"/>
              </w:rPr>
              <w:br w:type="textWrapping"/>
            </w:r>
            <w:r>
              <w:rPr>
                <w:rFonts w:hint="eastAsia" w:ascii="宋体" w:hAnsi="宋体" w:cs="宋体"/>
                <w:color w:val="000000"/>
                <w:kern w:val="0"/>
                <w:szCs w:val="21"/>
              </w:rPr>
              <w:t>2.主板：服务器高性能GPU图形渲染主板；</w:t>
            </w:r>
            <w:r>
              <w:rPr>
                <w:rFonts w:hint="eastAsia" w:ascii="宋体" w:hAnsi="宋体" w:cs="宋体"/>
                <w:color w:val="000000"/>
                <w:kern w:val="0"/>
                <w:szCs w:val="21"/>
              </w:rPr>
              <w:br w:type="textWrapping"/>
            </w:r>
            <w:r>
              <w:rPr>
                <w:rFonts w:hint="eastAsia" w:ascii="宋体" w:hAnsi="宋体" w:cs="宋体"/>
                <w:color w:val="000000"/>
                <w:kern w:val="0"/>
                <w:szCs w:val="21"/>
              </w:rPr>
              <w:t>3.内存：DDR4  64G高速服务器内存；</w:t>
            </w:r>
            <w:r>
              <w:rPr>
                <w:rFonts w:hint="eastAsia" w:ascii="宋体" w:hAnsi="宋体" w:cs="宋体"/>
                <w:color w:val="000000"/>
                <w:kern w:val="0"/>
                <w:szCs w:val="21"/>
              </w:rPr>
              <w:br w:type="textWrapping"/>
            </w:r>
            <w:r>
              <w:rPr>
                <w:rFonts w:hint="eastAsia" w:ascii="宋体" w:hAnsi="宋体" w:cs="宋体"/>
                <w:color w:val="000000"/>
                <w:kern w:val="0"/>
                <w:szCs w:val="21"/>
              </w:rPr>
              <w:t>4.电源：1000W高效服务器电源；</w:t>
            </w:r>
            <w:r>
              <w:rPr>
                <w:rFonts w:hint="eastAsia" w:ascii="宋体" w:hAnsi="宋体" w:cs="宋体"/>
                <w:color w:val="000000"/>
                <w:kern w:val="0"/>
                <w:szCs w:val="21"/>
              </w:rPr>
              <w:br w:type="textWrapping"/>
            </w:r>
            <w:r>
              <w:rPr>
                <w:rFonts w:hint="eastAsia" w:ascii="宋体" w:hAnsi="宋体" w:cs="宋体"/>
                <w:color w:val="000000"/>
                <w:kern w:val="0"/>
                <w:szCs w:val="21"/>
              </w:rPr>
              <w:t>5.显卡： RTX4000；</w:t>
            </w:r>
            <w:r>
              <w:rPr>
                <w:rFonts w:hint="eastAsia" w:ascii="宋体" w:hAnsi="宋体" w:cs="宋体"/>
                <w:color w:val="000000"/>
                <w:kern w:val="0"/>
                <w:szCs w:val="21"/>
              </w:rPr>
              <w:br w:type="textWrapping"/>
            </w:r>
            <w:r>
              <w:rPr>
                <w:rFonts w:hint="eastAsia" w:ascii="宋体" w:hAnsi="宋体" w:cs="宋体"/>
                <w:color w:val="000000"/>
                <w:kern w:val="0"/>
                <w:szCs w:val="21"/>
              </w:rPr>
              <w:t>6.硬盘： 2T、固态硬盘512G；</w:t>
            </w:r>
            <w:r>
              <w:rPr>
                <w:rFonts w:hint="eastAsia" w:ascii="宋体" w:hAnsi="宋体" w:cs="宋体"/>
                <w:color w:val="000000"/>
                <w:kern w:val="0"/>
                <w:szCs w:val="21"/>
              </w:rPr>
              <w:br w:type="textWrapping"/>
            </w:r>
            <w:r>
              <w:rPr>
                <w:rFonts w:hint="eastAsia" w:ascii="宋体" w:hAnsi="宋体" w:cs="宋体"/>
                <w:color w:val="000000"/>
                <w:kern w:val="0"/>
                <w:szCs w:val="21"/>
              </w:rPr>
              <w:t>7.广播级UHD视频板卡：Spark -4K；</w:t>
            </w:r>
            <w:r>
              <w:rPr>
                <w:rFonts w:hint="eastAsia" w:ascii="宋体" w:hAnsi="宋体" w:cs="宋体"/>
                <w:color w:val="000000"/>
                <w:kern w:val="0"/>
                <w:szCs w:val="21"/>
              </w:rPr>
              <w:br w:type="textWrapping"/>
            </w:r>
            <w:r>
              <w:rPr>
                <w:rFonts w:hint="eastAsia" w:ascii="宋体" w:hAnsi="宋体" w:cs="宋体"/>
                <w:color w:val="000000"/>
                <w:kern w:val="0"/>
                <w:szCs w:val="21"/>
              </w:rPr>
              <w:t>8.机箱：4U机箱；</w:t>
            </w:r>
            <w:r>
              <w:rPr>
                <w:rFonts w:hint="eastAsia" w:ascii="宋体" w:hAnsi="宋体" w:cs="宋体"/>
                <w:color w:val="000000"/>
                <w:kern w:val="0"/>
                <w:szCs w:val="21"/>
              </w:rPr>
              <w:br w:type="textWrapping"/>
            </w:r>
            <w:r>
              <w:rPr>
                <w:rFonts w:hint="eastAsia" w:ascii="宋体" w:hAnsi="宋体" w:cs="宋体"/>
                <w:color w:val="000000"/>
                <w:kern w:val="0"/>
                <w:szCs w:val="21"/>
              </w:rPr>
              <w:t>9.显示器：4K 显示器；</w:t>
            </w:r>
            <w:r>
              <w:rPr>
                <w:rFonts w:hint="eastAsia" w:ascii="宋体" w:hAnsi="宋体" w:cs="宋体"/>
                <w:color w:val="000000"/>
                <w:kern w:val="0"/>
                <w:szCs w:val="21"/>
              </w:rPr>
              <w:br w:type="textWrapping"/>
            </w:r>
            <w:r>
              <w:rPr>
                <w:rFonts w:hint="eastAsia" w:ascii="宋体" w:hAnsi="宋体" w:cs="宋体"/>
                <w:color w:val="000000"/>
                <w:kern w:val="0"/>
                <w:szCs w:val="21"/>
              </w:rPr>
              <w:t>10.广播级高清视频卡 Spark 4kMIO；</w:t>
            </w:r>
            <w:r>
              <w:rPr>
                <w:rFonts w:hint="eastAsia" w:ascii="宋体" w:hAnsi="宋体" w:cs="宋体"/>
                <w:color w:val="000000"/>
                <w:kern w:val="0"/>
                <w:szCs w:val="21"/>
              </w:rPr>
              <w:br w:type="textWrapping"/>
            </w:r>
            <w:r>
              <w:rPr>
                <w:rFonts w:hint="eastAsia" w:ascii="宋体" w:hAnsi="宋体" w:cs="宋体"/>
                <w:color w:val="000000"/>
                <w:kern w:val="0"/>
                <w:szCs w:val="21"/>
              </w:rPr>
              <w:t>11.操作系统 Windows 10 64位；</w:t>
            </w:r>
            <w:r>
              <w:rPr>
                <w:rFonts w:hint="eastAsia" w:ascii="宋体" w:hAnsi="宋体" w:cs="宋体"/>
                <w:color w:val="000000"/>
                <w:kern w:val="0"/>
                <w:szCs w:val="21"/>
              </w:rPr>
              <w:br w:type="textWrapping"/>
            </w:r>
            <w:r>
              <w:rPr>
                <w:rFonts w:hint="eastAsia" w:ascii="宋体" w:hAnsi="宋体" w:cs="宋体"/>
                <w:color w:val="000000"/>
                <w:kern w:val="0"/>
                <w:szCs w:val="21"/>
              </w:rPr>
              <w:t>12.UHD虚拟演播室系统软件V3.0,包含以下模块：</w:t>
            </w:r>
            <w:r>
              <w:rPr>
                <w:rFonts w:hint="eastAsia" w:ascii="宋体" w:hAnsi="宋体" w:cs="宋体"/>
                <w:color w:val="000000"/>
                <w:kern w:val="0"/>
                <w:szCs w:val="21"/>
              </w:rPr>
              <w:br w:type="textWrapping"/>
            </w:r>
            <w:r>
              <w:rPr>
                <w:rFonts w:hint="eastAsia" w:ascii="宋体" w:hAnsi="宋体" w:cs="宋体"/>
                <w:color w:val="000000"/>
                <w:kern w:val="0"/>
                <w:szCs w:val="21"/>
              </w:rPr>
              <w:t>12.1支持3DMAX、MAYA等通用数字图文影视制作软件输出；</w:t>
            </w:r>
            <w:r>
              <w:rPr>
                <w:rFonts w:hint="eastAsia" w:ascii="宋体" w:hAnsi="宋体" w:cs="宋体"/>
                <w:color w:val="000000"/>
                <w:kern w:val="0"/>
                <w:szCs w:val="21"/>
              </w:rPr>
              <w:br w:type="textWrapping"/>
            </w:r>
            <w:r>
              <w:rPr>
                <w:rFonts w:hint="eastAsia" w:ascii="宋体" w:hAnsi="宋体" w:cs="宋体"/>
                <w:color w:val="000000"/>
                <w:kern w:val="0"/>
                <w:szCs w:val="21"/>
              </w:rPr>
              <w:t>13.系统包含以下模块：</w:t>
            </w:r>
            <w:r>
              <w:rPr>
                <w:rFonts w:hint="eastAsia" w:ascii="宋体" w:hAnsi="宋体" w:cs="宋体"/>
                <w:color w:val="000000"/>
                <w:kern w:val="0"/>
                <w:szCs w:val="21"/>
              </w:rPr>
              <w:br w:type="textWrapping"/>
            </w:r>
            <w:r>
              <w:rPr>
                <w:rFonts w:hint="eastAsia" w:ascii="宋体" w:hAnsi="宋体" w:cs="宋体"/>
                <w:color w:val="000000"/>
                <w:kern w:val="0"/>
                <w:szCs w:val="21"/>
              </w:rPr>
              <w:t>13.1视频信号预监模块；简易字幕模块；素材库管理模块；播出列表模块；虚拟摇臂模块；系统全媒体接入模块；真三维渲染引擎；无限蓝箱模块；动画播放模块；</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2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72"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szCs w:val="21"/>
              </w:rPr>
              <w:t>虚拟演播室系统软件</w:t>
            </w:r>
          </w:p>
        </w:tc>
        <w:tc>
          <w:tcPr>
            <w:tcW w:w="2987" w:type="pct"/>
            <w:gridSpan w:val="2"/>
            <w:vAlign w:val="center"/>
          </w:tcPr>
          <w:p>
            <w:pPr>
              <w:rPr>
                <w:rFonts w:ascii="宋体" w:hAnsi="宋体"/>
                <w:szCs w:val="21"/>
              </w:rPr>
            </w:pPr>
            <w:r>
              <w:rPr>
                <w:rFonts w:hint="eastAsia" w:ascii="宋体" w:hAnsi="宋体"/>
                <w:szCs w:val="21"/>
              </w:rPr>
              <w:t>用于实现虚拟演播室系统基于蓝箱/绿箱拍摄画面，将蓝/绿背景实时替换为各种符合使用情景的虚拟场景；</w:t>
            </w:r>
          </w:p>
          <w:p>
            <w:pPr>
              <w:rPr>
                <w:rFonts w:ascii="宋体" w:hAnsi="宋体"/>
                <w:szCs w:val="21"/>
              </w:rPr>
            </w:pPr>
            <w:r>
              <w:rPr>
                <w:rFonts w:hint="eastAsia" w:ascii="宋体" w:hAnsi="宋体"/>
                <w:szCs w:val="21"/>
              </w:rPr>
              <w:t>植入各种三维模型、三维动画、数据可视化素材等内容，对节目、教学内容进行直观生动呈现；</w:t>
            </w:r>
          </w:p>
          <w:p>
            <w:pPr>
              <w:rPr>
                <w:rFonts w:ascii="宋体" w:hAnsi="宋体"/>
                <w:szCs w:val="21"/>
              </w:rPr>
            </w:pPr>
            <w:r>
              <w:rPr>
                <w:rFonts w:hint="eastAsia" w:ascii="宋体" w:hAnsi="宋体"/>
                <w:szCs w:val="21"/>
              </w:rPr>
              <w:t>模板化实时修改，实现各种字幕模板、视频板模板、及各项数据更新后的对应数据可视化的实时更新；</w:t>
            </w:r>
          </w:p>
          <w:p>
            <w:pPr>
              <w:rPr>
                <w:rFonts w:ascii="宋体" w:hAnsi="宋体"/>
                <w:szCs w:val="21"/>
              </w:rPr>
            </w:pPr>
            <w:r>
              <w:rPr>
                <w:rFonts w:hint="eastAsia" w:ascii="宋体" w:hAnsi="宋体"/>
                <w:b/>
                <w:bCs/>
                <w:color w:val="000000"/>
                <w:szCs w:val="21"/>
              </w:rPr>
              <w:t>虚拟演播室系统软件，</w:t>
            </w:r>
            <w:r>
              <w:rPr>
                <w:rFonts w:hint="eastAsia" w:ascii="宋体" w:hAnsi="宋体"/>
                <w:szCs w:val="21"/>
              </w:rPr>
              <w:t>包含以下模块：</w:t>
            </w:r>
          </w:p>
          <w:p>
            <w:pPr>
              <w:rPr>
                <w:rFonts w:ascii="宋体" w:hAnsi="宋体"/>
                <w:szCs w:val="21"/>
              </w:rPr>
            </w:pPr>
            <w:r>
              <w:rPr>
                <w:rFonts w:hint="eastAsia" w:ascii="宋体" w:hAnsi="宋体"/>
                <w:szCs w:val="21"/>
              </w:rPr>
              <w:t>视频信号预监模块：可实时查看监控物理机位、虚拟机位、本地视频、流媒体、外视频等多路信号；</w:t>
            </w:r>
          </w:p>
          <w:p>
            <w:pPr>
              <w:rPr>
                <w:rFonts w:ascii="宋体" w:hAnsi="宋体"/>
                <w:szCs w:val="21"/>
              </w:rPr>
            </w:pPr>
            <w:r>
              <w:rPr>
                <w:rFonts w:hint="eastAsia" w:ascii="宋体" w:hAnsi="宋体"/>
                <w:szCs w:val="21"/>
              </w:rPr>
              <w:t>字幕模块：在播出时支持添加和修改字幕条。</w:t>
            </w:r>
          </w:p>
          <w:p>
            <w:pPr>
              <w:rPr>
                <w:rFonts w:ascii="宋体" w:hAnsi="宋体"/>
                <w:szCs w:val="21"/>
              </w:rPr>
            </w:pPr>
            <w:r>
              <w:rPr>
                <w:rFonts w:hint="eastAsia" w:ascii="宋体" w:hAnsi="宋体"/>
                <w:szCs w:val="21"/>
              </w:rPr>
              <w:t>素材库管理模块：对内置素材、模型、及本地素材可进行管理；</w:t>
            </w:r>
          </w:p>
          <w:p>
            <w:pPr>
              <w:rPr>
                <w:rFonts w:ascii="宋体" w:hAnsi="宋体"/>
                <w:szCs w:val="21"/>
              </w:rPr>
            </w:pPr>
            <w:r>
              <w:rPr>
                <w:rFonts w:hint="eastAsia" w:ascii="宋体" w:hAnsi="宋体"/>
                <w:szCs w:val="21"/>
              </w:rPr>
              <w:t>播出列表模块：灵活的播出方式，关键帧播放列表可按照顺序进行播出，实现多元化的播出效果</w:t>
            </w:r>
          </w:p>
          <w:p>
            <w:pPr>
              <w:rPr>
                <w:rFonts w:ascii="宋体" w:hAnsi="宋体"/>
                <w:szCs w:val="21"/>
              </w:rPr>
            </w:pPr>
            <w:r>
              <w:rPr>
                <w:rFonts w:hint="eastAsia" w:ascii="宋体" w:hAnsi="宋体"/>
                <w:szCs w:val="21"/>
              </w:rPr>
              <w:t>虚拟摇臂模块：无需借助机械跟踪设备，也不需要操作真实的摄像机，仅仅通过一个视频源实时获取摄像机跟踪，即可实现主持人和虚拟场景的实时联动、多景区切换、多人多角度拍摄，制作华丽的开场转场效果。</w:t>
            </w:r>
          </w:p>
          <w:p>
            <w:pPr>
              <w:rPr>
                <w:rFonts w:ascii="宋体" w:hAnsi="宋体"/>
                <w:szCs w:val="21"/>
              </w:rPr>
            </w:pPr>
            <w:r>
              <w:rPr>
                <w:rFonts w:hint="eastAsia" w:ascii="宋体" w:hAnsi="宋体"/>
                <w:szCs w:val="21"/>
              </w:rPr>
              <w:t>音频控制模块；可对输入的音频信号、本地素材的音频、流媒体素材的音频以及混合输出的音频进行调节；集成的音频延时功能，可对输入的音频信号进行延时时长的调节，从而实现音视频的同步输出。</w:t>
            </w:r>
          </w:p>
          <w:p>
            <w:pPr>
              <w:rPr>
                <w:rFonts w:ascii="宋体" w:hAnsi="宋体"/>
                <w:szCs w:val="21"/>
              </w:rPr>
            </w:pPr>
            <w:r>
              <w:rPr>
                <w:rFonts w:hint="eastAsia" w:ascii="宋体" w:hAnsi="宋体"/>
                <w:szCs w:val="21"/>
              </w:rPr>
              <w:t>动画编辑模块：可对系统内动画进行编辑制作；</w:t>
            </w:r>
          </w:p>
          <w:p>
            <w:pPr>
              <w:rPr>
                <w:rFonts w:ascii="宋体" w:hAnsi="宋体"/>
                <w:szCs w:val="21"/>
              </w:rPr>
            </w:pPr>
            <w:r>
              <w:rPr>
                <w:rFonts w:hint="eastAsia" w:ascii="宋体" w:hAnsi="宋体"/>
                <w:szCs w:val="21"/>
              </w:rPr>
              <w:t>真三维渲染引擎：基于场频广播级实时渲染图像输出，支持高清、标清画面实时渲染和输出，支持高、标清制式任意切换；</w:t>
            </w:r>
          </w:p>
          <w:p>
            <w:pPr>
              <w:rPr>
                <w:rFonts w:ascii="宋体" w:hAnsi="宋体"/>
                <w:szCs w:val="21"/>
              </w:rPr>
            </w:pPr>
            <w:r>
              <w:rPr>
                <w:rFonts w:hint="eastAsia" w:ascii="宋体" w:hAnsi="宋体"/>
                <w:szCs w:val="21"/>
              </w:rPr>
              <w:t>无限蓝箱模块：蓝箱以外的杂景，可用虚拟装修进行覆盖，从而实现大演播厅的效果，让小小蓝箱也能营造宏大场景。蓝箱的过渡浓度和过渡宽度可调，实现边界自然过渡；</w:t>
            </w:r>
          </w:p>
          <w:p>
            <w:pPr>
              <w:rPr>
                <w:rFonts w:ascii="宋体" w:hAnsi="宋体"/>
                <w:b/>
                <w:bCs/>
                <w:szCs w:val="21"/>
              </w:rPr>
            </w:pPr>
            <w:r>
              <w:rPr>
                <w:rFonts w:hint="eastAsia" w:ascii="宋体" w:hAnsi="宋体"/>
                <w:b/>
                <w:bCs/>
                <w:szCs w:val="21"/>
              </w:rPr>
              <w:t>系统参数：</w:t>
            </w:r>
          </w:p>
          <w:p>
            <w:pPr>
              <w:rPr>
                <w:rFonts w:ascii="宋体" w:hAnsi="宋体"/>
                <w:szCs w:val="21"/>
              </w:rPr>
            </w:pPr>
            <w:r>
              <w:rPr>
                <w:rFonts w:hint="eastAsia" w:ascii="宋体" w:hAnsi="宋体"/>
                <w:szCs w:val="21"/>
              </w:rPr>
              <w:t>支持Magic5D等通用数字图文影视制作软件生成的组合动画模板导入，支持.asn .pef .plf等输入格式；支持3DMAX、MAYA等通用三维软件生成的三维场景模型的导入；</w:t>
            </w:r>
          </w:p>
          <w:p>
            <w:pPr>
              <w:jc w:val="left"/>
              <w:rPr>
                <w:rFonts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预监功能：可实时查看监控物理机位、</w:t>
            </w:r>
            <w:r>
              <w:rPr>
                <w:rFonts w:ascii="宋体" w:hAnsi="宋体"/>
                <w:color w:val="000000"/>
                <w:szCs w:val="21"/>
              </w:rPr>
              <w:t>虚拟</w:t>
            </w:r>
            <w:r>
              <w:rPr>
                <w:rFonts w:hint="eastAsia" w:ascii="宋体" w:hAnsi="宋体"/>
                <w:color w:val="000000"/>
                <w:szCs w:val="21"/>
              </w:rPr>
              <w:t>机位、本地视频、流媒体、</w:t>
            </w:r>
            <w:r>
              <w:rPr>
                <w:rFonts w:ascii="宋体" w:hAnsi="宋体"/>
                <w:color w:val="000000"/>
                <w:szCs w:val="21"/>
              </w:rPr>
              <w:t>外视频</w:t>
            </w:r>
            <w:r>
              <w:rPr>
                <w:rFonts w:hint="eastAsia" w:ascii="宋体" w:hAnsi="宋体"/>
                <w:color w:val="000000"/>
                <w:szCs w:val="21"/>
              </w:rPr>
              <w:t>等多路信号；</w:t>
            </w:r>
          </w:p>
          <w:p>
            <w:pPr>
              <w:jc w:val="left"/>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b/>
                <w:color w:val="FF0000"/>
                <w:szCs w:val="21"/>
              </w:rPr>
              <w:t>▲系统可支持模板化动画播出，可直接导入DESIGNER等通用动画编辑设计器生成的组合模板，模板包含字幕条、</w:t>
            </w:r>
            <w:r>
              <w:rPr>
                <w:rFonts w:ascii="宋体" w:hAnsi="宋体"/>
                <w:b/>
                <w:color w:val="FF0000"/>
                <w:szCs w:val="21"/>
              </w:rPr>
              <w:t>三维</w:t>
            </w:r>
            <w:r>
              <w:rPr>
                <w:rFonts w:hint="eastAsia" w:ascii="宋体" w:hAnsi="宋体"/>
                <w:b/>
                <w:color w:val="FF0000"/>
                <w:szCs w:val="21"/>
              </w:rPr>
              <w:t>物体、</w:t>
            </w:r>
            <w:r>
              <w:rPr>
                <w:rFonts w:ascii="宋体" w:hAnsi="宋体"/>
                <w:b/>
                <w:color w:val="FF0000"/>
                <w:szCs w:val="21"/>
              </w:rPr>
              <w:t>动画</w:t>
            </w:r>
            <w:r>
              <w:rPr>
                <w:rFonts w:hint="eastAsia" w:ascii="宋体" w:hAnsi="宋体"/>
                <w:b/>
                <w:color w:val="FF0000"/>
                <w:szCs w:val="21"/>
              </w:rPr>
              <w:t>等（以国家广电总局检测报告为准）</w:t>
            </w:r>
            <w:r>
              <w:rPr>
                <w:rFonts w:hint="eastAsia" w:ascii="宋体" w:hAnsi="宋体"/>
                <w:b/>
                <w:color w:val="000000"/>
                <w:szCs w:val="21"/>
              </w:rPr>
              <w:t>；</w:t>
            </w:r>
          </w:p>
          <w:p>
            <w:pPr>
              <w:jc w:val="left"/>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在播出的过程中，支持实时修改引出项实现实时修改文字内容；</w:t>
            </w:r>
          </w:p>
          <w:p>
            <w:pPr>
              <w:jc w:val="left"/>
              <w:rPr>
                <w:rFonts w:ascii="宋体" w:hAnsi="宋体"/>
                <w:color w:val="000000"/>
                <w:szCs w:val="21"/>
              </w:rPr>
            </w:pPr>
            <w:r>
              <w:rPr>
                <w:rFonts w:ascii="宋体" w:hAnsi="宋体"/>
                <w:color w:val="000000"/>
                <w:szCs w:val="21"/>
              </w:rPr>
              <w:t>4.</w:t>
            </w:r>
            <w:r>
              <w:rPr>
                <w:rFonts w:hint="eastAsia" w:ascii="宋体" w:hAnsi="宋体"/>
                <w:b/>
                <w:color w:val="FF0000"/>
                <w:szCs w:val="21"/>
              </w:rPr>
              <w:t>▲视频教学功能：支持虚拟大屏播放PPT、视频素材、</w:t>
            </w:r>
            <w:r>
              <w:rPr>
                <w:rFonts w:ascii="宋体" w:hAnsi="宋体"/>
                <w:b/>
                <w:color w:val="FF0000"/>
                <w:szCs w:val="21"/>
              </w:rPr>
              <w:t>动画</w:t>
            </w:r>
            <w:r>
              <w:rPr>
                <w:rFonts w:hint="eastAsia" w:ascii="宋体" w:hAnsi="宋体"/>
                <w:b/>
                <w:color w:val="FF0000"/>
                <w:szCs w:val="21"/>
              </w:rPr>
              <w:t>等教学资源，并可手动或自动控制PPT播放进度（以国家广电总局检测报告为准）</w:t>
            </w:r>
            <w:r>
              <w:rPr>
                <w:rFonts w:hint="eastAsia" w:ascii="宋体" w:hAnsi="宋体"/>
                <w:color w:val="000000"/>
                <w:szCs w:val="21"/>
              </w:rPr>
              <w:t>；</w:t>
            </w:r>
          </w:p>
          <w:p>
            <w:pPr>
              <w:jc w:val="left"/>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活动视频功能：支持虚拟场景中的任意面都可以进行视频的播放，可同时实现多路虚拟电视墙视频开窗；支持虚拟大屏飞出特效，可对飞出角度、</w:t>
            </w:r>
            <w:r>
              <w:rPr>
                <w:rFonts w:ascii="宋体" w:hAnsi="宋体"/>
                <w:szCs w:val="21"/>
              </w:rPr>
              <w:t>三维</w:t>
            </w:r>
            <w:r>
              <w:rPr>
                <w:rFonts w:hint="eastAsia" w:ascii="宋体" w:hAnsi="宋体"/>
                <w:szCs w:val="21"/>
              </w:rPr>
              <w:t>旋转、</w:t>
            </w:r>
            <w:r>
              <w:rPr>
                <w:rFonts w:ascii="宋体" w:hAnsi="宋体"/>
                <w:szCs w:val="21"/>
              </w:rPr>
              <w:t>飞出</w:t>
            </w:r>
            <w:r>
              <w:rPr>
                <w:rFonts w:hint="eastAsia" w:ascii="宋体" w:hAnsi="宋体"/>
                <w:szCs w:val="21"/>
              </w:rPr>
              <w:t>时长、半透明和Alpha遮挡等属性进行设置；</w:t>
            </w:r>
            <w:r>
              <w:rPr>
                <w:rFonts w:ascii="宋体" w:hAnsi="宋体"/>
                <w:szCs w:val="21"/>
              </w:rPr>
              <w:t>缩放</w:t>
            </w:r>
            <w:r>
              <w:rPr>
                <w:rFonts w:hint="eastAsia" w:ascii="宋体" w:hAnsi="宋体"/>
                <w:szCs w:val="21"/>
              </w:rPr>
              <w:t>过程中未出现爬行、闪烁等现象；</w:t>
            </w:r>
          </w:p>
          <w:p>
            <w:pPr>
              <w:jc w:val="left"/>
              <w:rPr>
                <w:rFonts w:ascii="宋体" w:hAnsi="宋体"/>
                <w:szCs w:val="21"/>
              </w:rPr>
            </w:pPr>
            <w:r>
              <w:rPr>
                <w:rFonts w:ascii="宋体" w:hAnsi="宋体"/>
                <w:szCs w:val="21"/>
              </w:rPr>
              <w:t>6.</w:t>
            </w:r>
            <w:r>
              <w:rPr>
                <w:rFonts w:hint="eastAsia" w:ascii="宋体" w:hAnsi="宋体"/>
                <w:szCs w:val="21"/>
              </w:rPr>
              <w:t xml:space="preserve"> 可实时嵌入内视频，支持4K、高清、标清视频播放，支持视频DVE特技，支持外视频输入；</w:t>
            </w:r>
          </w:p>
          <w:p>
            <w:pPr>
              <w:jc w:val="left"/>
              <w:rPr>
                <w:rFonts w:ascii="宋体" w:hAnsi="宋体"/>
                <w:color w:val="000000"/>
                <w:szCs w:val="21"/>
              </w:rPr>
            </w:pP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支持角标、栏目LOGO、字幕功能，能够实时添加2D</w:t>
            </w:r>
            <w:r>
              <w:rPr>
                <w:rFonts w:ascii="宋体" w:hAnsi="宋体"/>
                <w:color w:val="000000"/>
                <w:szCs w:val="21"/>
              </w:rPr>
              <w:t>/3D</w:t>
            </w:r>
            <w:r>
              <w:rPr>
                <w:rFonts w:hint="eastAsia" w:ascii="宋体" w:hAnsi="宋体"/>
                <w:color w:val="000000"/>
                <w:szCs w:val="21"/>
              </w:rPr>
              <w:t>文字，并能够控制游飞字幕的滚动，字幕条可实现纹理贴图；</w:t>
            </w:r>
          </w:p>
          <w:p>
            <w:pPr>
              <w:jc w:val="left"/>
              <w:rPr>
                <w:rFonts w:ascii="宋体" w:hAnsi="宋体"/>
                <w:color w:val="000000"/>
                <w:szCs w:val="21"/>
              </w:rPr>
            </w:pPr>
            <w:r>
              <w:rPr>
                <w:rFonts w:ascii="宋体" w:hAnsi="宋体"/>
                <w:color w:val="000000"/>
                <w:szCs w:val="21"/>
              </w:rPr>
              <w:t>8.</w:t>
            </w:r>
            <w:r>
              <w:rPr>
                <w:rFonts w:hint="eastAsia" w:ascii="宋体" w:hAnsi="宋体"/>
                <w:b/>
                <w:color w:val="FF0000"/>
                <w:szCs w:val="21"/>
              </w:rPr>
              <w:t>▲平面剪裁动态蓝箱功能：可实现360°动态无限蓝箱，可接受并响应摄像机的跟踪参数，在摄像机做360°旋转和变焦时，蓝箱之外的区域不进入取景范围（以国家广电总局检测报告为准）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9</w:t>
            </w:r>
            <w:r>
              <w:rPr>
                <w:rFonts w:ascii="宋体" w:hAnsi="宋体"/>
                <w:color w:val="000000"/>
                <w:szCs w:val="21"/>
              </w:rPr>
              <w:t>.</w:t>
            </w:r>
            <w:r>
              <w:rPr>
                <w:rFonts w:hint="eastAsia" w:ascii="宋体" w:hAnsi="宋体"/>
                <w:b/>
                <w:color w:val="FF0000"/>
                <w:szCs w:val="21"/>
              </w:rPr>
              <w:t>▲支持物理跟踪，能够跟踪摄像机的推拉摇移等运动，可实现前景主持人和虚拟场景同时运动，且图像平滑连续、不闪烁、无抖动、不撕裂、不拖尾、跟踪精度高速度快（以国家广电总局检测报告为准）；</w:t>
            </w:r>
          </w:p>
          <w:p>
            <w:pPr>
              <w:jc w:val="left"/>
              <w:rPr>
                <w:rFonts w:ascii="宋体" w:hAnsi="宋体"/>
                <w:color w:val="000000"/>
                <w:szCs w:val="21"/>
              </w:rPr>
            </w:pPr>
            <w:r>
              <w:rPr>
                <w:rFonts w:hint="eastAsia" w:ascii="宋体" w:hAnsi="宋体"/>
                <w:color w:val="000000"/>
                <w:szCs w:val="21"/>
              </w:rPr>
              <w:t>10</w:t>
            </w:r>
            <w:r>
              <w:rPr>
                <w:rFonts w:ascii="宋体" w:hAnsi="宋体"/>
                <w:color w:val="000000"/>
                <w:szCs w:val="21"/>
              </w:rPr>
              <w:t>.</w:t>
            </w:r>
            <w:r>
              <w:rPr>
                <w:rFonts w:hint="eastAsia" w:ascii="宋体" w:hAnsi="宋体"/>
                <w:b/>
                <w:color w:val="FF0000"/>
                <w:szCs w:val="21"/>
              </w:rPr>
              <w:t>▲独特的初始化定位功能，在机位移动后，跟踪状态仍然能够保持，无需调整初始化参数，无须测量，自适应初始化定位（以国家广电总局检测报告为准）；</w:t>
            </w:r>
          </w:p>
          <w:p>
            <w:pPr>
              <w:jc w:val="left"/>
              <w:rPr>
                <w:rFonts w:ascii="宋体" w:hAnsi="宋体"/>
                <w:color w:val="000000"/>
                <w:szCs w:val="21"/>
              </w:rPr>
            </w:pPr>
            <w:r>
              <w:rPr>
                <w:rFonts w:hint="eastAsia" w:ascii="宋体" w:hAnsi="宋体"/>
                <w:color w:val="000000"/>
                <w:szCs w:val="21"/>
              </w:rPr>
              <w:t>11</w:t>
            </w:r>
            <w:r>
              <w:rPr>
                <w:rFonts w:ascii="宋体" w:hAnsi="宋体"/>
                <w:color w:val="000000"/>
                <w:szCs w:val="21"/>
              </w:rPr>
              <w:t>.</w:t>
            </w:r>
            <w:r>
              <w:rPr>
                <w:rFonts w:hint="eastAsia" w:ascii="宋体" w:hAnsi="宋体"/>
                <w:color w:val="000000"/>
                <w:szCs w:val="21"/>
              </w:rPr>
              <w:t>跟踪精度：俯仰、平摇的角精度&lt;0.001°，变焦精度&lt;0.002°；摄像机反复运动后不会产生累计误差，各种移动跟踪精度不低于0.001度；</w:t>
            </w:r>
          </w:p>
          <w:p>
            <w:pPr>
              <w:jc w:val="left"/>
              <w:rPr>
                <w:rFonts w:ascii="宋体" w:hAnsi="宋体"/>
                <w:color w:val="000000"/>
                <w:szCs w:val="21"/>
              </w:rPr>
            </w:pPr>
            <w:r>
              <w:rPr>
                <w:rFonts w:hint="eastAsia" w:ascii="宋体" w:hAnsi="宋体"/>
                <w:color w:val="000000"/>
                <w:szCs w:val="21"/>
              </w:rPr>
              <w:t>12</w:t>
            </w:r>
            <w:r>
              <w:rPr>
                <w:rFonts w:ascii="宋体" w:hAnsi="宋体"/>
                <w:color w:val="000000"/>
                <w:szCs w:val="21"/>
              </w:rPr>
              <w:t>.</w:t>
            </w:r>
            <w:r>
              <w:rPr>
                <w:rFonts w:hint="eastAsia" w:ascii="宋体" w:hAnsi="宋体"/>
                <w:b/>
                <w:color w:val="FF0000"/>
                <w:szCs w:val="21"/>
              </w:rPr>
              <w:t>▲支持“自动景深识别</w:t>
            </w:r>
            <w:r>
              <w:rPr>
                <w:rFonts w:ascii="宋体" w:hAnsi="宋体"/>
                <w:b/>
                <w:color w:val="FF0000"/>
                <w:szCs w:val="21"/>
              </w:rPr>
              <w:t>”</w:t>
            </w:r>
            <w:r>
              <w:rPr>
                <w:rFonts w:hint="eastAsia" w:ascii="宋体" w:hAnsi="宋体"/>
                <w:b/>
                <w:color w:val="FF0000"/>
                <w:szCs w:val="21"/>
              </w:rPr>
              <w:t>功能，虚焦的程度可自行调节从而使拍出的画面主题突出，更加真实（以国家广电总局检测报告为准）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13</w:t>
            </w:r>
            <w:r>
              <w:rPr>
                <w:rFonts w:ascii="宋体" w:hAnsi="宋体"/>
                <w:color w:val="000000"/>
                <w:szCs w:val="21"/>
              </w:rPr>
              <w:t>.</w:t>
            </w:r>
            <w:r>
              <w:rPr>
                <w:rFonts w:hint="eastAsia" w:ascii="宋体" w:hAnsi="宋体"/>
                <w:color w:val="000000"/>
                <w:szCs w:val="21"/>
              </w:rPr>
              <w:t>独特的虚拟遮挡功能，可结合自动景深识别功能，实现主持人在虚拟场景、</w:t>
            </w:r>
            <w:r>
              <w:rPr>
                <w:rFonts w:ascii="宋体" w:hAnsi="宋体"/>
                <w:color w:val="000000"/>
                <w:szCs w:val="21"/>
              </w:rPr>
              <w:t>虚拟</w:t>
            </w:r>
            <w:r>
              <w:rPr>
                <w:rFonts w:hint="eastAsia" w:ascii="宋体" w:hAnsi="宋体"/>
                <w:color w:val="000000"/>
                <w:szCs w:val="21"/>
              </w:rPr>
              <w:t>物体中任意穿越；主持人在场景中拥有正确的遮挡关系，可实现手动和自动遮挡，使得三维虚拟演播室的应用更加真实、有层次感；</w:t>
            </w:r>
          </w:p>
          <w:p>
            <w:pPr>
              <w:jc w:val="left"/>
              <w:rPr>
                <w:rFonts w:ascii="宋体" w:hAnsi="宋体"/>
                <w:color w:val="000000"/>
                <w:szCs w:val="21"/>
              </w:rPr>
            </w:pPr>
            <w:r>
              <w:rPr>
                <w:rFonts w:ascii="宋体" w:hAnsi="宋体"/>
                <w:color w:val="000000"/>
                <w:szCs w:val="21"/>
              </w:rPr>
              <w:t>14.</w:t>
            </w:r>
            <w:r>
              <w:rPr>
                <w:rFonts w:hint="eastAsia" w:ascii="宋体" w:hAnsi="宋体"/>
                <w:color w:val="000000"/>
                <w:szCs w:val="21"/>
              </w:rPr>
              <w:t>关键帧动画编辑，可编辑所有物件表面的静态贴图和动态贴图，可设定三维物体的透明度、旋转角度和运动速度；</w:t>
            </w:r>
          </w:p>
          <w:p>
            <w:pPr>
              <w:jc w:val="left"/>
              <w:rPr>
                <w:rFonts w:ascii="宋体" w:hAnsi="宋体"/>
                <w:szCs w:val="21"/>
              </w:rPr>
            </w:pPr>
            <w:r>
              <w:rPr>
                <w:rFonts w:hint="eastAsia" w:ascii="宋体" w:hAnsi="宋体"/>
                <w:szCs w:val="21"/>
              </w:rPr>
              <w:t>15</w:t>
            </w:r>
            <w:r>
              <w:rPr>
                <w:rFonts w:ascii="宋体" w:hAnsi="宋体"/>
                <w:szCs w:val="21"/>
              </w:rPr>
              <w:t>.</w:t>
            </w:r>
            <w:r>
              <w:rPr>
                <w:rFonts w:hint="eastAsia" w:ascii="宋体" w:hAnsi="宋体"/>
                <w:szCs w:val="21"/>
              </w:rPr>
              <w:t>支持数字4</w:t>
            </w:r>
            <w:r>
              <w:rPr>
                <w:rFonts w:ascii="宋体" w:hAnsi="宋体"/>
                <w:szCs w:val="21"/>
              </w:rPr>
              <w:t>K/</w:t>
            </w:r>
            <w:r>
              <w:rPr>
                <w:rFonts w:hint="eastAsia" w:ascii="宋体" w:hAnsi="宋体"/>
                <w:szCs w:val="21"/>
              </w:rPr>
              <w:t>高</w:t>
            </w:r>
            <w:r>
              <w:rPr>
                <w:rFonts w:ascii="宋体" w:hAnsi="宋体"/>
                <w:szCs w:val="21"/>
              </w:rPr>
              <w:t>/</w:t>
            </w:r>
            <w:r>
              <w:rPr>
                <w:rFonts w:hint="eastAsia" w:ascii="宋体" w:hAnsi="宋体"/>
                <w:szCs w:val="21"/>
              </w:rPr>
              <w:t>标清SDI信号多路输入，支持数字4</w:t>
            </w:r>
            <w:r>
              <w:rPr>
                <w:rFonts w:ascii="宋体" w:hAnsi="宋体"/>
                <w:szCs w:val="21"/>
              </w:rPr>
              <w:t>K/</w:t>
            </w:r>
            <w:r>
              <w:rPr>
                <w:rFonts w:hint="eastAsia" w:ascii="宋体" w:hAnsi="宋体"/>
                <w:szCs w:val="21"/>
              </w:rPr>
              <w:t>高</w:t>
            </w:r>
            <w:r>
              <w:rPr>
                <w:rFonts w:ascii="宋体" w:hAnsi="宋体"/>
                <w:szCs w:val="21"/>
              </w:rPr>
              <w:t>/</w:t>
            </w:r>
            <w:r>
              <w:rPr>
                <w:rFonts w:hint="eastAsia" w:ascii="宋体" w:hAnsi="宋体"/>
                <w:szCs w:val="21"/>
              </w:rPr>
              <w:t>标清信号SDI输出, 支持4k、高清、标清画面实时渲染和输出,4</w:t>
            </w:r>
            <w:r>
              <w:rPr>
                <w:rFonts w:ascii="宋体" w:hAnsi="宋体"/>
                <w:szCs w:val="21"/>
              </w:rPr>
              <w:t>k</w:t>
            </w:r>
            <w:r>
              <w:rPr>
                <w:rFonts w:hint="eastAsia" w:ascii="宋体" w:hAnsi="宋体"/>
                <w:szCs w:val="21"/>
              </w:rPr>
              <w:t>制作，并向下兼容至高清、标清；支持HD/SD SDI、HDMI等视频信号接口；</w:t>
            </w:r>
          </w:p>
          <w:p>
            <w:pPr>
              <w:jc w:val="left"/>
              <w:rPr>
                <w:rFonts w:ascii="宋体" w:hAnsi="宋体"/>
                <w:szCs w:val="21"/>
              </w:rPr>
            </w:pPr>
            <w:r>
              <w:rPr>
                <w:rFonts w:ascii="宋体" w:hAnsi="宋体"/>
                <w:szCs w:val="21"/>
              </w:rPr>
              <w:t>16.</w:t>
            </w:r>
            <w:r>
              <w:rPr>
                <w:rFonts w:hint="eastAsia" w:ascii="宋体" w:hAnsi="宋体"/>
                <w:szCs w:val="21"/>
              </w:rPr>
              <w:t>真三维实时渲染引擎，基于场频广播级实时渲染图像输出，支持4</w:t>
            </w:r>
            <w:r>
              <w:rPr>
                <w:rFonts w:ascii="宋体" w:hAnsi="宋体"/>
                <w:szCs w:val="21"/>
              </w:rPr>
              <w:t>k</w:t>
            </w:r>
            <w:r>
              <w:rPr>
                <w:rFonts w:hint="eastAsia" w:ascii="宋体" w:hAnsi="宋体"/>
                <w:szCs w:val="21"/>
              </w:rPr>
              <w:t>、高清、标清画面实时渲染和输出，支持4</w:t>
            </w:r>
            <w:r>
              <w:rPr>
                <w:rFonts w:ascii="宋体" w:hAnsi="宋体"/>
                <w:szCs w:val="21"/>
              </w:rPr>
              <w:t>k</w:t>
            </w:r>
            <w:r>
              <w:rPr>
                <w:rFonts w:hint="eastAsia" w:ascii="宋体" w:hAnsi="宋体"/>
                <w:szCs w:val="21"/>
              </w:rPr>
              <w:t>、高、标清制式任意切换；</w:t>
            </w:r>
          </w:p>
          <w:p>
            <w:pPr>
              <w:jc w:val="left"/>
              <w:rPr>
                <w:rFonts w:ascii="宋体" w:hAnsi="宋体"/>
                <w:color w:val="000000"/>
                <w:szCs w:val="21"/>
              </w:rPr>
            </w:pPr>
            <w:r>
              <w:rPr>
                <w:rFonts w:ascii="宋体" w:hAnsi="宋体"/>
                <w:color w:val="000000"/>
                <w:szCs w:val="21"/>
              </w:rPr>
              <w:t>17.</w:t>
            </w:r>
            <w:r>
              <w:rPr>
                <w:rFonts w:hint="eastAsia" w:ascii="宋体" w:hAnsi="宋体"/>
                <w:color w:val="000000"/>
                <w:szCs w:val="21"/>
              </w:rPr>
              <w:t>灵活的播出方式，关键帧播放列表可按照顺序进行播出，实现多元化的播出效果；</w:t>
            </w:r>
          </w:p>
          <w:p>
            <w:pPr>
              <w:jc w:val="left"/>
              <w:rPr>
                <w:rFonts w:ascii="宋体" w:hAnsi="宋体"/>
                <w:color w:val="000000"/>
                <w:szCs w:val="21"/>
              </w:rPr>
            </w:pPr>
            <w:r>
              <w:rPr>
                <w:rFonts w:ascii="宋体" w:hAnsi="宋体"/>
                <w:color w:val="000000"/>
                <w:szCs w:val="21"/>
              </w:rPr>
              <w:t>18.</w:t>
            </w:r>
            <w:r>
              <w:rPr>
                <w:rFonts w:hint="eastAsia" w:ascii="宋体" w:hAnsi="宋体"/>
                <w:color w:val="000000"/>
                <w:szCs w:val="21"/>
              </w:rPr>
              <w:t>支持外接摄像机TALLY信号，当切换物理机位时相对应的摄像机会亮红灯分别给主持人、摄像和导播室予以提示；</w:t>
            </w:r>
          </w:p>
          <w:p>
            <w:pPr>
              <w:jc w:val="left"/>
              <w:rPr>
                <w:rFonts w:ascii="宋体" w:hAnsi="宋体"/>
                <w:color w:val="000000"/>
                <w:szCs w:val="21"/>
              </w:rPr>
            </w:pPr>
            <w:r>
              <w:rPr>
                <w:rFonts w:hint="eastAsia" w:ascii="宋体" w:hAnsi="宋体"/>
                <w:color w:val="000000"/>
                <w:szCs w:val="21"/>
              </w:rPr>
              <w:t>19</w:t>
            </w:r>
            <w:r>
              <w:rPr>
                <w:rFonts w:ascii="宋体" w:hAnsi="宋体"/>
                <w:color w:val="000000"/>
                <w:szCs w:val="21"/>
              </w:rPr>
              <w:t>.</w:t>
            </w:r>
            <w:r>
              <w:rPr>
                <w:rFonts w:hint="eastAsia" w:ascii="宋体" w:hAnsi="宋体"/>
                <w:color w:val="000000"/>
                <w:szCs w:val="21"/>
              </w:rPr>
              <w:t>抗锯齿功能，可以有效的消除场景中多边形结合处（特别是较小的多边形间组合中）的错位现象，降低图像的失真度，保证广播级输出效果；</w:t>
            </w:r>
          </w:p>
          <w:p>
            <w:pPr>
              <w:jc w:val="left"/>
              <w:rPr>
                <w:rFonts w:ascii="宋体" w:hAnsi="宋体"/>
                <w:color w:val="000000"/>
                <w:szCs w:val="21"/>
              </w:rPr>
            </w:pPr>
            <w:r>
              <w:rPr>
                <w:rFonts w:ascii="宋体" w:hAnsi="宋体"/>
                <w:color w:val="000000"/>
                <w:szCs w:val="21"/>
              </w:rPr>
              <w:t>20.</w:t>
            </w:r>
            <w:r>
              <w:rPr>
                <w:rFonts w:hint="eastAsia" w:ascii="宋体" w:hAnsi="宋体"/>
                <w:b/>
                <w:color w:val="FF0000"/>
                <w:szCs w:val="21"/>
              </w:rPr>
              <w:t>▲支持动画设计器支持骨骼动画及蒙皮技术；（以国家广电总局检测报告为准）</w:t>
            </w:r>
          </w:p>
          <w:p>
            <w:pPr>
              <w:jc w:val="left"/>
              <w:rPr>
                <w:rFonts w:ascii="宋体" w:hAnsi="宋体"/>
                <w:color w:val="000000"/>
                <w:szCs w:val="21"/>
              </w:rPr>
            </w:pPr>
            <w:r>
              <w:rPr>
                <w:rFonts w:ascii="宋体" w:hAnsi="宋体"/>
                <w:color w:val="000000"/>
                <w:szCs w:val="21"/>
              </w:rPr>
              <w:t>21.</w:t>
            </w:r>
            <w:r>
              <w:rPr>
                <w:rFonts w:hint="eastAsia" w:ascii="宋体" w:hAnsi="宋体"/>
                <w:b/>
                <w:color w:val="FF0000"/>
                <w:szCs w:val="21"/>
              </w:rPr>
              <w:t>▲支持动捕系统实时数据；（以国家广电总局检测报告为准）</w:t>
            </w:r>
          </w:p>
          <w:p>
            <w:pPr>
              <w:rPr>
                <w:rFonts w:ascii="宋体" w:hAnsi="宋体"/>
                <w:szCs w:val="21"/>
              </w:rPr>
            </w:pPr>
            <w:r>
              <w:rPr>
                <w:rFonts w:hint="eastAsia" w:ascii="宋体" w:hAnsi="宋体"/>
                <w:color w:val="000000"/>
                <w:szCs w:val="21"/>
              </w:rPr>
              <w:t>22</w:t>
            </w:r>
            <w:r>
              <w:rPr>
                <w:rFonts w:ascii="宋体" w:hAnsi="宋体"/>
                <w:color w:val="000000"/>
                <w:szCs w:val="21"/>
              </w:rPr>
              <w:t>.</w:t>
            </w:r>
            <w:r>
              <w:rPr>
                <w:rFonts w:hint="eastAsia" w:ascii="宋体" w:hAnsi="宋体"/>
                <w:color w:val="000000"/>
                <w:szCs w:val="21"/>
              </w:rPr>
              <w:t xml:space="preserve"> </w:t>
            </w:r>
            <w:r>
              <w:rPr>
                <w:rFonts w:hint="eastAsia" w:ascii="宋体" w:hAnsi="宋体"/>
                <w:b/>
                <w:bCs/>
                <w:color w:val="FF0000"/>
                <w:szCs w:val="21"/>
              </w:rPr>
              <w:t>虚拟演播室系统须提供国家版权局颁发的计算机软件著作权登记证书；</w:t>
            </w:r>
          </w:p>
          <w:p>
            <w:pPr>
              <w:jc w:val="left"/>
              <w:rPr>
                <w:rFonts w:ascii="宋体" w:hAnsi="宋体"/>
                <w:color w:val="000000"/>
                <w:szCs w:val="21"/>
              </w:rPr>
            </w:pPr>
            <w:r>
              <w:rPr>
                <w:rFonts w:hint="eastAsia" w:ascii="宋体" w:hAnsi="宋体"/>
                <w:szCs w:val="21"/>
              </w:rPr>
              <w:t>2</w:t>
            </w:r>
            <w:r>
              <w:rPr>
                <w:rFonts w:ascii="宋体" w:hAnsi="宋体"/>
                <w:szCs w:val="21"/>
              </w:rPr>
              <w:t xml:space="preserve">3. </w:t>
            </w:r>
            <w:r>
              <w:rPr>
                <w:rFonts w:hint="eastAsia" w:ascii="宋体" w:hAnsi="宋体"/>
                <w:b/>
                <w:color w:val="FF0000"/>
                <w:szCs w:val="21"/>
              </w:rPr>
              <w:t>相关产品标注以国家广电总局检测报告为准功能，</w:t>
            </w:r>
            <w:r>
              <w:rPr>
                <w:rFonts w:hint="eastAsia" w:ascii="宋体" w:hAnsi="宋体"/>
                <w:b/>
                <w:bCs/>
                <w:color w:val="FF0000"/>
                <w:szCs w:val="21"/>
              </w:rPr>
              <w:t>须提</w:t>
            </w:r>
            <w:r>
              <w:rPr>
                <w:rFonts w:hint="eastAsia" w:ascii="宋体" w:hAnsi="宋体"/>
                <w:b/>
                <w:color w:val="FF0000"/>
                <w:szCs w:val="21"/>
              </w:rPr>
              <w:t>供该功能国家广电总局检测报告复印件并加盖原厂公章。产品由第三方制造商供应的，需出具制造商授权函，同时提供该功能国家广电总局检测报告复印件并加盖原厂公章；</w:t>
            </w:r>
          </w:p>
          <w:p>
            <w:pPr>
              <w:rPr>
                <w:rFonts w:ascii="宋体" w:hAnsi="宋体"/>
                <w:b/>
                <w:szCs w:val="21"/>
              </w:rPr>
            </w:pPr>
            <w:r>
              <w:rPr>
                <w:rFonts w:hint="eastAsia" w:ascii="宋体" w:hAnsi="宋体"/>
                <w:b/>
                <w:szCs w:val="21"/>
              </w:rPr>
              <w:t>虚拟演播室系统软件应具有模块如下:</w:t>
            </w:r>
          </w:p>
          <w:p>
            <w:pPr>
              <w:widowControl/>
              <w:rPr>
                <w:rFonts w:ascii="宋体" w:hAnsi="宋体" w:cs="宋体"/>
                <w:kern w:val="0"/>
                <w:szCs w:val="21"/>
              </w:rPr>
            </w:pPr>
            <w:r>
              <w:rPr>
                <w:rFonts w:hint="eastAsia" w:ascii="宋体" w:hAnsi="宋体" w:cs="宋体"/>
                <w:kern w:val="0"/>
                <w:szCs w:val="21"/>
              </w:rPr>
              <w:t>1.业内顶级的内置抠像系统；</w:t>
            </w:r>
          </w:p>
          <w:p>
            <w:pPr>
              <w:rPr>
                <w:rFonts w:ascii="宋体" w:hAnsi="宋体"/>
                <w:szCs w:val="21"/>
              </w:rPr>
            </w:pPr>
            <w:r>
              <w:rPr>
                <w:rFonts w:hint="eastAsia" w:ascii="宋体" w:hAnsi="宋体"/>
                <w:szCs w:val="21"/>
              </w:rPr>
              <w:t>1.1支持手动和自动抠像，能调整色键参数，画面平滑，不偏色，边缘自然、</w:t>
            </w:r>
            <w:r>
              <w:rPr>
                <w:rFonts w:ascii="宋体" w:hAnsi="宋体"/>
                <w:szCs w:val="21"/>
              </w:rPr>
              <w:t>清晰</w:t>
            </w:r>
            <w:r>
              <w:rPr>
                <w:rFonts w:hint="eastAsia" w:ascii="宋体" w:hAnsi="宋体"/>
                <w:szCs w:val="21"/>
              </w:rPr>
              <w:t>、</w:t>
            </w:r>
            <w:r>
              <w:rPr>
                <w:rFonts w:ascii="宋体" w:hAnsi="宋体"/>
                <w:szCs w:val="21"/>
              </w:rPr>
              <w:t>柔和</w:t>
            </w:r>
            <w:r>
              <w:rPr>
                <w:rFonts w:hint="eastAsia" w:ascii="宋体" w:hAnsi="宋体"/>
                <w:szCs w:val="21"/>
              </w:rPr>
              <w:t>、无闪烁、无镶边，可实现对头发丝、烟雾、半透明物体的顶级抠像效果；</w:t>
            </w:r>
          </w:p>
          <w:p>
            <w:pPr>
              <w:rPr>
                <w:rFonts w:ascii="宋体" w:hAnsi="宋体"/>
                <w:color w:val="000000"/>
                <w:szCs w:val="21"/>
              </w:rPr>
            </w:pPr>
            <w:r>
              <w:rPr>
                <w:rFonts w:hint="eastAsia" w:ascii="宋体" w:hAnsi="宋体"/>
                <w:color w:val="000000"/>
                <w:szCs w:val="21"/>
              </w:rPr>
              <w:t>▲</w:t>
            </w:r>
            <w:r>
              <w:rPr>
                <w:rFonts w:hint="eastAsia" w:ascii="宋体" w:hAnsi="宋体"/>
                <w:b/>
                <w:color w:val="FF0000"/>
                <w:szCs w:val="21"/>
              </w:rPr>
              <w:t>1.2支持区域屏蔽功能：可以对军人资历章中的任意色块进行处理,保证资历章中的所有颜色都能正确还原，保证资历章不串色、不穿透、不闪烁、不失真；（以国家广电总局检测报告为准）</w:t>
            </w:r>
          </w:p>
          <w:p>
            <w:pPr>
              <w:widowControl/>
              <w:rPr>
                <w:rFonts w:ascii="宋体" w:hAnsi="宋体"/>
                <w:szCs w:val="21"/>
              </w:rPr>
            </w:pPr>
            <w:r>
              <w:rPr>
                <w:rFonts w:hint="eastAsia" w:ascii="宋体" w:hAnsi="宋体"/>
                <w:szCs w:val="21"/>
              </w:rPr>
              <w:t>1.3抠像区域屏蔽功能可对屏蔽范围内也可对非屏蔽范围不抠像从而灵活的调整抠像与不抠像范围；</w:t>
            </w:r>
          </w:p>
          <w:p>
            <w:pPr>
              <w:rPr>
                <w:rFonts w:ascii="宋体" w:hAnsi="宋体"/>
                <w:szCs w:val="21"/>
              </w:rPr>
            </w:pPr>
            <w:r>
              <w:rPr>
                <w:rFonts w:hint="eastAsia" w:ascii="宋体" w:hAnsi="宋体"/>
                <w:szCs w:val="21"/>
              </w:rPr>
              <w:t>2. 内置调音台</w:t>
            </w:r>
          </w:p>
          <w:p>
            <w:pPr>
              <w:rPr>
                <w:rFonts w:ascii="宋体" w:hAnsi="宋体"/>
                <w:szCs w:val="21"/>
              </w:rPr>
            </w:pPr>
            <w:r>
              <w:rPr>
                <w:rFonts w:hint="eastAsia" w:ascii="宋体" w:hAnsi="宋体"/>
                <w:szCs w:val="21"/>
              </w:rPr>
              <w:t>2.1可调节音量大小、左右声道均衡；</w:t>
            </w:r>
          </w:p>
          <w:p>
            <w:pPr>
              <w:rPr>
                <w:rFonts w:ascii="宋体" w:hAnsi="宋体"/>
                <w:szCs w:val="21"/>
              </w:rPr>
            </w:pPr>
            <w:r>
              <w:rPr>
                <w:rFonts w:hint="eastAsia" w:ascii="宋体" w:hAnsi="宋体"/>
                <w:szCs w:val="21"/>
              </w:rPr>
              <w:t>2.2可调节主板麦克风、</w:t>
            </w:r>
            <w:r>
              <w:rPr>
                <w:rFonts w:ascii="宋体" w:hAnsi="宋体"/>
                <w:szCs w:val="21"/>
              </w:rPr>
              <w:t>外</w:t>
            </w:r>
            <w:r>
              <w:rPr>
                <w:rFonts w:hint="eastAsia" w:ascii="宋体" w:hAnsi="宋体"/>
                <w:szCs w:val="21"/>
              </w:rPr>
              <w:t>视频、</w:t>
            </w:r>
            <w:r>
              <w:rPr>
                <w:rFonts w:ascii="宋体" w:hAnsi="宋体"/>
                <w:szCs w:val="21"/>
              </w:rPr>
              <w:t>摄像机</w:t>
            </w:r>
            <w:r>
              <w:rPr>
                <w:rFonts w:hint="eastAsia" w:ascii="宋体" w:hAnsi="宋体"/>
                <w:szCs w:val="21"/>
              </w:rPr>
              <w:t>前景的嵌入音频；</w:t>
            </w:r>
          </w:p>
          <w:p>
            <w:pPr>
              <w:rPr>
                <w:rFonts w:ascii="宋体" w:hAnsi="宋体"/>
                <w:szCs w:val="21"/>
              </w:rPr>
            </w:pPr>
            <w:r>
              <w:rPr>
                <w:rFonts w:hint="eastAsia" w:ascii="宋体" w:hAnsi="宋体"/>
                <w:szCs w:val="21"/>
              </w:rPr>
              <w:t>2.3支持主板声卡输出、</w:t>
            </w:r>
            <w:r>
              <w:rPr>
                <w:rFonts w:ascii="宋体" w:hAnsi="宋体"/>
                <w:szCs w:val="21"/>
              </w:rPr>
              <w:t>SDI</w:t>
            </w:r>
            <w:r>
              <w:rPr>
                <w:rFonts w:hint="eastAsia" w:ascii="宋体" w:hAnsi="宋体"/>
                <w:szCs w:val="21"/>
              </w:rPr>
              <w:t>嵌入输出；</w:t>
            </w:r>
          </w:p>
          <w:p>
            <w:pPr>
              <w:rPr>
                <w:rFonts w:ascii="宋体" w:hAnsi="宋体"/>
                <w:szCs w:val="21"/>
              </w:rPr>
            </w:pPr>
            <w:r>
              <w:rPr>
                <w:rFonts w:hint="eastAsia" w:ascii="宋体" w:hAnsi="宋体"/>
                <w:szCs w:val="21"/>
              </w:rPr>
              <w:t>2.4集成音频延时功能；</w:t>
            </w:r>
          </w:p>
          <w:p>
            <w:pPr>
              <w:rPr>
                <w:rFonts w:ascii="宋体" w:hAnsi="宋体"/>
                <w:szCs w:val="21"/>
              </w:rPr>
            </w:pPr>
            <w:r>
              <w:rPr>
                <w:rFonts w:hint="eastAsia" w:ascii="宋体" w:hAnsi="宋体"/>
                <w:szCs w:val="21"/>
              </w:rPr>
              <w:t>3. 内置特技切换台</w:t>
            </w:r>
          </w:p>
          <w:p>
            <w:pPr>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支持PGM</w:t>
            </w:r>
            <w:r>
              <w:rPr>
                <w:rFonts w:ascii="宋体" w:hAnsi="宋体"/>
                <w:szCs w:val="21"/>
              </w:rPr>
              <w:t>/</w:t>
            </w:r>
            <w:r>
              <w:rPr>
                <w:rFonts w:hint="eastAsia" w:ascii="宋体" w:hAnsi="宋体"/>
                <w:szCs w:val="21"/>
              </w:rPr>
              <w:t>PVW两通道切换及预览；</w:t>
            </w:r>
          </w:p>
          <w:p>
            <w:pPr>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支持2路物理机位切换，</w:t>
            </w:r>
            <w:r>
              <w:rPr>
                <w:rFonts w:ascii="宋体" w:hAnsi="宋体"/>
                <w:szCs w:val="21"/>
              </w:rPr>
              <w:t>可扩展</w:t>
            </w:r>
            <w:r>
              <w:rPr>
                <w:rFonts w:hint="eastAsia" w:ascii="宋体" w:hAnsi="宋体"/>
                <w:szCs w:val="21"/>
              </w:rPr>
              <w:t>至4路；</w:t>
            </w:r>
          </w:p>
          <w:p>
            <w:pPr>
              <w:rPr>
                <w:rFonts w:ascii="宋体" w:hAnsi="宋体"/>
                <w:szCs w:val="21"/>
              </w:rPr>
            </w:pPr>
            <w:r>
              <w:rPr>
                <w:rFonts w:hint="eastAsia" w:ascii="宋体" w:hAnsi="宋体"/>
                <w:szCs w:val="21"/>
              </w:rPr>
              <w:t>3</w:t>
            </w:r>
            <w:r>
              <w:rPr>
                <w:rFonts w:ascii="宋体" w:hAnsi="宋体"/>
                <w:szCs w:val="21"/>
              </w:rPr>
              <w:t>.3</w:t>
            </w:r>
            <w:r>
              <w:rPr>
                <w:rFonts w:hint="eastAsia" w:ascii="宋体" w:hAnsi="宋体"/>
                <w:szCs w:val="21"/>
              </w:rPr>
              <w:t>每个物理机位可支持任意无上限虚拟机位；</w:t>
            </w:r>
          </w:p>
          <w:p>
            <w:pPr>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支持物理机位、虚拟相机、外视频、本地视频以及流媒体视频进行硬切、特技切换、</w:t>
            </w:r>
            <w:r>
              <w:rPr>
                <w:rFonts w:ascii="宋体" w:hAnsi="宋体"/>
                <w:szCs w:val="21"/>
              </w:rPr>
              <w:t>基于</w:t>
            </w:r>
            <w:r>
              <w:rPr>
                <w:rFonts w:hint="eastAsia" w:ascii="宋体" w:hAnsi="宋体"/>
                <w:szCs w:val="21"/>
              </w:rPr>
              <w:t>动画轨迹的特技切换；</w:t>
            </w:r>
          </w:p>
          <w:p>
            <w:pPr>
              <w:rPr>
                <w:rFonts w:ascii="宋体" w:hAnsi="宋体"/>
                <w:szCs w:val="21"/>
              </w:rPr>
            </w:pPr>
            <w:r>
              <w:rPr>
                <w:rFonts w:ascii="宋体" w:hAnsi="宋体"/>
                <w:szCs w:val="21"/>
              </w:rPr>
              <w:t>4</w:t>
            </w:r>
            <w:r>
              <w:rPr>
                <w:rFonts w:hint="eastAsia" w:ascii="宋体" w:hAnsi="宋体"/>
                <w:szCs w:val="21"/>
              </w:rPr>
              <w:t>. 内置三维虚拟跟踪</w:t>
            </w:r>
          </w:p>
          <w:p>
            <w:pPr>
              <w:rPr>
                <w:rFonts w:ascii="宋体" w:hAnsi="宋体"/>
                <w:color w:val="000000"/>
                <w:szCs w:val="21"/>
              </w:rPr>
            </w:pPr>
            <w:r>
              <w:rPr>
                <w:rFonts w:hint="eastAsia" w:ascii="宋体" w:hAnsi="宋体"/>
                <w:color w:val="000000"/>
                <w:szCs w:val="21"/>
              </w:rPr>
              <w:t>▲</w:t>
            </w:r>
            <w:r>
              <w:rPr>
                <w:rFonts w:hint="eastAsia" w:ascii="宋体" w:hAnsi="宋体"/>
                <w:szCs w:val="21"/>
              </w:rPr>
              <w:t>4</w:t>
            </w:r>
            <w:r>
              <w:rPr>
                <w:rFonts w:ascii="宋体" w:hAnsi="宋体"/>
                <w:szCs w:val="21"/>
              </w:rPr>
              <w:t>.1</w:t>
            </w:r>
            <w:r>
              <w:rPr>
                <w:rFonts w:hint="eastAsia" w:ascii="宋体" w:hAnsi="宋体"/>
                <w:b/>
                <w:color w:val="FF0000"/>
                <w:szCs w:val="21"/>
              </w:rPr>
              <w:t>支持虚拟摇臂功能，在物理摄像机</w:t>
            </w:r>
            <w:r>
              <w:rPr>
                <w:rFonts w:ascii="宋体" w:hAnsi="宋体"/>
                <w:b/>
                <w:color w:val="FF0000"/>
                <w:szCs w:val="21"/>
              </w:rPr>
              <w:t>不动</w:t>
            </w:r>
            <w:r>
              <w:rPr>
                <w:rFonts w:hint="eastAsia" w:ascii="宋体" w:hAnsi="宋体"/>
                <w:b/>
                <w:color w:val="FF0000"/>
                <w:szCs w:val="21"/>
              </w:rPr>
              <w:t>的情况下可实现无轨跟踪，</w:t>
            </w:r>
            <w:r>
              <w:rPr>
                <w:rFonts w:ascii="宋体" w:hAnsi="宋体"/>
                <w:b/>
                <w:color w:val="FF0000"/>
                <w:szCs w:val="21"/>
              </w:rPr>
              <w:t>可</w:t>
            </w:r>
            <w:r>
              <w:rPr>
                <w:rFonts w:hint="eastAsia" w:ascii="宋体" w:hAnsi="宋体"/>
                <w:b/>
                <w:color w:val="FF0000"/>
                <w:szCs w:val="21"/>
              </w:rPr>
              <w:t>根据任意轨迹控制虚拟相机的推、</w:t>
            </w:r>
            <w:r>
              <w:rPr>
                <w:rFonts w:ascii="宋体" w:hAnsi="宋体"/>
                <w:b/>
                <w:color w:val="FF0000"/>
                <w:szCs w:val="21"/>
              </w:rPr>
              <w:t>拉</w:t>
            </w:r>
            <w:r>
              <w:rPr>
                <w:rFonts w:hint="eastAsia" w:ascii="宋体" w:hAnsi="宋体"/>
                <w:b/>
                <w:color w:val="FF0000"/>
                <w:szCs w:val="21"/>
              </w:rPr>
              <w:t>、</w:t>
            </w:r>
            <w:r>
              <w:rPr>
                <w:rFonts w:ascii="宋体" w:hAnsi="宋体"/>
                <w:b/>
                <w:color w:val="FF0000"/>
                <w:szCs w:val="21"/>
              </w:rPr>
              <w:t>摇</w:t>
            </w:r>
            <w:r>
              <w:rPr>
                <w:rFonts w:hint="eastAsia" w:ascii="宋体" w:hAnsi="宋体"/>
                <w:b/>
                <w:color w:val="FF0000"/>
                <w:szCs w:val="21"/>
              </w:rPr>
              <w:t>、</w:t>
            </w:r>
            <w:r>
              <w:rPr>
                <w:rFonts w:ascii="宋体" w:hAnsi="宋体"/>
                <w:b/>
                <w:color w:val="FF0000"/>
                <w:szCs w:val="21"/>
              </w:rPr>
              <w:t>移</w:t>
            </w:r>
            <w:r>
              <w:rPr>
                <w:rFonts w:hint="eastAsia" w:ascii="宋体" w:hAnsi="宋体"/>
                <w:b/>
                <w:color w:val="FF0000"/>
                <w:szCs w:val="21"/>
              </w:rPr>
              <w:t>；（以国家广电总局检测报告为准）</w:t>
            </w:r>
          </w:p>
          <w:p>
            <w:pPr>
              <w:rPr>
                <w:rFonts w:ascii="宋体" w:hAnsi="宋体"/>
                <w:color w:val="000000"/>
                <w:szCs w:val="21"/>
              </w:rPr>
            </w:pPr>
            <w:r>
              <w:rPr>
                <w:rFonts w:hint="eastAsia" w:ascii="宋体" w:hAnsi="宋体"/>
                <w:szCs w:val="21"/>
              </w:rPr>
              <w:t>4</w:t>
            </w:r>
            <w:r>
              <w:rPr>
                <w:rFonts w:ascii="宋体" w:hAnsi="宋体"/>
                <w:szCs w:val="21"/>
              </w:rPr>
              <w:t>.2</w:t>
            </w:r>
            <w:r>
              <w:rPr>
                <w:rFonts w:hint="eastAsia" w:ascii="宋体" w:hAnsi="宋体"/>
                <w:szCs w:val="21"/>
              </w:rPr>
              <w:t>虚拟摄像机运动过程中，</w:t>
            </w:r>
            <w:r>
              <w:rPr>
                <w:rFonts w:ascii="宋体" w:hAnsi="宋体"/>
                <w:szCs w:val="21"/>
              </w:rPr>
              <w:t>拍摄</w:t>
            </w:r>
            <w:r>
              <w:rPr>
                <w:rFonts w:hint="eastAsia" w:ascii="宋体" w:hAnsi="宋体"/>
                <w:szCs w:val="21"/>
              </w:rPr>
              <w:t>的前景定位准确，无过渡痕迹，</w:t>
            </w:r>
            <w:r>
              <w:rPr>
                <w:rFonts w:ascii="宋体" w:hAnsi="宋体"/>
                <w:szCs w:val="21"/>
              </w:rPr>
              <w:t>与</w:t>
            </w:r>
            <w:r>
              <w:rPr>
                <w:rFonts w:hint="eastAsia" w:ascii="宋体" w:hAnsi="宋体"/>
                <w:szCs w:val="21"/>
              </w:rPr>
              <w:t>虚拟空间融为一体，</w:t>
            </w:r>
            <w:r>
              <w:rPr>
                <w:rFonts w:ascii="宋体" w:hAnsi="宋体"/>
                <w:szCs w:val="21"/>
              </w:rPr>
              <w:t>前景</w:t>
            </w:r>
            <w:r>
              <w:rPr>
                <w:rFonts w:hint="eastAsia" w:ascii="宋体" w:hAnsi="宋体"/>
                <w:szCs w:val="21"/>
              </w:rPr>
              <w:t>画面清晰；</w:t>
            </w:r>
            <w:r>
              <w:rPr>
                <w:rFonts w:ascii="宋体" w:hAnsi="宋体"/>
                <w:color w:val="000000"/>
                <w:szCs w:val="21"/>
              </w:rPr>
              <w:t xml:space="preserve"> </w:t>
            </w:r>
          </w:p>
          <w:p>
            <w:pPr>
              <w:rPr>
                <w:rFonts w:ascii="宋体" w:hAnsi="宋体"/>
                <w:color w:val="000000"/>
                <w:szCs w:val="21"/>
              </w:rPr>
            </w:pPr>
            <w:r>
              <w:rPr>
                <w:rFonts w:hint="eastAsia" w:ascii="宋体" w:hAnsi="宋体" w:cs="宋体"/>
                <w:color w:val="000000"/>
                <w:szCs w:val="21"/>
              </w:rPr>
              <w:t>4</w:t>
            </w:r>
            <w:r>
              <w:rPr>
                <w:rFonts w:ascii="宋体" w:hAnsi="宋体" w:cs="宋体"/>
                <w:color w:val="000000"/>
                <w:szCs w:val="21"/>
              </w:rPr>
              <w:t>.3</w:t>
            </w:r>
            <w:r>
              <w:rPr>
                <w:rFonts w:hint="eastAsia" w:ascii="宋体" w:hAnsi="宋体" w:cs="宋体"/>
                <w:color w:val="000000"/>
                <w:szCs w:val="21"/>
              </w:rPr>
              <w:t>支持虚拟摄像机旋转效果的运动轨迹设置；</w:t>
            </w:r>
            <w:r>
              <w:rPr>
                <w:rFonts w:ascii="宋体" w:hAnsi="宋体"/>
                <w:color w:val="000000"/>
                <w:szCs w:val="21"/>
              </w:rPr>
              <w:t xml:space="preserve"> </w:t>
            </w:r>
          </w:p>
          <w:p>
            <w:pPr>
              <w:rPr>
                <w:rFonts w:ascii="宋体" w:hAnsi="宋体"/>
                <w:color w:val="000000"/>
                <w:szCs w:val="21"/>
              </w:rPr>
            </w:pPr>
            <w:r>
              <w:rPr>
                <w:rFonts w:hint="eastAsia" w:ascii="宋体" w:hAnsi="宋体"/>
                <w:szCs w:val="21"/>
              </w:rPr>
              <w:t>4</w:t>
            </w:r>
            <w:r>
              <w:rPr>
                <w:rFonts w:ascii="宋体" w:hAnsi="宋体"/>
                <w:szCs w:val="21"/>
              </w:rPr>
              <w:t>.4</w:t>
            </w:r>
            <w:r>
              <w:rPr>
                <w:rFonts w:hint="eastAsia" w:ascii="宋体" w:hAnsi="宋体"/>
                <w:szCs w:val="21"/>
              </w:rPr>
              <w:t>支持虚拟摄像机的机位运动，通过一台物理像机，</w:t>
            </w:r>
            <w:r>
              <w:rPr>
                <w:rFonts w:ascii="宋体" w:hAnsi="宋体"/>
                <w:szCs w:val="21"/>
              </w:rPr>
              <w:t>可</w:t>
            </w:r>
            <w:r>
              <w:rPr>
                <w:rFonts w:hint="eastAsia" w:ascii="宋体" w:hAnsi="宋体"/>
                <w:szCs w:val="21"/>
              </w:rPr>
              <w:t>实现多个不同景别的多机位现场切换的节目制作效果；</w:t>
            </w:r>
            <w:r>
              <w:rPr>
                <w:rFonts w:ascii="宋体" w:hAnsi="宋体"/>
                <w:color w:val="000000"/>
                <w:szCs w:val="21"/>
              </w:rPr>
              <w:t xml:space="preserve"> </w:t>
            </w:r>
          </w:p>
          <w:p>
            <w:pPr>
              <w:rPr>
                <w:rFonts w:ascii="宋体" w:hAnsi="宋体"/>
                <w:szCs w:val="21"/>
              </w:rPr>
            </w:pPr>
            <w:r>
              <w:rPr>
                <w:rFonts w:ascii="宋体" w:hAnsi="宋体"/>
                <w:szCs w:val="21"/>
              </w:rPr>
              <w:t>5</w:t>
            </w:r>
            <w:r>
              <w:rPr>
                <w:rFonts w:hint="eastAsia" w:ascii="宋体" w:hAnsi="宋体"/>
                <w:szCs w:val="21"/>
              </w:rPr>
              <w:t>. 内置流媒体推送</w:t>
            </w:r>
          </w:p>
          <w:p>
            <w:pPr>
              <w:widowControl/>
              <w:rPr>
                <w:rFonts w:ascii="宋体" w:hAnsi="宋体"/>
                <w:szCs w:val="21"/>
              </w:rPr>
            </w:pPr>
            <w:r>
              <w:rPr>
                <w:rFonts w:hint="eastAsia" w:ascii="宋体" w:hAnsi="宋体"/>
                <w:szCs w:val="21"/>
              </w:rPr>
              <w:t>5</w:t>
            </w:r>
            <w:r>
              <w:rPr>
                <w:rFonts w:ascii="宋体" w:hAnsi="宋体"/>
                <w:szCs w:val="21"/>
              </w:rPr>
              <w:t>.1</w:t>
            </w:r>
            <w:r>
              <w:rPr>
                <w:rFonts w:hint="eastAsia" w:ascii="宋体" w:hAnsi="宋体"/>
                <w:szCs w:val="21"/>
              </w:rPr>
              <w:t>支持PGM高标清视频实时推流至网络流媒体服务器，实现多用户通过网络同时在线观看，从而实现传统媒体与互联网+的深度融合；</w:t>
            </w:r>
          </w:p>
          <w:p>
            <w:pPr>
              <w:widowControl/>
              <w:rPr>
                <w:rFonts w:ascii="宋体" w:hAnsi="宋体"/>
                <w:szCs w:val="21"/>
              </w:rPr>
            </w:pPr>
            <w:r>
              <w:rPr>
                <w:rFonts w:hint="eastAsia" w:ascii="宋体" w:hAnsi="宋体"/>
                <w:szCs w:val="21"/>
              </w:rPr>
              <w:t>5</w:t>
            </w:r>
            <w:r>
              <w:rPr>
                <w:rFonts w:ascii="宋体" w:hAnsi="宋体"/>
                <w:szCs w:val="21"/>
              </w:rPr>
              <w:t>.2</w:t>
            </w:r>
            <w:r>
              <w:rPr>
                <w:rFonts w:hint="eastAsia" w:ascii="宋体" w:hAnsi="宋体"/>
                <w:szCs w:val="21"/>
              </w:rPr>
              <w:t>流媒体格式支持RTS</w:t>
            </w:r>
            <w:r>
              <w:rPr>
                <w:rFonts w:ascii="宋体" w:hAnsi="宋体"/>
                <w:szCs w:val="21"/>
              </w:rPr>
              <w:t>P</w:t>
            </w:r>
            <w:r>
              <w:rPr>
                <w:rFonts w:hint="eastAsia" w:ascii="宋体" w:hAnsi="宋体"/>
                <w:szCs w:val="21"/>
              </w:rPr>
              <w:t>、</w:t>
            </w:r>
            <w:r>
              <w:rPr>
                <w:rFonts w:ascii="宋体" w:hAnsi="宋体"/>
                <w:szCs w:val="21"/>
              </w:rPr>
              <w:t>RTMP</w:t>
            </w:r>
            <w:r>
              <w:rPr>
                <w:rFonts w:hint="eastAsia" w:ascii="宋体" w:hAnsi="宋体"/>
                <w:szCs w:val="21"/>
              </w:rPr>
              <w:t>输入，</w:t>
            </w:r>
            <w:r>
              <w:rPr>
                <w:rFonts w:ascii="宋体" w:hAnsi="宋体"/>
                <w:szCs w:val="21"/>
              </w:rPr>
              <w:t>RTMP</w:t>
            </w:r>
            <w:r>
              <w:rPr>
                <w:rFonts w:hint="eastAsia" w:ascii="宋体" w:hAnsi="宋体"/>
                <w:szCs w:val="21"/>
              </w:rPr>
              <w:t>输出；</w:t>
            </w:r>
          </w:p>
          <w:p>
            <w:pPr>
              <w:widowControl/>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可把手机拍摄视频信号实时推流至系统内进行网络视频直播，支持局域网以及3G/4G网络传输，也可通过网络链接把网络上的节目接虚拟演播室系统内进行播放，让节目制作更多元化；</w:t>
            </w:r>
          </w:p>
          <w:p>
            <w:pPr>
              <w:widowControl/>
              <w:rPr>
                <w:rFonts w:ascii="宋体" w:hAnsi="宋体"/>
                <w:szCs w:val="21"/>
              </w:rPr>
            </w:pPr>
            <w:r>
              <w:rPr>
                <w:rFonts w:ascii="宋体" w:hAnsi="宋体"/>
                <w:szCs w:val="21"/>
              </w:rPr>
              <w:t>6</w:t>
            </w:r>
            <w:r>
              <w:rPr>
                <w:rFonts w:hint="eastAsia" w:ascii="宋体" w:hAnsi="宋体"/>
                <w:szCs w:val="21"/>
              </w:rPr>
              <w:t>. 内置录制模块</w:t>
            </w:r>
          </w:p>
          <w:p>
            <w:pPr>
              <w:widowControl/>
              <w:rPr>
                <w:rFonts w:ascii="宋体" w:hAnsi="宋体"/>
                <w:szCs w:val="21"/>
              </w:rPr>
            </w:pPr>
            <w:r>
              <w:rPr>
                <w:rFonts w:hint="eastAsia" w:ascii="宋体" w:hAnsi="宋体"/>
                <w:szCs w:val="21"/>
              </w:rPr>
              <w:t>6.1支持本地录制，可将PGM信号生成多种格式的4K、高标清视频文件，无需外置采集设备；</w:t>
            </w:r>
          </w:p>
          <w:p>
            <w:pPr>
              <w:widowControl/>
              <w:rPr>
                <w:rFonts w:ascii="宋体" w:hAnsi="宋体"/>
                <w:szCs w:val="21"/>
              </w:rPr>
            </w:pPr>
            <w:r>
              <w:rPr>
                <w:rFonts w:hint="eastAsia" w:ascii="宋体" w:hAnsi="宋体"/>
                <w:szCs w:val="21"/>
              </w:rPr>
              <w:t>6.2支持MP4、AVI、MKV、MOV、 H.264等主流格式。</w:t>
            </w:r>
          </w:p>
          <w:p>
            <w:pPr>
              <w:widowControl/>
              <w:rPr>
                <w:rFonts w:ascii="宋体" w:hAnsi="宋体" w:cs="宋体"/>
                <w:color w:val="000000"/>
                <w:szCs w:val="21"/>
              </w:rPr>
            </w:pPr>
            <w:r>
              <w:rPr>
                <w:rFonts w:hint="eastAsia" w:ascii="宋体" w:hAnsi="宋体"/>
                <w:szCs w:val="21"/>
              </w:rPr>
              <w:t>资源库含：虚拟场景、字幕条、三角标、视频板。</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2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072" w:type="pct"/>
            <w:gridSpan w:val="2"/>
            <w:noWrap/>
            <w:vAlign w:val="center"/>
          </w:tcPr>
          <w:p>
            <w:pPr>
              <w:widowControl/>
              <w:spacing w:before="156" w:after="156"/>
              <w:jc w:val="center"/>
              <w:textAlignment w:val="center"/>
              <w:rPr>
                <w:rFonts w:ascii="宋体" w:hAnsi="宋体"/>
                <w:szCs w:val="21"/>
              </w:rPr>
            </w:pPr>
            <w:r>
              <w:rPr>
                <w:rFonts w:hint="eastAsia" w:ascii="宋体" w:hAnsi="宋体" w:cs="宋体"/>
                <w:kern w:val="0"/>
                <w:szCs w:val="21"/>
              </w:rPr>
              <w:t>动画设计器</w:t>
            </w:r>
          </w:p>
        </w:tc>
        <w:tc>
          <w:tcPr>
            <w:tcW w:w="2987" w:type="pct"/>
            <w:gridSpan w:val="2"/>
            <w:vAlign w:val="center"/>
          </w:tcPr>
          <w:p>
            <w:pPr>
              <w:rPr>
                <w:rFonts w:ascii="宋体" w:hAnsi="宋体"/>
                <w:b/>
                <w:bCs/>
                <w:szCs w:val="21"/>
              </w:rPr>
            </w:pPr>
            <w:r>
              <w:rPr>
                <w:rFonts w:hint="eastAsia" w:ascii="宋体" w:hAnsi="宋体"/>
                <w:b/>
                <w:bCs/>
                <w:szCs w:val="21"/>
              </w:rPr>
              <w:t>包含以下模块：</w:t>
            </w:r>
          </w:p>
          <w:p>
            <w:pPr>
              <w:jc w:val="left"/>
              <w:rPr>
                <w:rFonts w:ascii="宋体" w:hAnsi="宋体"/>
                <w:szCs w:val="21"/>
              </w:rPr>
            </w:pPr>
            <w:r>
              <w:rPr>
                <w:rFonts w:hint="eastAsia" w:ascii="宋体" w:hAnsi="宋体"/>
                <w:szCs w:val="21"/>
              </w:rPr>
              <w:t>1.真三维渲染引擎：广播级实时渲染图像输出；实时渲染和输出高清、标清画面；</w:t>
            </w:r>
          </w:p>
          <w:p>
            <w:pPr>
              <w:jc w:val="left"/>
              <w:rPr>
                <w:rFonts w:ascii="宋体" w:hAnsi="宋体"/>
                <w:szCs w:val="21"/>
              </w:rPr>
            </w:pPr>
            <w:r>
              <w:rPr>
                <w:rFonts w:hint="eastAsia" w:ascii="宋体" w:hAnsi="宋体"/>
                <w:szCs w:val="21"/>
              </w:rPr>
              <w:t>场景树管理模块：对场景所有元素按层、组、物件进行管理，每个层、组、物件均具有各自的属性；层空间具有独立的像机和灯光效果，组和物件具有上级属性的继承和各自独立的属性；</w:t>
            </w:r>
          </w:p>
          <w:p>
            <w:pPr>
              <w:jc w:val="left"/>
              <w:rPr>
                <w:rFonts w:ascii="宋体" w:hAnsi="宋体"/>
                <w:szCs w:val="21"/>
              </w:rPr>
            </w:pPr>
            <w:r>
              <w:rPr>
                <w:rFonts w:hint="eastAsia" w:ascii="宋体" w:hAnsi="宋体"/>
                <w:szCs w:val="21"/>
              </w:rPr>
              <w:t>2.模版库（材质、色彩、运动方式等模板库）：系统内置三维模型库，附带图片和动态视频，包括材质贴图和各类带有Alpha通道的图标；支持本地资源管理：纹理、素材、材质、动画等；</w:t>
            </w:r>
          </w:p>
          <w:p>
            <w:pPr>
              <w:jc w:val="left"/>
              <w:rPr>
                <w:rFonts w:ascii="宋体" w:hAnsi="宋体"/>
                <w:szCs w:val="21"/>
              </w:rPr>
            </w:pPr>
            <w:r>
              <w:rPr>
                <w:rFonts w:hint="eastAsia" w:ascii="宋体" w:hAnsi="宋体"/>
                <w:szCs w:val="21"/>
              </w:rPr>
              <w:t>3.引出项管理模块：设计器中层、组、物件的所有参数均可设定为引出项，播控时可实时修改；</w:t>
            </w:r>
          </w:p>
          <w:p>
            <w:pPr>
              <w:jc w:val="left"/>
              <w:rPr>
                <w:rFonts w:ascii="宋体" w:hAnsi="宋体"/>
                <w:szCs w:val="21"/>
              </w:rPr>
            </w:pPr>
            <w:r>
              <w:rPr>
                <w:rFonts w:hint="eastAsia" w:ascii="宋体" w:hAnsi="宋体"/>
                <w:szCs w:val="21"/>
              </w:rPr>
              <w:t>4.动画编辑模块：关键帧动画编辑，可编辑所有物件表面的静态贴图和动态贴图，可设定三维物体的透明度、旋转角度和运动速度；；</w:t>
            </w:r>
          </w:p>
          <w:p>
            <w:pPr>
              <w:jc w:val="left"/>
              <w:rPr>
                <w:rFonts w:ascii="宋体" w:hAnsi="宋体"/>
                <w:szCs w:val="21"/>
              </w:rPr>
            </w:pPr>
            <w:r>
              <w:rPr>
                <w:rFonts w:hint="eastAsia" w:ascii="宋体" w:hAnsi="宋体"/>
                <w:szCs w:val="21"/>
              </w:rPr>
              <w:t>5.高级动画编辑模块：可进行动画制作；</w:t>
            </w:r>
          </w:p>
          <w:p>
            <w:pPr>
              <w:jc w:val="left"/>
              <w:rPr>
                <w:rFonts w:ascii="宋体" w:hAnsi="宋体"/>
                <w:szCs w:val="21"/>
              </w:rPr>
            </w:pPr>
            <w:r>
              <w:rPr>
                <w:rFonts w:hint="eastAsia" w:ascii="宋体" w:hAnsi="宋体"/>
                <w:szCs w:val="21"/>
              </w:rPr>
              <w:t>6.贴图动画生成模块：支持图片、视频和序列图等类型的纹理贴图方式和材质组合，通过调整纹理空间位置、纹理大小和旋转角度，运用透明、反射、映射等多种效果方式，可创造金属、塑料、木质、砖石和玻璃等质感效果；</w:t>
            </w:r>
          </w:p>
          <w:p>
            <w:pPr>
              <w:jc w:val="left"/>
              <w:rPr>
                <w:rFonts w:ascii="宋体" w:hAnsi="宋体"/>
                <w:szCs w:val="21"/>
              </w:rPr>
            </w:pPr>
            <w:r>
              <w:rPr>
                <w:rFonts w:hint="eastAsia" w:ascii="宋体" w:hAnsi="宋体"/>
                <w:szCs w:val="21"/>
              </w:rPr>
              <w:t>7.字幕模块：系统提供内置字幕创作界面，附带多种预定义字效模板，可对字幕的面、边和影分别调节，支持多种字幕渲染效果，支持LRC文件的导入编辑；</w:t>
            </w:r>
          </w:p>
          <w:p>
            <w:pPr>
              <w:jc w:val="left"/>
              <w:rPr>
                <w:rFonts w:ascii="宋体" w:hAnsi="宋体"/>
                <w:color w:val="000000"/>
                <w:szCs w:val="21"/>
              </w:rPr>
            </w:pPr>
            <w:r>
              <w:rPr>
                <w:rFonts w:hint="eastAsia" w:ascii="宋体" w:hAnsi="宋体"/>
                <w:b/>
                <w:bCs/>
                <w:szCs w:val="21"/>
              </w:rPr>
              <w:t>技术参数要求：</w:t>
            </w:r>
            <w:r>
              <w:rPr>
                <w:rFonts w:hint="eastAsia" w:ascii="宋体" w:hAnsi="宋体"/>
                <w:szCs w:val="21"/>
              </w:rPr>
              <w:br w:type="textWrapping"/>
            </w:r>
            <w:r>
              <w:rPr>
                <w:rFonts w:hint="eastAsia" w:ascii="宋体" w:hAnsi="宋体"/>
                <w:color w:val="000000"/>
                <w:szCs w:val="21"/>
              </w:rPr>
              <w:t>1.</w:t>
            </w:r>
            <w:r>
              <w:rPr>
                <w:rFonts w:hint="eastAsia" w:ascii="宋体" w:hAnsi="宋体"/>
                <w:color w:val="FF0000"/>
                <w:szCs w:val="21"/>
              </w:rPr>
              <w:t>▲</w:t>
            </w:r>
            <w:r>
              <w:rPr>
                <w:rFonts w:hint="eastAsia" w:ascii="宋体" w:hAnsi="宋体"/>
                <w:b/>
                <w:color w:val="FF0000"/>
                <w:szCs w:val="21"/>
              </w:rPr>
              <w:t>对场景所有元素按层、组、物件进行管理，每个层、组、物件均具有各自的属性；层空间具有独立的像机和灯光效果，组和物件具有上级属性的继承和各自独立的属性（以国家广电总局检测报告为准）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2.支持3DS、FBX、OBJ、DAE等多种格式的三维模型和虚拟场景的导入；</w:t>
            </w:r>
          </w:p>
          <w:p>
            <w:pPr>
              <w:jc w:val="left"/>
              <w:rPr>
                <w:rFonts w:ascii="宋体" w:hAnsi="宋体"/>
                <w:color w:val="000000"/>
                <w:szCs w:val="21"/>
              </w:rPr>
            </w:pPr>
            <w:r>
              <w:rPr>
                <w:rFonts w:hint="eastAsia" w:ascii="宋体" w:hAnsi="宋体"/>
                <w:color w:val="000000"/>
                <w:szCs w:val="21"/>
              </w:rPr>
              <w:t>3.系统根据用户对摄像机拍摄角度的需求，通过拍摄角度的视图界面进行多角度、多视图的场景设计，提供四种角度视图（顶视图、左视图、前视图、和设计视图）；</w:t>
            </w:r>
          </w:p>
          <w:p>
            <w:pPr>
              <w:jc w:val="left"/>
              <w:rPr>
                <w:rFonts w:ascii="宋体" w:hAnsi="宋体"/>
                <w:color w:val="000000"/>
                <w:szCs w:val="21"/>
              </w:rPr>
            </w:pPr>
            <w:r>
              <w:rPr>
                <w:rFonts w:hint="eastAsia" w:ascii="宋体" w:hAnsi="宋体"/>
                <w:color w:val="000000"/>
                <w:szCs w:val="21"/>
              </w:rPr>
              <w:t>4.在模板制作的过程中，系统可进行软件自身预览或者通过渲染引擎输出到监视器预览；</w:t>
            </w:r>
          </w:p>
          <w:p>
            <w:pPr>
              <w:jc w:val="left"/>
              <w:rPr>
                <w:rFonts w:ascii="宋体" w:hAnsi="宋体"/>
                <w:color w:val="000000"/>
                <w:szCs w:val="21"/>
              </w:rPr>
            </w:pPr>
            <w:r>
              <w:rPr>
                <w:rFonts w:hint="eastAsia" w:ascii="宋体" w:hAnsi="宋体"/>
                <w:color w:val="000000"/>
                <w:szCs w:val="21"/>
              </w:rPr>
              <w:t>5.</w:t>
            </w:r>
            <w:r>
              <w:rPr>
                <w:rFonts w:hint="eastAsia" w:ascii="宋体" w:hAnsi="宋体"/>
                <w:b/>
                <w:color w:val="FF0000"/>
                <w:szCs w:val="21"/>
              </w:rPr>
              <w:t>▲物体材质、色彩、运动方式、字体、光影等所有属性都可组合为模板，后续播出软件使用时以模板化组件整体导入使用，简化了动画的重复制作（以国家广电总局检测报告为准）；</w:t>
            </w:r>
          </w:p>
          <w:p>
            <w:pPr>
              <w:jc w:val="left"/>
              <w:rPr>
                <w:rFonts w:ascii="宋体" w:hAnsi="宋体"/>
                <w:color w:val="000000"/>
                <w:szCs w:val="21"/>
              </w:rPr>
            </w:pPr>
            <w:r>
              <w:rPr>
                <w:rFonts w:hint="eastAsia" w:ascii="宋体" w:hAnsi="宋体"/>
                <w:color w:val="000000"/>
                <w:szCs w:val="21"/>
              </w:rPr>
              <w:t>6.</w:t>
            </w:r>
            <w:r>
              <w:rPr>
                <w:rFonts w:hint="eastAsia" w:ascii="宋体" w:hAnsi="宋体"/>
                <w:b/>
                <w:color w:val="FF0000"/>
                <w:szCs w:val="21"/>
              </w:rPr>
              <w:t>▲系统按层渲染，分为3D层和2D层，每个层有独立的相机、灯光等属性，每个层作为另外层的层贴图输入（以国家广电总局检测报告为准）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7.</w:t>
            </w:r>
            <w:r>
              <w:rPr>
                <w:rFonts w:hint="eastAsia" w:ascii="宋体" w:hAnsi="宋体"/>
                <w:b/>
                <w:color w:val="FF0000"/>
                <w:szCs w:val="21"/>
              </w:rPr>
              <w:t>▲内置基础三维模型、快速动画编辑器及高级动画编辑器，可进行动画制作（以国家广电总局检测报告为准）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8.</w:t>
            </w:r>
            <w:r>
              <w:rPr>
                <w:rFonts w:hint="eastAsia" w:ascii="宋体" w:hAnsi="宋体"/>
                <w:b/>
                <w:color w:val="FF0000"/>
                <w:szCs w:val="21"/>
              </w:rPr>
              <w:t>▲物体的坐标参数、形态参数、外观参数可通过系统随时间线按轨迹进行参数设置（以国家广电总局检测报告为准）；</w:t>
            </w:r>
          </w:p>
          <w:p>
            <w:pPr>
              <w:jc w:val="left"/>
              <w:rPr>
                <w:rFonts w:ascii="宋体" w:hAnsi="宋体"/>
                <w:color w:val="000000"/>
                <w:szCs w:val="21"/>
              </w:rPr>
            </w:pPr>
            <w:r>
              <w:rPr>
                <w:rFonts w:hint="eastAsia" w:ascii="宋体" w:hAnsi="宋体"/>
                <w:color w:val="000000"/>
                <w:szCs w:val="21"/>
              </w:rPr>
              <w:t xml:space="preserve">9. </w:t>
            </w:r>
            <w:r>
              <w:rPr>
                <w:rFonts w:hint="eastAsia" w:ascii="宋体" w:hAnsi="宋体"/>
                <w:b/>
                <w:color w:val="FF0000"/>
                <w:szCs w:val="21"/>
              </w:rPr>
              <w:t>▲支持以点光源、平行光、聚光灯方式模拟灯光效果，支持透视投影和平行投景方式模拟摄像机效果，并能以动画方式模拟显示效果；（以国家广电总局检测报告为准）</w:t>
            </w:r>
          </w:p>
          <w:p>
            <w:pPr>
              <w:jc w:val="left"/>
              <w:rPr>
                <w:rFonts w:ascii="宋体" w:hAnsi="宋体"/>
                <w:color w:val="000000"/>
                <w:szCs w:val="21"/>
              </w:rPr>
            </w:pPr>
            <w:r>
              <w:rPr>
                <w:rFonts w:hint="eastAsia" w:ascii="宋体" w:hAnsi="宋体"/>
                <w:color w:val="000000"/>
                <w:szCs w:val="21"/>
              </w:rPr>
              <w:t>10.系统提供几十种三维内置物体插件，通过调整其参数，可造就多种物体，每一种物体可以通过参数调整产生不同的造型；</w:t>
            </w:r>
          </w:p>
          <w:p>
            <w:pPr>
              <w:jc w:val="left"/>
              <w:rPr>
                <w:rFonts w:ascii="宋体" w:hAnsi="宋体"/>
                <w:color w:val="000000"/>
                <w:szCs w:val="21"/>
              </w:rPr>
            </w:pPr>
            <w:r>
              <w:rPr>
                <w:rFonts w:hint="eastAsia" w:ascii="宋体" w:hAnsi="宋体"/>
                <w:color w:val="000000"/>
                <w:szCs w:val="21"/>
              </w:rPr>
              <w:t>11.具有活动视频制作功能，支持任意面的视频播放，虚拟场景中的任意面都可以添加视频纹理，可以在虚拟场景中设计虚拟大屏实现大屏内容的播放；</w:t>
            </w:r>
          </w:p>
          <w:p>
            <w:pPr>
              <w:jc w:val="left"/>
              <w:rPr>
                <w:rFonts w:ascii="宋体" w:hAnsi="宋体"/>
                <w:color w:val="000000"/>
                <w:szCs w:val="21"/>
              </w:rPr>
            </w:pPr>
            <w:r>
              <w:rPr>
                <w:rFonts w:hint="eastAsia" w:ascii="宋体" w:hAnsi="宋体"/>
                <w:color w:val="000000"/>
                <w:szCs w:val="21"/>
              </w:rPr>
              <w:t>12.</w:t>
            </w:r>
            <w:r>
              <w:rPr>
                <w:rFonts w:hint="eastAsia" w:ascii="宋体" w:hAnsi="宋体"/>
                <w:b/>
                <w:color w:val="FF0000"/>
                <w:szCs w:val="21"/>
              </w:rPr>
              <w:t>▲支持图片、视频和序列图等类型的纹理贴图方式和材质组合，通过调整纹理空间位置、纹理大小和旋转角度，运用透明、反射、映射等多种效果方式，可创造金属、塑料、木质、砖石和玻璃等质感效果；（以国家广电总局检测报告为准）</w:t>
            </w:r>
          </w:p>
          <w:p>
            <w:pPr>
              <w:jc w:val="left"/>
              <w:rPr>
                <w:rFonts w:ascii="宋体" w:hAnsi="宋体"/>
                <w:color w:val="000000"/>
                <w:szCs w:val="21"/>
              </w:rPr>
            </w:pPr>
            <w:r>
              <w:rPr>
                <w:rFonts w:hint="eastAsia" w:ascii="宋体" w:hAnsi="宋体"/>
                <w:color w:val="000000"/>
                <w:szCs w:val="21"/>
              </w:rPr>
              <w:t>13.支持整屏或者局部下雨、下雪、刮风、闪电等天气情况的粒子效果；</w:t>
            </w:r>
          </w:p>
          <w:p>
            <w:pPr>
              <w:jc w:val="left"/>
              <w:rPr>
                <w:rFonts w:ascii="宋体" w:hAnsi="宋体"/>
                <w:color w:val="000000"/>
                <w:szCs w:val="21"/>
              </w:rPr>
            </w:pPr>
            <w:r>
              <w:rPr>
                <w:rFonts w:hint="eastAsia" w:ascii="宋体" w:hAnsi="宋体"/>
                <w:color w:val="000000"/>
                <w:szCs w:val="21"/>
              </w:rPr>
              <w:t>14.</w:t>
            </w:r>
            <w:r>
              <w:rPr>
                <w:rFonts w:hint="eastAsia" w:ascii="宋体" w:hAnsi="宋体"/>
                <w:b/>
                <w:color w:val="FF0000"/>
                <w:szCs w:val="21"/>
              </w:rPr>
              <w:t>▲系统提供内置字幕创作界面，附带多种预定义字效模板，可对字幕的面、边和影分别调节，支持多种字幕渲染效果，支持LRC文件的导入编辑（以国家广电总局检测报告为准）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15.具有字幕和图像特技，支持二维文字和三维文字的编辑和制作；</w:t>
            </w:r>
          </w:p>
          <w:p>
            <w:pPr>
              <w:jc w:val="left"/>
              <w:rPr>
                <w:rFonts w:ascii="宋体" w:hAnsi="宋体"/>
                <w:color w:val="000000"/>
                <w:szCs w:val="21"/>
              </w:rPr>
            </w:pPr>
            <w:r>
              <w:rPr>
                <w:rFonts w:hint="eastAsia" w:ascii="宋体" w:hAnsi="宋体"/>
                <w:color w:val="000000"/>
                <w:szCs w:val="21"/>
              </w:rPr>
              <w:t>16.提供三维空间的路径特技；</w:t>
            </w:r>
          </w:p>
          <w:p>
            <w:pPr>
              <w:jc w:val="left"/>
              <w:rPr>
                <w:rFonts w:ascii="宋体" w:hAnsi="宋体"/>
                <w:color w:val="000000"/>
                <w:szCs w:val="21"/>
              </w:rPr>
            </w:pPr>
            <w:r>
              <w:rPr>
                <w:rFonts w:hint="eastAsia" w:ascii="宋体" w:hAnsi="宋体"/>
                <w:color w:val="000000"/>
                <w:szCs w:val="21"/>
              </w:rPr>
              <w:t>17.可实时创建三维几何体，除了可以调用系统预制的立方体、圆柱体、球体、圆环等元素外，还可进行各个顶点的在线形状编辑，同时可对各种倒角、厚度、环境光、漫反射、镜面反射等多种参数实时调整；所有几何体面均可实现纹理贴图和视频贴图；</w:t>
            </w:r>
          </w:p>
          <w:p>
            <w:pPr>
              <w:jc w:val="left"/>
              <w:rPr>
                <w:rFonts w:ascii="宋体" w:hAnsi="宋体"/>
                <w:color w:val="000000"/>
                <w:szCs w:val="21"/>
              </w:rPr>
            </w:pPr>
            <w:r>
              <w:rPr>
                <w:rFonts w:hint="eastAsia" w:ascii="宋体" w:hAnsi="宋体"/>
                <w:color w:val="000000"/>
                <w:szCs w:val="21"/>
              </w:rPr>
              <w:t>18.</w:t>
            </w:r>
            <w:r>
              <w:rPr>
                <w:rFonts w:hint="eastAsia" w:ascii="宋体" w:hAnsi="宋体"/>
                <w:b/>
                <w:color w:val="FF0000"/>
                <w:szCs w:val="21"/>
              </w:rPr>
              <w:t>▲设计器中层、组、物件的所有参数均可设定为引出项，播控时可实时修改（以国家广电总局检测报告为准）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19.</w:t>
            </w:r>
            <w:r>
              <w:rPr>
                <w:rFonts w:hint="eastAsia" w:ascii="宋体" w:hAnsi="宋体"/>
                <w:b/>
                <w:color w:val="FF0000"/>
                <w:szCs w:val="21"/>
              </w:rPr>
              <w:t>▲轨迹移动、旋转、缩放时支持以贝塞尔曲线方式实现匀速和变加速运动方式（以国家广电总局检测报告为准）；</w:t>
            </w:r>
          </w:p>
          <w:p>
            <w:pPr>
              <w:jc w:val="left"/>
              <w:rPr>
                <w:rFonts w:ascii="宋体" w:hAnsi="宋体"/>
                <w:color w:val="000000"/>
                <w:szCs w:val="21"/>
              </w:rPr>
            </w:pPr>
            <w:r>
              <w:rPr>
                <w:rFonts w:hint="eastAsia" w:ascii="宋体" w:hAnsi="宋体"/>
                <w:color w:val="000000"/>
                <w:szCs w:val="21"/>
              </w:rPr>
              <w:t>20.</w:t>
            </w:r>
            <w:r>
              <w:rPr>
                <w:rFonts w:hint="eastAsia" w:ascii="宋体" w:hAnsi="宋体"/>
                <w:b/>
                <w:color w:val="FF0000"/>
                <w:szCs w:val="21"/>
              </w:rPr>
              <w:t>▲支持各种飞光效果，以简单的光效图样和任意贝塞尔曲线组合，实现特殊光效（以国家广电总局检测报告为准）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21.提供时钟功能，可进行时间显示和计时显示，可由系统内置时钟驱动或者外部数据驱动；</w:t>
            </w:r>
          </w:p>
          <w:p>
            <w:pPr>
              <w:jc w:val="left"/>
              <w:rPr>
                <w:rFonts w:ascii="宋体" w:hAnsi="宋体"/>
                <w:color w:val="000000"/>
                <w:szCs w:val="21"/>
              </w:rPr>
            </w:pPr>
            <w:r>
              <w:rPr>
                <w:rFonts w:hint="eastAsia" w:ascii="宋体" w:hAnsi="宋体"/>
                <w:color w:val="000000"/>
                <w:szCs w:val="21"/>
              </w:rPr>
              <w:t>22.</w:t>
            </w:r>
            <w:r>
              <w:rPr>
                <w:rFonts w:hint="eastAsia" w:ascii="宋体" w:hAnsi="宋体"/>
                <w:b/>
                <w:color w:val="FF0000"/>
                <w:szCs w:val="21"/>
              </w:rPr>
              <w:t>▲支持物体之间的属性参数关联（以国家广电总局检测报告为准）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23.</w:t>
            </w:r>
            <w:r>
              <w:rPr>
                <w:rFonts w:hint="eastAsia" w:ascii="宋体" w:hAnsi="宋体"/>
                <w:b/>
                <w:color w:val="FF0000"/>
                <w:szCs w:val="21"/>
              </w:rPr>
              <w:t>▲支持动作捕捉系统的接入（以国家广电总局检测报告为准）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24.支持比分牌、名词排序等效果的制作；</w:t>
            </w:r>
          </w:p>
          <w:p>
            <w:pPr>
              <w:jc w:val="left"/>
              <w:rPr>
                <w:rFonts w:ascii="宋体" w:hAnsi="宋体"/>
                <w:color w:val="000000"/>
                <w:szCs w:val="21"/>
              </w:rPr>
            </w:pPr>
            <w:r>
              <w:rPr>
                <w:rFonts w:hint="eastAsia" w:ascii="宋体" w:hAnsi="宋体"/>
                <w:color w:val="000000"/>
                <w:szCs w:val="21"/>
              </w:rPr>
              <w:t>25.系统内置三维模型库，附带图片和动态视频，包括材质贴图和各类带有Alpha通道的图标；</w:t>
            </w:r>
          </w:p>
          <w:p>
            <w:pPr>
              <w:jc w:val="left"/>
              <w:rPr>
                <w:rFonts w:ascii="宋体" w:hAnsi="宋体"/>
                <w:color w:val="000000"/>
                <w:szCs w:val="21"/>
              </w:rPr>
            </w:pPr>
            <w:r>
              <w:rPr>
                <w:rFonts w:hint="eastAsia" w:ascii="宋体" w:hAnsi="宋体"/>
                <w:color w:val="000000"/>
                <w:szCs w:val="21"/>
              </w:rPr>
              <w:t>26.支持本地资源管理：纹理、素材、材质、动画等；</w:t>
            </w:r>
          </w:p>
          <w:p>
            <w:pPr>
              <w:jc w:val="left"/>
              <w:rPr>
                <w:rFonts w:ascii="宋体" w:hAnsi="宋体"/>
                <w:color w:val="000000"/>
                <w:szCs w:val="21"/>
              </w:rPr>
            </w:pPr>
            <w:r>
              <w:rPr>
                <w:rFonts w:hint="eastAsia" w:ascii="宋体" w:hAnsi="宋体"/>
                <w:color w:val="000000"/>
                <w:szCs w:val="21"/>
              </w:rPr>
              <w:t>27.</w:t>
            </w:r>
            <w:r>
              <w:rPr>
                <w:rFonts w:hint="eastAsia" w:ascii="宋体" w:hAnsi="宋体"/>
                <w:b/>
                <w:color w:val="FF0000"/>
                <w:szCs w:val="21"/>
              </w:rPr>
              <w:t>▲支持添加天气图标和气象元素，系统具有模板和元素模型库，如三维天气符号，三维图文标识，三维动画以及各类节目模板（以国家广电总局检测报告为准）；</w:t>
            </w:r>
          </w:p>
          <w:p>
            <w:pPr>
              <w:jc w:val="left"/>
              <w:rPr>
                <w:rFonts w:ascii="宋体" w:hAnsi="宋体"/>
                <w:color w:val="000000"/>
                <w:szCs w:val="21"/>
              </w:rPr>
            </w:pPr>
            <w:r>
              <w:rPr>
                <w:rFonts w:hint="eastAsia" w:ascii="宋体" w:hAnsi="宋体"/>
                <w:color w:val="000000"/>
                <w:szCs w:val="21"/>
              </w:rPr>
              <w:t>28.</w:t>
            </w:r>
            <w:r>
              <w:rPr>
                <w:rFonts w:hint="eastAsia" w:ascii="宋体" w:hAnsi="宋体"/>
                <w:b/>
                <w:color w:val="FF0000"/>
                <w:szCs w:val="21"/>
              </w:rPr>
              <w:t>▲可针对股票、气象等数据模板化进行数据可视化的制作，每次节目制作只需修改对应的数据即可实现栏目的快速录制（以国家广电总局检测报告为准）</w:t>
            </w:r>
            <w:r>
              <w:rPr>
                <w:rFonts w:hint="eastAsia" w:ascii="宋体" w:hAnsi="宋体"/>
                <w:color w:val="000000"/>
                <w:szCs w:val="21"/>
              </w:rPr>
              <w:t>；</w:t>
            </w:r>
          </w:p>
          <w:p>
            <w:pPr>
              <w:jc w:val="left"/>
              <w:rPr>
                <w:rFonts w:ascii="宋体" w:hAnsi="宋体"/>
                <w:color w:val="000000"/>
                <w:szCs w:val="21"/>
              </w:rPr>
            </w:pPr>
            <w:r>
              <w:rPr>
                <w:rFonts w:hint="eastAsia" w:ascii="宋体" w:hAnsi="宋体"/>
                <w:color w:val="000000"/>
                <w:szCs w:val="21"/>
              </w:rPr>
              <w:t>29.</w:t>
            </w:r>
            <w:r>
              <w:rPr>
                <w:rFonts w:hint="eastAsia" w:ascii="宋体" w:hAnsi="宋体"/>
                <w:b/>
                <w:color w:val="FF0000"/>
                <w:szCs w:val="21"/>
              </w:rPr>
              <w:t>相关产品标注以国家广电总局检测报告为准功能，须提供该功能国家广电总局检测报告复印件并加盖原厂公章。产品由第三方制造商供应的，需出具制造商授权函，同时提供该功能国家广电总局检测报告复印件并加盖原厂公章；</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04" w:type="pct"/>
            <w:noWrap/>
            <w:vAlign w:val="center"/>
          </w:tcPr>
          <w:p>
            <w:pPr>
              <w:widowControl/>
              <w:spacing w:before="156" w:after="156"/>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072"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平台服务器</w:t>
            </w:r>
          </w:p>
        </w:tc>
        <w:tc>
          <w:tcPr>
            <w:tcW w:w="2987" w:type="pct"/>
            <w:gridSpan w:val="2"/>
            <w:vAlign w:val="center"/>
          </w:tcPr>
          <w:p>
            <w:pPr>
              <w:rPr>
                <w:rFonts w:ascii="宋体" w:hAnsi="宋体"/>
                <w:szCs w:val="21"/>
              </w:rPr>
            </w:pPr>
            <w:r>
              <w:rPr>
                <w:rFonts w:hint="eastAsia" w:ascii="宋体" w:hAnsi="宋体"/>
                <w:szCs w:val="21"/>
              </w:rPr>
              <w:t>1.处理器：2颗*英特尔至强银牌4210 (2.2G, 10C, 13.75M 85W)；     </w:t>
            </w:r>
          </w:p>
          <w:p>
            <w:pPr>
              <w:rPr>
                <w:rFonts w:ascii="宋体" w:hAnsi="宋体"/>
                <w:szCs w:val="21"/>
              </w:rPr>
            </w:pPr>
            <w:r>
              <w:rPr>
                <w:rFonts w:hint="eastAsia" w:ascii="宋体" w:hAnsi="宋体"/>
                <w:szCs w:val="21"/>
              </w:rPr>
              <w:t>2.内存: 4 *32GB DDR4 RDIMM,2933MT/S ；</w:t>
            </w:r>
          </w:p>
          <w:p>
            <w:pPr>
              <w:rPr>
                <w:rFonts w:ascii="宋体" w:hAnsi="宋体"/>
                <w:szCs w:val="21"/>
              </w:rPr>
            </w:pPr>
            <w:r>
              <w:rPr>
                <w:rFonts w:hint="eastAsia" w:ascii="宋体" w:hAnsi="宋体"/>
                <w:szCs w:val="21"/>
              </w:rPr>
              <w:t>3.硬盘：2个 * 480G SSD SATA 6Gb/s 热拔插；</w:t>
            </w:r>
          </w:p>
          <w:p>
            <w:pPr>
              <w:rPr>
                <w:rFonts w:ascii="宋体" w:hAnsi="宋体"/>
                <w:szCs w:val="21"/>
              </w:rPr>
            </w:pPr>
            <w:r>
              <w:rPr>
                <w:rFonts w:hint="eastAsia" w:ascii="宋体" w:hAnsi="宋体"/>
                <w:szCs w:val="21"/>
              </w:rPr>
              <w:t>4.硬盘：8个*16T SATA 7.2K 3.5寸 热拔插硬盘；</w:t>
            </w:r>
          </w:p>
          <w:p>
            <w:pPr>
              <w:rPr>
                <w:rFonts w:ascii="宋体" w:hAnsi="宋体"/>
                <w:szCs w:val="21"/>
              </w:rPr>
            </w:pPr>
            <w:r>
              <w:rPr>
                <w:rFonts w:hint="eastAsia" w:ascii="宋体" w:hAnsi="宋体"/>
                <w:szCs w:val="21"/>
              </w:rPr>
              <w:t>5.阵列卡：H730P 2GB缓存带电池（raid0，1，5，6，10，50，60）；</w:t>
            </w:r>
          </w:p>
          <w:p>
            <w:pPr>
              <w:rPr>
                <w:rFonts w:ascii="宋体" w:hAnsi="宋体"/>
                <w:szCs w:val="21"/>
              </w:rPr>
            </w:pPr>
            <w:r>
              <w:rPr>
                <w:rFonts w:hint="eastAsia" w:ascii="宋体" w:hAnsi="宋体"/>
                <w:szCs w:val="21"/>
              </w:rPr>
              <w:t>6.网卡： Broadcom 5720四口千兆网卡，X520双口万兆网卡；</w:t>
            </w:r>
          </w:p>
          <w:p>
            <w:pPr>
              <w:rPr>
                <w:rFonts w:ascii="宋体" w:hAnsi="宋体"/>
                <w:szCs w:val="21"/>
              </w:rPr>
            </w:pPr>
            <w:r>
              <w:rPr>
                <w:rFonts w:hint="eastAsia" w:ascii="宋体" w:hAnsi="宋体"/>
                <w:szCs w:val="21"/>
              </w:rPr>
              <w:t>7.远程卡: IDRAC9；     </w:t>
            </w:r>
          </w:p>
          <w:p>
            <w:pPr>
              <w:rPr>
                <w:rFonts w:ascii="宋体" w:hAnsi="宋体"/>
                <w:szCs w:val="21"/>
              </w:rPr>
            </w:pPr>
            <w:r>
              <w:rPr>
                <w:rFonts w:hint="eastAsia" w:ascii="宋体" w:hAnsi="宋体"/>
                <w:szCs w:val="21"/>
              </w:rPr>
              <w:t>8.电源:750 W冗余电源（1+1）热拔插；</w:t>
            </w:r>
          </w:p>
          <w:p>
            <w:pPr>
              <w:rPr>
                <w:rFonts w:ascii="宋体" w:hAnsi="宋体"/>
                <w:szCs w:val="21"/>
              </w:rPr>
            </w:pPr>
            <w:r>
              <w:rPr>
                <w:rFonts w:hint="eastAsia" w:ascii="宋体" w:hAnsi="宋体"/>
                <w:szCs w:val="21"/>
              </w:rPr>
              <w:t xml:space="preserve">9.要求设备支持FPGA虚拟化，支持NetEP板卡，可用于支持设备的虚实结合，完成真实的安全硬件、虚拟平台综合数据分析实验，板卡能虚拟出网卡、路由交换设备等实验设备，可编程路由交换设备，可重构为SDN全虚拟化功能，通过socket编程对NetEP进行管理； </w:t>
            </w:r>
          </w:p>
          <w:p>
            <w:pPr>
              <w:rPr>
                <w:rFonts w:ascii="宋体" w:hAnsi="宋体"/>
                <w:szCs w:val="21"/>
              </w:rPr>
            </w:pPr>
            <w:r>
              <w:rPr>
                <w:rFonts w:hint="eastAsia" w:ascii="宋体" w:hAnsi="宋体"/>
                <w:szCs w:val="21"/>
              </w:rPr>
              <w:t>10.系统底层针对不同编程模型（例如多任务、多线程、MapReduce）提供可扩展应用编程接口（API），用于不断发展分布式应用提高计算效率，将新的技术整合到云应用中；</w:t>
            </w:r>
          </w:p>
          <w:p>
            <w:pPr>
              <w:rPr>
                <w:rFonts w:ascii="宋体" w:hAnsi="宋体"/>
                <w:szCs w:val="21"/>
              </w:rPr>
            </w:pPr>
            <w:r>
              <w:rPr>
                <w:rFonts w:hint="eastAsia" w:ascii="宋体" w:hAnsi="宋体"/>
                <w:szCs w:val="21"/>
              </w:rPr>
              <w:t>11.提供不同于IaaS 平台上的Aneka智能云，成为一个可在多种云平台上进行云应用开发、部署和管理的综合平台；</w:t>
            </w:r>
          </w:p>
          <w:p>
            <w:pPr>
              <w:rPr>
                <w:rFonts w:ascii="宋体" w:hAnsi="宋体"/>
                <w:szCs w:val="21"/>
              </w:rPr>
            </w:pPr>
            <w:r>
              <w:rPr>
                <w:rFonts w:hint="eastAsia" w:ascii="宋体" w:hAnsi="宋体"/>
                <w:szCs w:val="21"/>
              </w:rPr>
              <w:t>12. 操作系统：实验环境支持所有linux内核系统，包括不限于SUSE，RedHat，ubuntu，CentOS，KALI，红旗，麒麟；支持windowsXP至windows10（包括）系列的所有windows系统；操作系统支持Aneka的运行环境；</w:t>
            </w:r>
          </w:p>
          <w:p>
            <w:pPr>
              <w:rPr>
                <w:rFonts w:ascii="宋体" w:hAnsi="宋体"/>
                <w:szCs w:val="21"/>
              </w:rPr>
            </w:pPr>
            <w:r>
              <w:rPr>
                <w:rFonts w:hint="eastAsia" w:ascii="宋体" w:hAnsi="宋体"/>
                <w:szCs w:val="21"/>
              </w:rPr>
              <w:t>13.可监控平台的运行状况，包括可用资源和已用资源、作业的排队状况、正常和异常的作业运行状况，并提供干预功能，及时释放异常占用资源和终止异常作业；</w:t>
            </w:r>
          </w:p>
          <w:p>
            <w:pPr>
              <w:rPr>
                <w:rFonts w:ascii="宋体" w:hAnsi="宋体" w:cs="宋体"/>
                <w:color w:val="000000"/>
                <w:szCs w:val="21"/>
              </w:rPr>
            </w:pPr>
            <w:r>
              <w:rPr>
                <w:rFonts w:hint="eastAsia" w:ascii="宋体" w:hAnsi="宋体"/>
                <w:szCs w:val="21"/>
              </w:rPr>
              <w:t>14.系统提供与云计算平台能够对接的软件服务，如Aneka智能资源调度服务、分布式存储服务、统计建模服务（R语言，SPSS，matlab等），同时支持大数据、人工智能软件服务在云平台直接部署。</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072"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导播台</w:t>
            </w:r>
          </w:p>
        </w:tc>
        <w:tc>
          <w:tcPr>
            <w:tcW w:w="2987" w:type="pct"/>
            <w:gridSpan w:val="2"/>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1.水晶按键、RGB三色灯七彩色，金属面板、通讯接口USB、422，具有独立供电接口。可嵌入桌面使用。</w:t>
            </w:r>
            <w:r>
              <w:rPr>
                <w:rFonts w:hint="eastAsia" w:ascii="宋体" w:hAnsi="宋体" w:cs="宋体"/>
                <w:color w:val="000000"/>
                <w:kern w:val="0"/>
                <w:szCs w:val="21"/>
              </w:rPr>
              <w:br w:type="textWrapping"/>
            </w:r>
            <w:r>
              <w:rPr>
                <w:rFonts w:hint="eastAsia" w:ascii="宋体" w:hAnsi="宋体" w:cs="宋体"/>
                <w:color w:val="000000"/>
                <w:kern w:val="0"/>
                <w:szCs w:val="21"/>
              </w:rPr>
              <w:t>2.支持双母线切换模式，支持快切、自动切、T杆切换方式。支持DSK和字幕上下键，DDR、PPT、CG、图文播单播出控制，虚拟机位的切换、轨迹、特技、摇臂功能，以及对4路外来信号、网络、本地和PGM通道的调音功能。可替代键鼠导播切换操作。</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9" w:hRule="atLeast"/>
        </w:trPr>
        <w:tc>
          <w:tcPr>
            <w:tcW w:w="2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072"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应用服务教育云平台</w:t>
            </w:r>
          </w:p>
        </w:tc>
        <w:tc>
          <w:tcPr>
            <w:tcW w:w="2987" w:type="pct"/>
            <w:gridSpan w:val="2"/>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教学资源系统提供预约录课，资源管理，课程中心，满足教学资源的基础应用，为校园电视台、教育录播提供基础服务。</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072"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内网直播</w:t>
            </w:r>
          </w:p>
        </w:tc>
        <w:tc>
          <w:tcPr>
            <w:tcW w:w="2987" w:type="pct"/>
            <w:gridSpan w:val="2"/>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1.系统提供流媒体服务功能，服务对直播码流进行深度优化，实现不同网络环境下观看直播无卡顿；</w:t>
            </w:r>
            <w:r>
              <w:rPr>
                <w:rFonts w:hint="eastAsia" w:ascii="宋体" w:hAnsi="宋体" w:cs="宋体"/>
                <w:color w:val="000000"/>
                <w:kern w:val="0"/>
                <w:szCs w:val="21"/>
              </w:rPr>
              <w:br w:type="textWrapping"/>
            </w:r>
            <w:r>
              <w:rPr>
                <w:rFonts w:hint="eastAsia" w:ascii="宋体" w:hAnsi="宋体" w:cs="宋体"/>
                <w:color w:val="000000"/>
                <w:kern w:val="0"/>
                <w:szCs w:val="21"/>
              </w:rPr>
              <w:t>2.实现高并发，保证直播画面清晰低延时，声音清楚；</w:t>
            </w:r>
            <w:r>
              <w:rPr>
                <w:rFonts w:hint="eastAsia" w:ascii="宋体" w:hAnsi="宋体" w:cs="宋体"/>
                <w:color w:val="000000"/>
                <w:kern w:val="0"/>
                <w:szCs w:val="21"/>
              </w:rPr>
              <w:br w:type="textWrapping"/>
            </w:r>
            <w:r>
              <w:rPr>
                <w:rFonts w:hint="eastAsia" w:ascii="宋体" w:hAnsi="宋体" w:cs="宋体"/>
                <w:color w:val="000000"/>
                <w:kern w:val="0"/>
                <w:szCs w:val="21"/>
              </w:rPr>
              <w:t>3.系统可以提前预约直播，支持在线观看所有校园直播，如公开课直播，班级课直播，校园讲座直播等，直播过程中可以评论；</w:t>
            </w:r>
            <w:r>
              <w:rPr>
                <w:rFonts w:hint="eastAsia" w:ascii="宋体" w:hAnsi="宋体" w:cs="宋体"/>
                <w:color w:val="000000"/>
                <w:kern w:val="0"/>
                <w:szCs w:val="21"/>
              </w:rPr>
              <w:br w:type="textWrapping"/>
            </w:r>
            <w:r>
              <w:rPr>
                <w:rFonts w:hint="eastAsia" w:ascii="宋体" w:hAnsi="宋体" w:cs="宋体"/>
                <w:color w:val="000000"/>
                <w:kern w:val="0"/>
                <w:szCs w:val="21"/>
              </w:rPr>
              <w:t>4.优秀的直播内容可以在系统上设置为精彩回放。</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7" w:hRule="atLeast"/>
        </w:trPr>
        <w:tc>
          <w:tcPr>
            <w:tcW w:w="2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072"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校园电视播出系统</w:t>
            </w:r>
          </w:p>
        </w:tc>
        <w:tc>
          <w:tcPr>
            <w:tcW w:w="2987" w:type="pct"/>
            <w:gridSpan w:val="2"/>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rPr>
              <w:t>1.提供多种节目类型，如教学直播，主题演讲，校园活动、新闻公告、通知等；支持直播、视频、音频、图片、文字等媒体信息；</w:t>
            </w:r>
            <w:r>
              <w:rPr>
                <w:rFonts w:hint="eastAsia" w:ascii="宋体" w:hAnsi="宋体" w:cs="宋体"/>
                <w:color w:val="000000"/>
                <w:kern w:val="0"/>
                <w:szCs w:val="21"/>
              </w:rPr>
              <w:br w:type="textWrapping"/>
            </w:r>
            <w:r>
              <w:rPr>
                <w:rFonts w:hint="eastAsia" w:ascii="宋体" w:hAnsi="宋体" w:cs="宋体"/>
                <w:color w:val="000000"/>
                <w:kern w:val="0"/>
                <w:szCs w:val="21"/>
              </w:rPr>
              <w:t>2.支持校园节目插播功能，满足用户临时播出重要节目的需要；</w:t>
            </w:r>
            <w:r>
              <w:rPr>
                <w:rFonts w:hint="eastAsia" w:ascii="宋体" w:hAnsi="宋体" w:cs="宋体"/>
                <w:color w:val="000000"/>
                <w:kern w:val="0"/>
                <w:szCs w:val="21"/>
              </w:rPr>
              <w:br w:type="textWrapping"/>
            </w:r>
            <w:r>
              <w:rPr>
                <w:rFonts w:hint="eastAsia" w:ascii="宋体" w:hAnsi="宋体" w:cs="宋体"/>
                <w:color w:val="000000"/>
                <w:kern w:val="0"/>
                <w:szCs w:val="21"/>
              </w:rPr>
              <w:t>3.多媒体设备无需通过浏览器打开，节目自动推送，并实现倒计时自动播放，交互体验友好。</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5000" w:type="pct"/>
            <w:gridSpan w:val="7"/>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b/>
                <w:bCs/>
                <w:color w:val="000000"/>
                <w:kern w:val="0"/>
                <w:szCs w:val="21"/>
                <w:lang w:bidi="ar"/>
              </w:rPr>
              <w:t>周边设备配置清单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4K摄像机</w:t>
            </w:r>
          </w:p>
        </w:tc>
        <w:tc>
          <w:tcPr>
            <w:tcW w:w="2845" w:type="pct"/>
            <w:vAlign w:val="center"/>
          </w:tcPr>
          <w:p>
            <w:pPr>
              <w:widowControl/>
              <w:jc w:val="left"/>
              <w:textAlignment w:val="bottom"/>
              <w:rPr>
                <w:rFonts w:ascii="宋体" w:hAnsi="宋体" w:cs="宋体"/>
                <w:color w:val="000000"/>
                <w:szCs w:val="21"/>
              </w:rPr>
            </w:pPr>
            <w:r>
              <w:rPr>
                <w:rFonts w:hint="eastAsia" w:ascii="宋体" w:hAnsi="宋体" w:cs="宋体"/>
                <w:color w:val="000000"/>
                <w:szCs w:val="21"/>
              </w:rPr>
              <w:t>1. 1/2 英寸 3CMOS 成像器。采用3片1/2英寸Exmor RCMOS 4K 成像器，能够拍摄出深景深效果的高品质画面，帮助用户实现高分新率、2F12(59.94p)/F13(50p)高灵敏度和高动态范围的拍摄打造细腻的色彩层次。3片成像器分别记录RGB信息，同一像素的RGB基色像素映射在相同的空间位置上，没有假彩色干扰、光利用率高.颜色还原准，成像质量好。</w:t>
            </w:r>
          </w:p>
          <w:p>
            <w:pPr>
              <w:widowControl/>
              <w:jc w:val="left"/>
              <w:textAlignment w:val="bottom"/>
              <w:rPr>
                <w:rFonts w:ascii="宋体" w:hAnsi="宋体" w:cs="宋体"/>
                <w:color w:val="000000"/>
                <w:szCs w:val="21"/>
              </w:rPr>
            </w:pPr>
            <w:r>
              <w:rPr>
                <w:rFonts w:hint="eastAsia" w:ascii="宋体" w:hAnsi="宋体" w:cs="宋体"/>
                <w:color w:val="000000"/>
                <w:szCs w:val="21"/>
              </w:rPr>
              <w:t>2. 4K 50p/60p。提供4K60p/50p10bt4:2:2的性能，可以拍摄；多种场冒:在根或者柏梅运动物体时，想供了流畅，生动的画面效果。</w:t>
            </w:r>
          </w:p>
          <w:p>
            <w:pPr>
              <w:widowControl/>
              <w:jc w:val="left"/>
              <w:textAlignment w:val="bottom"/>
              <w:rPr>
                <w:rFonts w:ascii="宋体" w:hAnsi="宋体" w:cs="宋体"/>
                <w:color w:val="000000"/>
                <w:szCs w:val="21"/>
              </w:rPr>
            </w:pPr>
            <w:r>
              <w:rPr>
                <w:rFonts w:hint="eastAsia" w:ascii="宋体" w:hAnsi="宋体" w:cs="宋体"/>
                <w:color w:val="000000"/>
                <w:szCs w:val="21"/>
              </w:rPr>
              <w:t>3.无级可调 ND 滤镜。创新地将无级可调ND滤镜集成到摄录一体机的机身当中可实现快速、灵活的拍摄。从阴暗的室内移动到阳光强烈的时候也能轻松应对。</w:t>
            </w:r>
            <w:r>
              <w:rPr>
                <w:rFonts w:hint="eastAsia" w:ascii="宋体" w:hAnsi="宋体"/>
                <w:szCs w:val="21"/>
              </w:rPr>
              <w:t>无级可调 ND 滤镜能够从</w:t>
            </w:r>
            <w:r>
              <w:rPr>
                <w:rFonts w:hint="eastAsia" w:ascii="宋体" w:hAnsi="宋体"/>
                <w:color w:val="000000"/>
                <w:szCs w:val="21"/>
              </w:rPr>
              <w:t>1/4ND到1/128ND连线线性调款</w:t>
            </w:r>
            <w:r>
              <w:rPr>
                <w:rFonts w:hint="eastAsia" w:ascii="宋体" w:hAnsi="宋体"/>
                <w:szCs w:val="21"/>
              </w:rPr>
              <w:t>并日以设警为全自动</w:t>
            </w:r>
            <w:r>
              <w:rPr>
                <w:rFonts w:hint="eastAsia" w:ascii="宋体" w:hAnsi="宋体" w:cs="宋体"/>
                <w:color w:val="000000"/>
                <w:szCs w:val="21"/>
              </w:rPr>
              <w:t>。用户其至可以利用光器手动调整景深，同时在不改变增益或快门速度的情况下，利用无级可调ND来保持话当的微光。</w:t>
            </w:r>
          </w:p>
          <w:p>
            <w:pPr>
              <w:widowControl/>
              <w:jc w:val="left"/>
              <w:textAlignment w:val="bottom"/>
              <w:rPr>
                <w:rFonts w:ascii="宋体" w:hAnsi="宋体" w:cs="宋体"/>
                <w:color w:val="000000"/>
                <w:szCs w:val="21"/>
              </w:rPr>
            </w:pPr>
            <w:r>
              <w:rPr>
                <w:rFonts w:hint="eastAsia" w:ascii="宋体" w:hAnsi="宋体" w:cs="宋体"/>
                <w:color w:val="000000"/>
                <w:szCs w:val="21"/>
              </w:rPr>
              <w:t>4. 17 倍专业变焦镜头三环独立带物理止点。搭载17倍变焦镜头，焦距为303mm到515mm(35mm等效)该镜头具有三个独立、带有物理止点的控制环，可以分别手动控制聚焦变焦和光圈从而实现快速、准确的调节。</w:t>
            </w:r>
          </w:p>
          <w:p>
            <w:pPr>
              <w:widowControl/>
              <w:jc w:val="left"/>
              <w:textAlignment w:val="bottom"/>
              <w:rPr>
                <w:rFonts w:ascii="宋体" w:hAnsi="宋体" w:cs="宋体"/>
                <w:color w:val="000000"/>
                <w:szCs w:val="21"/>
              </w:rPr>
            </w:pPr>
            <w:r>
              <w:rPr>
                <w:rFonts w:hint="eastAsia" w:ascii="宋体" w:hAnsi="宋体" w:cs="宋体"/>
                <w:color w:val="000000"/>
                <w:szCs w:val="21"/>
              </w:rPr>
              <w:t>5. 人脸识别自动对焦(AF)。此功能特别适用于要求更高的4K拍摄店用例如记录采访或演讲帮助对特定目标人物自动保持聚焦点。</w:t>
            </w:r>
          </w:p>
          <w:p>
            <w:pPr>
              <w:widowControl/>
              <w:jc w:val="left"/>
              <w:textAlignment w:val="bottom"/>
              <w:rPr>
                <w:rFonts w:ascii="宋体" w:hAnsi="宋体" w:cs="宋体"/>
                <w:color w:val="000000"/>
                <w:szCs w:val="21"/>
              </w:rPr>
            </w:pPr>
            <w:r>
              <w:rPr>
                <w:rFonts w:hint="eastAsia" w:ascii="宋体" w:hAnsi="宋体" w:cs="宋体"/>
                <w:color w:val="000000"/>
                <w:szCs w:val="21"/>
              </w:rPr>
              <w:t>6. 画质无损的数字扩展功能。在高清模式下，图像能够被放大而不会出现质量的下降，使用传感多裁剪扩展器可以捕捉相当于34倍变焦的画面。</w:t>
            </w:r>
          </w:p>
          <w:p>
            <w:pPr>
              <w:widowControl/>
              <w:spacing w:after="156"/>
              <w:jc w:val="left"/>
              <w:textAlignment w:val="bottom"/>
              <w:rPr>
                <w:rFonts w:ascii="宋体" w:hAnsi="宋体" w:cs="宋体"/>
                <w:color w:val="000000"/>
                <w:szCs w:val="21"/>
              </w:rPr>
            </w:pPr>
            <w:r>
              <w:rPr>
                <w:rFonts w:hint="eastAsia" w:ascii="宋体" w:hAnsi="宋体" w:cs="宋体"/>
                <w:color w:val="000000"/>
                <w:szCs w:val="21"/>
              </w:rPr>
              <w:t>7. 12G-SDIHDMI 和 VIDEO。配备一个12G-SDI和一个HDMI接口，可让用户使用一根BNC线或者一根HDMI线传输4K50p/60p信号。同时还具有可输出高清或者标清的VIDEO接口，在使用12G-SDI或HDMI输出4K时，可通过VIDE输出高清同步信号。</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10</w:t>
            </w:r>
          </w:p>
        </w:tc>
        <w:tc>
          <w:tcPr>
            <w:tcW w:w="1171" w:type="pct"/>
            <w:gridSpan w:val="2"/>
            <w:vAlign w:val="center"/>
          </w:tcPr>
          <w:p>
            <w:pPr>
              <w:widowControl/>
              <w:spacing w:before="156" w:after="156"/>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储存卡</w:t>
            </w:r>
          </w:p>
        </w:tc>
        <w:tc>
          <w:tcPr>
            <w:tcW w:w="2845" w:type="pct"/>
            <w:vAlign w:val="bottom"/>
          </w:tcPr>
          <w:p>
            <w:pPr>
              <w:widowControl/>
              <w:spacing w:after="156"/>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传输速度高达 10Gps(1250MB/s)*EB 流”技术可在存储卡与摄录一体机之间实现持续双向通信，确保稳定的高帧率录制能力，同时还能避免速度下降，容量：120G。</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11</w:t>
            </w:r>
          </w:p>
        </w:tc>
        <w:tc>
          <w:tcPr>
            <w:tcW w:w="1171" w:type="pct"/>
            <w:gridSpan w:val="2"/>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读卡器</w:t>
            </w:r>
          </w:p>
        </w:tc>
        <w:tc>
          <w:tcPr>
            <w:tcW w:w="2845" w:type="pct"/>
            <w:vAlign w:val="center"/>
          </w:tcPr>
          <w:p>
            <w:pPr>
              <w:widowControl/>
              <w:spacing w:after="156"/>
              <w:jc w:val="left"/>
              <w:textAlignment w:val="center"/>
              <w:rPr>
                <w:rFonts w:ascii="宋体" w:hAnsi="宋体" w:cs="宋体"/>
                <w:color w:val="000000"/>
                <w:kern w:val="0"/>
                <w:szCs w:val="21"/>
                <w:lang w:bidi="ar"/>
              </w:rPr>
            </w:pPr>
            <w:r>
              <w:rPr>
                <w:rFonts w:hint="eastAsia" w:ascii="宋体" w:hAnsi="宋体" w:cs="宋体"/>
                <w:color w:val="000000"/>
                <w:szCs w:val="21"/>
              </w:rPr>
              <w:t>USB 3.0 接口在基于 Windows 的 PC 和 Macintosh 计算机上使用，实现音频/视频材料的高速传输。读卡器与 USB 2.0 接口兼容。</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12</w:t>
            </w:r>
          </w:p>
        </w:tc>
        <w:tc>
          <w:tcPr>
            <w:tcW w:w="1171" w:type="pct"/>
            <w:gridSpan w:val="2"/>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备用电池</w:t>
            </w:r>
          </w:p>
        </w:tc>
        <w:tc>
          <w:tcPr>
            <w:tcW w:w="2845" w:type="pct"/>
            <w:vAlign w:val="center"/>
          </w:tcPr>
          <w:p>
            <w:pPr>
              <w:widowControl/>
              <w:jc w:val="left"/>
              <w:textAlignment w:val="center"/>
              <w:rPr>
                <w:rFonts w:ascii="宋体" w:hAnsi="宋体" w:cs="宋体"/>
                <w:color w:val="000000"/>
                <w:szCs w:val="21"/>
              </w:rPr>
            </w:pPr>
            <w:r>
              <w:rPr>
                <w:rFonts w:hint="eastAsia" w:ascii="宋体" w:hAnsi="宋体" w:cs="宋体"/>
                <w:color w:val="000000"/>
                <w:szCs w:val="21"/>
              </w:rPr>
              <w:t>1.型号：ADX-BPU98</w:t>
            </w:r>
          </w:p>
          <w:p>
            <w:pPr>
              <w:widowControl/>
              <w:jc w:val="left"/>
              <w:textAlignment w:val="center"/>
              <w:rPr>
                <w:rFonts w:ascii="宋体" w:hAnsi="宋体" w:cs="宋体"/>
                <w:color w:val="000000"/>
                <w:szCs w:val="21"/>
              </w:rPr>
            </w:pPr>
            <w:r>
              <w:rPr>
                <w:rFonts w:hint="eastAsia" w:ascii="宋体" w:hAnsi="宋体" w:cs="宋体"/>
                <w:color w:val="000000"/>
                <w:szCs w:val="21"/>
              </w:rPr>
              <w:t>2.容量：6600mAh   (97Wh)</w:t>
            </w:r>
          </w:p>
          <w:p>
            <w:pPr>
              <w:widowControl/>
              <w:jc w:val="left"/>
              <w:textAlignment w:val="center"/>
              <w:rPr>
                <w:rFonts w:ascii="宋体" w:hAnsi="宋体" w:cs="宋体"/>
                <w:color w:val="000000"/>
                <w:szCs w:val="21"/>
              </w:rPr>
            </w:pPr>
            <w:r>
              <w:rPr>
                <w:rFonts w:hint="eastAsia" w:ascii="宋体" w:hAnsi="宋体" w:cs="宋体"/>
                <w:color w:val="000000"/>
                <w:szCs w:val="21"/>
              </w:rPr>
              <w:t xml:space="preserve">3.电压：14.8V   </w:t>
            </w:r>
          </w:p>
          <w:p>
            <w:pPr>
              <w:widowControl/>
              <w:jc w:val="left"/>
              <w:textAlignment w:val="center"/>
              <w:rPr>
                <w:rFonts w:ascii="宋体" w:hAnsi="宋体" w:cs="宋体"/>
                <w:color w:val="000000"/>
                <w:szCs w:val="21"/>
              </w:rPr>
            </w:pPr>
            <w:r>
              <w:rPr>
                <w:rFonts w:hint="eastAsia" w:ascii="宋体" w:hAnsi="宋体" w:cs="宋体"/>
                <w:color w:val="000000"/>
                <w:szCs w:val="21"/>
              </w:rPr>
              <w:t>4.工作环境温度：-20℃～55℃</w:t>
            </w:r>
          </w:p>
          <w:p>
            <w:pPr>
              <w:widowControl/>
              <w:jc w:val="left"/>
              <w:textAlignment w:val="center"/>
              <w:rPr>
                <w:rFonts w:ascii="宋体" w:hAnsi="宋体" w:cs="宋体"/>
                <w:color w:val="000000"/>
                <w:kern w:val="0"/>
                <w:szCs w:val="21"/>
                <w:lang w:bidi="ar"/>
              </w:rPr>
            </w:pPr>
            <w:r>
              <w:rPr>
                <w:rFonts w:hint="eastAsia" w:ascii="宋体" w:hAnsi="宋体" w:cs="宋体"/>
                <w:color w:val="000000"/>
                <w:szCs w:val="21"/>
              </w:rPr>
              <w:t>5.支持3小时以上</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trPr>
        <w:tc>
          <w:tcPr>
            <w:tcW w:w="247" w:type="pct"/>
            <w:gridSpan w:val="2"/>
            <w:noWrap/>
            <w:vAlign w:val="center"/>
          </w:tcPr>
          <w:p>
            <w:pPr>
              <w:widowControl/>
              <w:spacing w:before="156" w:after="156"/>
              <w:jc w:val="center"/>
              <w:textAlignment w:val="center"/>
              <w:rPr>
                <w:rFonts w:ascii="宋体" w:hAnsi="宋体" w:cs="宋体"/>
                <w:szCs w:val="21"/>
              </w:rPr>
            </w:pPr>
            <w:r>
              <w:rPr>
                <w:rFonts w:hint="eastAsia" w:ascii="宋体" w:hAnsi="宋体" w:cs="宋体"/>
                <w:szCs w:val="21"/>
              </w:rPr>
              <w:t>13</w:t>
            </w:r>
          </w:p>
        </w:tc>
        <w:tc>
          <w:tcPr>
            <w:tcW w:w="1171" w:type="pct"/>
            <w:gridSpan w:val="2"/>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三脚架</w:t>
            </w:r>
          </w:p>
        </w:tc>
        <w:tc>
          <w:tcPr>
            <w:tcW w:w="2845" w:type="pct"/>
            <w:vAlign w:val="center"/>
          </w:tcPr>
          <w:p>
            <w:pPr>
              <w:widowControl/>
              <w:jc w:val="left"/>
              <w:textAlignment w:val="bottom"/>
              <w:rPr>
                <w:rFonts w:ascii="宋体" w:hAnsi="宋体" w:cs="宋体"/>
                <w:szCs w:val="21"/>
              </w:rPr>
            </w:pPr>
            <w:r>
              <w:rPr>
                <w:rFonts w:hint="eastAsia" w:ascii="宋体" w:hAnsi="宋体" w:cs="宋体"/>
                <w:kern w:val="0"/>
                <w:szCs w:val="21"/>
                <w:lang w:bidi="ar"/>
              </w:rPr>
              <w:t>1.带水平调整仪和伸缩手柄,液压云台,延伸高度可调,俯仰摇移可调,平稳顺滑的操控,动态平稳,承重10Kg,含万向脚轮,带自锁。支撑高度1.2—2.2M可调节</w:t>
            </w:r>
            <w:r>
              <w:rPr>
                <w:rFonts w:hint="eastAsia" w:ascii="宋体" w:hAnsi="宋体" w:cs="宋体"/>
                <w:kern w:val="0"/>
                <w:szCs w:val="21"/>
                <w:lang w:bidi="ar"/>
              </w:rPr>
              <w:br w:type="textWrapping"/>
            </w:r>
            <w:r>
              <w:rPr>
                <w:rFonts w:hint="eastAsia" w:ascii="宋体" w:hAnsi="宋体" w:cs="宋体"/>
                <w:kern w:val="0"/>
                <w:szCs w:val="21"/>
                <w:lang w:bidi="ar"/>
              </w:rPr>
              <w:t>2.专业型三脚架（带水平仪、万向脚轮）</w:t>
            </w:r>
          </w:p>
        </w:tc>
        <w:tc>
          <w:tcPr>
            <w:tcW w:w="332" w:type="pct"/>
            <w:noWrap/>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1</w:t>
            </w:r>
          </w:p>
        </w:tc>
        <w:tc>
          <w:tcPr>
            <w:tcW w:w="404" w:type="pct"/>
            <w:noWrap/>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7" w:type="pct"/>
            <w:gridSpan w:val="2"/>
            <w:noWrap/>
            <w:vAlign w:val="center"/>
          </w:tcPr>
          <w:p>
            <w:pPr>
              <w:widowControl/>
              <w:spacing w:before="156" w:after="156"/>
              <w:jc w:val="center"/>
              <w:textAlignment w:val="center"/>
              <w:rPr>
                <w:rFonts w:ascii="宋体" w:hAnsi="宋体" w:cs="宋体"/>
                <w:szCs w:val="21"/>
              </w:rPr>
            </w:pPr>
            <w:r>
              <w:rPr>
                <w:rFonts w:hint="eastAsia" w:ascii="宋体" w:hAnsi="宋体" w:cs="宋体"/>
                <w:szCs w:val="21"/>
              </w:rPr>
              <w:t>14</w:t>
            </w:r>
          </w:p>
        </w:tc>
        <w:tc>
          <w:tcPr>
            <w:tcW w:w="1171" w:type="pct"/>
            <w:gridSpan w:val="2"/>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回监电视</w:t>
            </w:r>
          </w:p>
        </w:tc>
        <w:tc>
          <w:tcPr>
            <w:tcW w:w="2845" w:type="pct"/>
            <w:vAlign w:val="bottom"/>
          </w:tcPr>
          <w:p>
            <w:pPr>
              <w:widowControl/>
              <w:jc w:val="left"/>
              <w:textAlignment w:val="bottom"/>
              <w:rPr>
                <w:rFonts w:ascii="宋体" w:hAnsi="宋体" w:cs="宋体"/>
                <w:szCs w:val="21"/>
              </w:rPr>
            </w:pPr>
            <w:r>
              <w:rPr>
                <w:rFonts w:hint="eastAsia" w:ascii="宋体" w:hAnsi="宋体" w:cs="宋体"/>
                <w:kern w:val="0"/>
                <w:szCs w:val="21"/>
                <w:lang w:bidi="ar"/>
              </w:rPr>
              <w:t>1.75英寸全高清液晶监看电视，含移动推车</w:t>
            </w:r>
            <w:r>
              <w:rPr>
                <w:rFonts w:hint="eastAsia" w:ascii="宋体" w:hAnsi="宋体" w:cs="宋体"/>
                <w:kern w:val="0"/>
                <w:szCs w:val="21"/>
                <w:lang w:bidi="ar"/>
              </w:rPr>
              <w:br w:type="textWrapping"/>
            </w:r>
            <w:r>
              <w:rPr>
                <w:rFonts w:hint="eastAsia" w:ascii="宋体" w:hAnsi="宋体" w:cs="宋体"/>
                <w:kern w:val="0"/>
                <w:szCs w:val="21"/>
                <w:lang w:bidi="ar"/>
              </w:rPr>
              <w:t>2.屏幕分辨率:4k超高清（3840×2160P）</w:t>
            </w:r>
            <w:r>
              <w:rPr>
                <w:rFonts w:hint="eastAsia" w:ascii="宋体" w:hAnsi="宋体" w:cs="宋体"/>
                <w:kern w:val="0"/>
                <w:szCs w:val="21"/>
                <w:lang w:bidi="ar"/>
              </w:rPr>
              <w:br w:type="textWrapping"/>
            </w:r>
            <w:r>
              <w:rPr>
                <w:rFonts w:hint="eastAsia" w:ascii="宋体" w:hAnsi="宋体" w:cs="宋体"/>
                <w:kern w:val="0"/>
                <w:szCs w:val="21"/>
                <w:lang w:bidi="ar"/>
              </w:rPr>
              <w:t>3.屏幕比例:16:9</w:t>
            </w:r>
            <w:r>
              <w:rPr>
                <w:rFonts w:hint="eastAsia" w:ascii="宋体" w:hAnsi="宋体" w:cs="宋体"/>
                <w:kern w:val="0"/>
                <w:szCs w:val="21"/>
                <w:lang w:bidi="ar"/>
              </w:rPr>
              <w:br w:type="textWrapping"/>
            </w:r>
            <w:r>
              <w:rPr>
                <w:rFonts w:hint="eastAsia" w:ascii="宋体" w:hAnsi="宋体" w:cs="宋体"/>
                <w:kern w:val="0"/>
                <w:szCs w:val="21"/>
                <w:lang w:bidi="ar"/>
              </w:rPr>
              <w:t>4.刷屏率:120HZ</w:t>
            </w:r>
          </w:p>
        </w:tc>
        <w:tc>
          <w:tcPr>
            <w:tcW w:w="332" w:type="pct"/>
            <w:noWrap/>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1</w:t>
            </w:r>
          </w:p>
        </w:tc>
        <w:tc>
          <w:tcPr>
            <w:tcW w:w="404" w:type="pct"/>
            <w:noWrap/>
            <w:vAlign w:val="center"/>
          </w:tcPr>
          <w:p>
            <w:pPr>
              <w:widowControl/>
              <w:spacing w:before="156" w:after="156"/>
              <w:jc w:val="center"/>
              <w:textAlignment w:val="center"/>
              <w:rPr>
                <w:rFonts w:ascii="宋体" w:hAnsi="宋体" w:cs="宋体"/>
                <w:szCs w:val="21"/>
              </w:rPr>
            </w:pPr>
            <w:r>
              <w:rPr>
                <w:rFonts w:hint="eastAsia" w:ascii="宋体" w:hAnsi="宋体" w:cs="宋体"/>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15</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视频转换器</w:t>
            </w:r>
          </w:p>
        </w:tc>
        <w:tc>
          <w:tcPr>
            <w:tcW w:w="2845" w:type="pct"/>
            <w:vAlign w:val="center"/>
          </w:tcPr>
          <w:p>
            <w:pPr>
              <w:widowControl/>
              <w:spacing w:after="156"/>
              <w:textAlignment w:val="bottom"/>
              <w:rPr>
                <w:rFonts w:ascii="宋体" w:hAnsi="宋体" w:cs="宋体"/>
                <w:color w:val="000000"/>
                <w:szCs w:val="21"/>
              </w:rPr>
            </w:pPr>
            <w:r>
              <w:rPr>
                <w:rFonts w:hint="eastAsia" w:ascii="宋体" w:hAnsi="宋体" w:cs="宋体"/>
                <w:color w:val="000000"/>
                <w:kern w:val="0"/>
                <w:szCs w:val="21"/>
                <w:lang w:bidi="ar"/>
              </w:rPr>
              <w:t>视频转换器，SDI-HDMI,用于信号转换输出至回监电视。</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16</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智能提词器双屏</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kern w:val="0"/>
                <w:szCs w:val="21"/>
                <w:lang w:bidi="ar"/>
              </w:rPr>
              <w:t>内嵌电脑双镜像智能提词器，采用企业级高效内嵌微型主机，采用ATX系列主板，INTEL专业cpu，8g内存，128g高速msata企业版硬盘，自带集成镜像模式，广泛支持图片、视频、网页、ppt、word等格式，实现所见即所得。搭配提词器专用无线遥控器，可轻松控制文稿的暂停与播放。操作简单，整体模块化设计，使用方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主要参数：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 文稿录入、编辑方便，操作简单，自动完成排版，支持txt、word等格式文本；</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2.无需另行采购提词器电脑，可直接打开图片，word，ppt，视频，网页等文件；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具有一个高速网口，支持通过有线联网安装软件，从而实现钉钉直播、微信互动等交互功能；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拥有不少于四个usb口，支持从U盘导入演讲文档，支持利用高拍仪直接导入扫描文档，并支持鼠标键盘控制；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 无需导播间专人配合，所有操作主持人通过无线遥控即可轻松完成，并且需支持暂停、播放、加速、翻页等功能；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支持usb一键升级提词器系统，体验最新功能；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7.提词器文稿屏亮度为250cd/m²，拥有一个hdmi接口，可以输出提词器文稿屏画面至导播间监看；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 提词器软件支持汉、藏、蒙、傣、维、朝鲜等少数民族语言。而且还支持国外的一些语言英、日、韩、德、俄、法、阿拉伯文等国家语言。自带镜像功能，视觉清晰，字迹平稳：图象鲜艳，分辨率高，字符大、亮度高、画面平滑、无抖动，操作简便,功能齐全，视距大于2.5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 提词器软件支持中英文操作平台，自带镜像功能、男女播音员可分别选择不同的背景色和字色方便男女播音员选择自己的播音词，字体和字的大小任意选择，可选多种角色，以区分男角女角或更多播音角色。支持滚动速度任意调整、翻页；字号、字体任意设置，字色、背景色任意搭配等功能。软件控制方式多样化，键盘、鼠标、遥控器、脚踏板、遥控手柄均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10.提词器整体结构为CNC数控加工成型，强度高，坚固结实、耐磕碰、防静电.整体模块化设计,安装简单；</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11.摄像机承托架结构为铝材数控一次挤出成型，固定支架可前后滑动，带卡锁弹簧装置和定位固定装置摄像机滑道为航空型材滑道,轻便耐用,一体化设计,能与各种摄像机和三脚架固定使用,拆装简便；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 提词器单面反光玻璃支架为铝型材数控加工支架，遮光罩为一次模压成型工程环保塑壳，重量轻，结构不变形，提词器显示屏可上下位置调整，前后滑动。</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8"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非编服务器</w:t>
            </w:r>
          </w:p>
        </w:tc>
        <w:tc>
          <w:tcPr>
            <w:tcW w:w="2845" w:type="pct"/>
            <w:vAlign w:val="bottom"/>
          </w:tcPr>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1.有卡编辑工作站,支持市面上所有主流的视音频文件输出输出，4层任何摄像机XAVC、GRASS valley 4K编码格式，3层数码相机MP4素材实时编辑，3层DJ无人机4K.H.264素材实时编辑,多任务处理。如想实现更多层数编辑可用1/2,2/4,1/8降低预览质量模式，无需生成时间；</w:t>
            </w:r>
          </w:p>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2.支持不同摄像机厂商的多种HDR素材(PQ、HLG、Slog)，可在采集/导入时识别素材的色域、伽马曲线等元数据信息，并自动进行处理；</w:t>
            </w:r>
          </w:p>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2.CPU：i9 八核3.6GHZ），内存：DDR4 32*4G，显卡：GTX 1070 8G ，系统硬盘：M.2 1T或固态ssd，素材硬盘：SATA 10T AS级*5 RAID5，光驱：蓝光刻录机，电源：650W，液晶：三星28寸4K液晶屏，Win 10 64位专业版系统，耳机：专业监听耳机，机箱：EDIUS 4U机箱；                </w:t>
            </w:r>
          </w:p>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3.视频板卡12G HD/SD-SDI*2（10bit，内嵌16ch音频，支持3D和4K）、HDMI（内嵌8ch音频，支持3D和4K）、HD/SD YUV分量、S-Video、复合、AES/EBU*1（2ch非平衡音频）、XLR（2ch）平衡模拟音频输入/输出接口、 REF输入（blackburst和HD tri-level），基于硬件的上、下变换功能，支持AE、Photoshop上屏，支持RS -422录像机控制采集；    </w:t>
            </w:r>
          </w:p>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4.EDIUS 10 WG 4K编辑软件（正版），小篆图文制作模块、小篆唱词制作模块、音效处理软件、媒体素材管理模块，保护系统；自动配字幕软件；</w:t>
            </w:r>
          </w:p>
          <w:p>
            <w:pPr>
              <w:widowControl/>
              <w:jc w:val="left"/>
              <w:textAlignment w:val="bottom"/>
              <w:rPr>
                <w:rFonts w:ascii="宋体" w:hAnsi="宋体" w:cs="宋体"/>
                <w:color w:val="000000"/>
                <w:kern w:val="0"/>
                <w:szCs w:val="21"/>
                <w:lang w:bidi="ar"/>
              </w:rPr>
            </w:pPr>
            <w:r>
              <w:rPr>
                <w:rFonts w:hint="eastAsia" w:ascii="宋体" w:hAnsi="宋体" w:cs="宋体"/>
                <w:color w:val="000000"/>
                <w:kern w:val="0"/>
                <w:szCs w:val="21"/>
                <w:lang w:bidi="ar"/>
              </w:rPr>
              <w:t>5.真正64位高标清非线性编辑系统，可充分发挥和利用64位操作系统的资源和优势，可以进行3D立体、4K、2K高清格式实时编辑；同一时间线上无需转换的进行高/标清不同分辨率，如1920x1080,1440x1080,1280x720,720x576/480，最高4K、2K，低至24x24素材间的实时编辑，并支持高标清项目工程自由切换，提供信箱、压缩、侧边裁切，上下裁切等多种高标清16:9和4:3之间的转换。支持输出Grass Valley HQX AVI、Grass Valley HQ AVI、DV AVI、DVCPRO50 AVI、DVCPRO HD AVI、Grass Valley Lossless AVI、无压缩 (RGB) AVI、无压缩(YUY2) AVI和无压缩 (UYVY) AVI 时使用32 bits浮点音频。支持与DaVinci的EDL/AAF进行时间线交换，形成完美校色流程；具有16机位同时编辑能力，通过自身编辑软件就可以刻录交互式 DVD和蓝光Blu-ray，还支持多光盘和多光驱输出。完美无带化设备支持，原码编辑包括Infinity JPEG 2000、XDCAM HD、XDCAM EX、P2（DVCPRO和AVC-Intra），Canon XF和EOS视频格式，以及   GFCam，AVCHD、MPEG-2、无压缩等多种格式；直接导入苹果编辑系统的工程及文件（FCP XML导入）,Apple ProRes 422素材的源码导入编辑，支持FCP XML和P2 PLAYList文件的直接调入，并可直接调入FCL和ALE批采集文件；实时混合编辑和转换NTSC、PAL制不同帧速率素材，如60p/50p、60i/50i和24p，并保证声画同步不错位；</w:t>
            </w:r>
          </w:p>
          <w:p>
            <w:pPr>
              <w:widowControl/>
              <w:jc w:val="left"/>
              <w:textAlignment w:val="bottom"/>
              <w:rPr>
                <w:rFonts w:ascii="宋体" w:hAnsi="宋体" w:cs="宋体"/>
                <w:b/>
                <w:color w:val="000000"/>
                <w:kern w:val="0"/>
                <w:szCs w:val="21"/>
                <w:lang w:bidi="ar"/>
              </w:rPr>
            </w:pPr>
            <w:r>
              <w:rPr>
                <w:rFonts w:hint="eastAsia" w:ascii="宋体" w:hAnsi="宋体" w:cs="宋体"/>
                <w:b/>
                <w:color w:val="FF0000"/>
                <w:kern w:val="0"/>
                <w:szCs w:val="21"/>
                <w:lang w:bidi="ar"/>
              </w:rPr>
              <w:t>6.具有国家广电总局针对非编接口卡广电总局检测报告</w:t>
            </w:r>
            <w:r>
              <w:rPr>
                <w:rFonts w:hint="eastAsia" w:ascii="宋体" w:hAnsi="宋体" w:cs="宋体"/>
                <w:b/>
                <w:color w:val="000000"/>
                <w:kern w:val="0"/>
                <w:szCs w:val="21"/>
                <w:lang w:bidi="ar"/>
              </w:rPr>
              <w:t>；</w:t>
            </w:r>
          </w:p>
          <w:p>
            <w:pPr>
              <w:widowControl/>
              <w:jc w:val="left"/>
              <w:textAlignment w:val="bottom"/>
              <w:rPr>
                <w:rFonts w:ascii="宋体" w:hAnsi="宋体" w:cs="宋体"/>
                <w:b/>
                <w:color w:val="FF0000"/>
                <w:kern w:val="0"/>
                <w:szCs w:val="21"/>
                <w:lang w:bidi="ar"/>
              </w:rPr>
            </w:pPr>
            <w:r>
              <w:rPr>
                <w:rFonts w:hint="eastAsia" w:ascii="宋体" w:hAnsi="宋体" w:cs="宋体"/>
                <w:b/>
                <w:color w:val="FF0000"/>
                <w:kern w:val="0"/>
                <w:szCs w:val="21"/>
                <w:lang w:bidi="ar"/>
              </w:rPr>
              <w:t>7.非编软件取得中国国家版权局计算机软件著作权登记证明；</w:t>
            </w:r>
          </w:p>
          <w:p>
            <w:pPr>
              <w:widowControl/>
              <w:jc w:val="left"/>
              <w:textAlignment w:val="bottom"/>
              <w:rPr>
                <w:rFonts w:ascii="宋体" w:hAnsi="宋体" w:cs="宋体"/>
                <w:b/>
                <w:color w:val="000000"/>
                <w:kern w:val="0"/>
                <w:szCs w:val="21"/>
                <w:lang w:bidi="ar"/>
              </w:rPr>
            </w:pPr>
            <w:r>
              <w:rPr>
                <w:rFonts w:hint="eastAsia" w:ascii="宋体" w:hAnsi="宋体" w:cs="宋体"/>
                <w:b/>
                <w:color w:val="FF0000"/>
                <w:kern w:val="0"/>
                <w:szCs w:val="21"/>
                <w:lang w:bidi="ar"/>
              </w:rPr>
              <w:t>8.非编具备商标著作权证书。</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4K显示器</w:t>
            </w:r>
          </w:p>
        </w:tc>
        <w:tc>
          <w:tcPr>
            <w:tcW w:w="2845" w:type="pct"/>
            <w:noWrap/>
            <w:vAlign w:val="center"/>
          </w:tcPr>
          <w:p>
            <w:pPr>
              <w:widowControl/>
              <w:spacing w:after="156"/>
              <w:jc w:val="left"/>
              <w:textAlignment w:val="center"/>
              <w:rPr>
                <w:rFonts w:ascii="宋体" w:hAnsi="宋体" w:cs="宋体"/>
                <w:color w:val="000000"/>
                <w:szCs w:val="21"/>
              </w:rPr>
            </w:pPr>
            <w:r>
              <w:rPr>
                <w:rFonts w:hint="eastAsia" w:ascii="宋体" w:hAnsi="宋体" w:cs="宋体"/>
                <w:color w:val="000000"/>
                <w:kern w:val="0"/>
                <w:szCs w:val="21"/>
                <w:lang w:bidi="ar"/>
              </w:rPr>
              <w:t>27英寸4K 超高清 IPS屏，四边微边框旋转升降，不闪屏滤蓝光 99%sRGB。</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3"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19</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主扩音箱</w:t>
            </w:r>
          </w:p>
        </w:tc>
        <w:tc>
          <w:tcPr>
            <w:tcW w:w="2845" w:type="pct"/>
            <w:vAlign w:val="center"/>
          </w:tcPr>
          <w:p>
            <w:pPr>
              <w:widowControl/>
              <w:jc w:val="left"/>
              <w:textAlignment w:val="bottom"/>
              <w:rPr>
                <w:rFonts w:ascii="宋体" w:hAnsi="宋体" w:cs="宋体"/>
                <w:color w:val="000000"/>
                <w:szCs w:val="21"/>
              </w:rPr>
            </w:pPr>
            <w:r>
              <w:rPr>
                <w:rFonts w:hint="eastAsia" w:ascii="宋体" w:hAnsi="宋体" w:cs="宋体"/>
                <w:color w:val="000000"/>
                <w:szCs w:val="21"/>
              </w:rPr>
              <w:t>1.两分频线性阵列音柱全频音箱；</w:t>
            </w:r>
          </w:p>
          <w:p>
            <w:pPr>
              <w:widowControl/>
              <w:jc w:val="left"/>
              <w:textAlignment w:val="bottom"/>
              <w:rPr>
                <w:rFonts w:ascii="宋体" w:hAnsi="宋体" w:cs="宋体"/>
                <w:color w:val="000000"/>
                <w:szCs w:val="21"/>
              </w:rPr>
            </w:pPr>
            <w:r>
              <w:rPr>
                <w:rFonts w:hint="eastAsia" w:ascii="宋体" w:hAnsi="宋体" w:cs="宋体"/>
                <w:color w:val="000000"/>
                <w:szCs w:val="21"/>
              </w:rPr>
              <w:t>2.频率响应(Frequency Pesponse)：≥150Hz-16KHz；</w:t>
            </w:r>
          </w:p>
          <w:p>
            <w:pPr>
              <w:widowControl/>
              <w:jc w:val="left"/>
              <w:textAlignment w:val="bottom"/>
              <w:rPr>
                <w:rFonts w:ascii="宋体" w:hAnsi="宋体" w:cs="宋体"/>
                <w:color w:val="000000"/>
                <w:szCs w:val="21"/>
              </w:rPr>
            </w:pPr>
            <w:r>
              <w:rPr>
                <w:rFonts w:hint="eastAsia" w:ascii="宋体" w:hAnsi="宋体" w:cs="宋体"/>
                <w:color w:val="000000"/>
                <w:szCs w:val="21"/>
              </w:rPr>
              <w:t>3.灵敏度(Sensitivit)：≥98dB(1.0w/1m)；</w:t>
            </w:r>
          </w:p>
          <w:p>
            <w:pPr>
              <w:widowControl/>
              <w:jc w:val="left"/>
              <w:textAlignment w:val="bottom"/>
              <w:rPr>
                <w:rFonts w:ascii="宋体" w:hAnsi="宋体" w:cs="宋体"/>
                <w:color w:val="000000"/>
                <w:szCs w:val="21"/>
              </w:rPr>
            </w:pPr>
            <w:r>
              <w:rPr>
                <w:rFonts w:hint="eastAsia" w:ascii="宋体" w:hAnsi="宋体" w:cs="宋体"/>
                <w:color w:val="000000"/>
                <w:szCs w:val="21"/>
              </w:rPr>
              <w:t>4.标称阻抗(Nominal Impedance)：8Ω；</w:t>
            </w:r>
          </w:p>
          <w:p>
            <w:pPr>
              <w:widowControl/>
              <w:jc w:val="left"/>
              <w:textAlignment w:val="bottom"/>
              <w:rPr>
                <w:rFonts w:ascii="宋体" w:hAnsi="宋体" w:cs="宋体"/>
                <w:color w:val="000000"/>
                <w:szCs w:val="21"/>
              </w:rPr>
            </w:pPr>
            <w:r>
              <w:rPr>
                <w:rFonts w:hint="eastAsia" w:ascii="宋体" w:hAnsi="宋体" w:cs="宋体"/>
                <w:color w:val="000000"/>
                <w:szCs w:val="21"/>
              </w:rPr>
              <w:t>5.额定功率(Rated Power)：≥150W；</w:t>
            </w:r>
          </w:p>
          <w:p>
            <w:pPr>
              <w:widowControl/>
              <w:jc w:val="left"/>
              <w:textAlignment w:val="bottom"/>
              <w:rPr>
                <w:rFonts w:ascii="宋体" w:hAnsi="宋体" w:cs="宋体"/>
                <w:color w:val="000000"/>
                <w:szCs w:val="21"/>
              </w:rPr>
            </w:pPr>
            <w:r>
              <w:rPr>
                <w:rFonts w:hint="eastAsia" w:ascii="宋体" w:hAnsi="宋体" w:cs="宋体"/>
                <w:color w:val="000000"/>
                <w:szCs w:val="21"/>
              </w:rPr>
              <w:t>6.峰值功率(Pesk Power)：≥600W；</w:t>
            </w:r>
          </w:p>
          <w:p>
            <w:pPr>
              <w:widowControl/>
              <w:jc w:val="left"/>
              <w:textAlignment w:val="bottom"/>
              <w:rPr>
                <w:rFonts w:ascii="宋体" w:hAnsi="宋体" w:cs="宋体"/>
                <w:color w:val="000000"/>
                <w:szCs w:val="21"/>
              </w:rPr>
            </w:pPr>
            <w:r>
              <w:rPr>
                <w:rFonts w:hint="eastAsia" w:ascii="宋体" w:hAnsi="宋体" w:cs="宋体"/>
                <w:color w:val="000000"/>
                <w:szCs w:val="21"/>
              </w:rPr>
              <w:t>7.单元配置(Components)：LF Components：≥3×4"/HF Components：≥1×1"；</w:t>
            </w:r>
          </w:p>
          <w:p>
            <w:pPr>
              <w:widowControl/>
              <w:jc w:val="left"/>
              <w:textAlignment w:val="bottom"/>
              <w:rPr>
                <w:rFonts w:ascii="宋体" w:hAnsi="宋体" w:cs="宋体"/>
                <w:color w:val="000000"/>
                <w:szCs w:val="21"/>
              </w:rPr>
            </w:pPr>
            <w:r>
              <w:rPr>
                <w:rFonts w:hint="eastAsia" w:ascii="宋体" w:hAnsi="宋体" w:cs="宋体"/>
                <w:color w:val="000000"/>
                <w:szCs w:val="21"/>
              </w:rPr>
              <w:t>8.扩散角度(Coverage)：≥90°(H)×40°(V)；</w:t>
            </w:r>
          </w:p>
          <w:p>
            <w:pPr>
              <w:widowControl/>
              <w:jc w:val="left"/>
              <w:textAlignment w:val="bottom"/>
              <w:rPr>
                <w:rFonts w:ascii="宋体" w:hAnsi="宋体" w:cs="宋体"/>
                <w:b/>
                <w:color w:val="FF0000"/>
                <w:szCs w:val="21"/>
              </w:rPr>
            </w:pPr>
            <w:r>
              <w:rPr>
                <w:rFonts w:hint="eastAsia" w:ascii="宋体" w:hAnsi="宋体"/>
                <w:b/>
                <w:color w:val="FF0000"/>
                <w:szCs w:val="21"/>
              </w:rPr>
              <w:t>▲</w:t>
            </w:r>
            <w:r>
              <w:rPr>
                <w:rFonts w:hint="eastAsia" w:ascii="宋体" w:hAnsi="宋体" w:cs="宋体"/>
                <w:b/>
                <w:color w:val="FF0000"/>
                <w:szCs w:val="21"/>
              </w:rPr>
              <w:t>9.音箱工作中不能有异常声，需通过Rub&amp;Buzz检测；须提供符合CNAS认证检测报告复印件,检测网站可查询验证并截图加盖原厂公章；</w:t>
            </w:r>
          </w:p>
          <w:p>
            <w:pPr>
              <w:widowControl/>
              <w:jc w:val="left"/>
              <w:textAlignment w:val="bottom"/>
              <w:rPr>
                <w:rFonts w:ascii="宋体" w:hAnsi="宋体" w:cs="宋体"/>
                <w:b/>
                <w:color w:val="000000"/>
                <w:szCs w:val="21"/>
              </w:rPr>
            </w:pPr>
            <w:r>
              <w:rPr>
                <w:rFonts w:hint="eastAsia" w:ascii="宋体" w:hAnsi="宋体"/>
                <w:b/>
                <w:color w:val="FF0000"/>
                <w:szCs w:val="21"/>
              </w:rPr>
              <w:t>▲</w:t>
            </w:r>
            <w:r>
              <w:rPr>
                <w:rFonts w:hint="eastAsia" w:ascii="宋体" w:hAnsi="宋体" w:cs="宋体"/>
                <w:b/>
                <w:color w:val="FF0000"/>
                <w:szCs w:val="21"/>
              </w:rPr>
              <w:t>10.音箱采用DTT减震高音技术，高音单元独有DTT(减震高音技术)先进技术设计，高音清晰甜美；须提供符合CNAS认证检测报告复印件,检测网站可查询验证并截图加盖原厂公章。</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3"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主扩功放</w:t>
            </w:r>
          </w:p>
        </w:tc>
        <w:tc>
          <w:tcPr>
            <w:tcW w:w="2845" w:type="pct"/>
            <w:vAlign w:val="bottom"/>
          </w:tcPr>
          <w:p>
            <w:pPr>
              <w:widowControl/>
              <w:spacing w:after="156"/>
              <w:jc w:val="left"/>
              <w:textAlignment w:val="bottom"/>
              <w:rPr>
                <w:rFonts w:ascii="宋体" w:hAnsi="宋体" w:cs="宋体"/>
                <w:color w:val="000000"/>
                <w:szCs w:val="21"/>
              </w:rPr>
            </w:pPr>
            <w:r>
              <w:rPr>
                <w:rFonts w:hint="eastAsia" w:ascii="宋体" w:hAnsi="宋体" w:cs="宋体"/>
                <w:color w:val="000000"/>
                <w:szCs w:val="21"/>
              </w:rPr>
              <w:t>1.内置24Bit/96KHZ双通道数字音频处理器，左右通道有电子分频器，5段参量均衡器，压缩器，电子音量，相位选择等功能；</w:t>
            </w:r>
          </w:p>
          <w:p>
            <w:pPr>
              <w:widowControl/>
              <w:spacing w:after="156"/>
              <w:jc w:val="left"/>
              <w:textAlignment w:val="bottom"/>
              <w:rPr>
                <w:rFonts w:ascii="宋体" w:hAnsi="宋体" w:cs="宋体"/>
                <w:color w:val="000000"/>
                <w:szCs w:val="21"/>
              </w:rPr>
            </w:pPr>
            <w:r>
              <w:rPr>
                <w:rFonts w:hint="eastAsia" w:ascii="宋体" w:hAnsi="宋体" w:cs="宋体"/>
                <w:color w:val="000000"/>
                <w:szCs w:val="21"/>
              </w:rPr>
              <w:t>2.具有Dante扩展功能，支持2个Dante输入通道和2个Dante输出通道；具有多种反馈机制：温度监测、电平侦测、数据反馈、故障报警多种回馈显示机制；</w:t>
            </w:r>
          </w:p>
          <w:p>
            <w:pPr>
              <w:widowControl/>
              <w:spacing w:after="156"/>
              <w:jc w:val="left"/>
              <w:textAlignment w:val="bottom"/>
              <w:rPr>
                <w:rFonts w:ascii="宋体" w:hAnsi="宋体" w:cs="宋体"/>
                <w:color w:val="000000"/>
                <w:szCs w:val="21"/>
              </w:rPr>
            </w:pPr>
            <w:r>
              <w:rPr>
                <w:rFonts w:hint="eastAsia" w:ascii="宋体" w:hAnsi="宋体" w:cs="宋体"/>
                <w:color w:val="000000"/>
                <w:szCs w:val="21"/>
              </w:rPr>
              <w:t>3.采用高品质POP降噪音频器，有效降低设备POP噪声在20mV以内；</w:t>
            </w:r>
          </w:p>
          <w:p>
            <w:pPr>
              <w:widowControl/>
              <w:spacing w:after="156"/>
              <w:jc w:val="left"/>
              <w:textAlignment w:val="bottom"/>
              <w:rPr>
                <w:rFonts w:ascii="宋体" w:hAnsi="宋体" w:cs="宋体"/>
                <w:b/>
                <w:color w:val="FF0000"/>
                <w:szCs w:val="21"/>
              </w:rPr>
            </w:pPr>
            <w:r>
              <w:rPr>
                <w:rFonts w:hint="eastAsia" w:ascii="宋体" w:hAnsi="宋体"/>
                <w:b/>
                <w:color w:val="FF0000"/>
                <w:szCs w:val="21"/>
              </w:rPr>
              <w:t>▲</w:t>
            </w:r>
            <w:r>
              <w:rPr>
                <w:rFonts w:hint="eastAsia" w:ascii="宋体" w:hAnsi="宋体" w:cs="宋体"/>
                <w:b/>
                <w:color w:val="FF0000"/>
                <w:szCs w:val="21"/>
              </w:rPr>
              <w:t>4.采用音频信号转换信号技术，对模拟信号按照时间基准进行幅度取样，然后以幅度轴为基准将时间轴移相90</w:t>
            </w:r>
            <w:r>
              <w:rPr>
                <w:b/>
                <w:color w:val="FF0000"/>
                <w:szCs w:val="21"/>
              </w:rPr>
              <w:t>˚</w:t>
            </w:r>
            <w:r>
              <w:rPr>
                <w:rFonts w:hint="eastAsia" w:ascii="宋体" w:hAnsi="宋体" w:cs="宋体"/>
                <w:b/>
                <w:color w:val="FF0000"/>
                <w:szCs w:val="21"/>
              </w:rPr>
              <w:t>，幅度取样信号即变成了以时间轴为基准的宽度不同的脉冲信号，对影响功率放大器的失真、噪声、输出阻抗、电源电压抑制比等因素进行有效补偿，实现高效率、低失真特性的功率放大；须提供符合CNAS认证检测报告复印件,检测网站可查询验证并截图加盖原厂公章；</w:t>
            </w:r>
          </w:p>
          <w:p>
            <w:pPr>
              <w:widowControl/>
              <w:jc w:val="left"/>
              <w:textAlignment w:val="bottom"/>
              <w:rPr>
                <w:rFonts w:ascii="宋体" w:hAnsi="宋体" w:cs="宋体"/>
                <w:b/>
                <w:color w:val="000000"/>
                <w:szCs w:val="21"/>
              </w:rPr>
            </w:pPr>
            <w:r>
              <w:rPr>
                <w:rFonts w:hint="eastAsia" w:ascii="宋体" w:hAnsi="宋体"/>
                <w:b/>
                <w:color w:val="FF0000"/>
                <w:szCs w:val="21"/>
              </w:rPr>
              <w:t>▲</w:t>
            </w:r>
            <w:r>
              <w:rPr>
                <w:rFonts w:hint="eastAsia" w:ascii="宋体" w:hAnsi="宋体" w:cs="宋体"/>
                <w:b/>
                <w:color w:val="FF0000"/>
                <w:szCs w:val="21"/>
              </w:rPr>
              <w:t>5.采用安全等级A1电路拓扑技术，让设备在安全范围内工作，同时在面临削波的情况下也能够保证平顺且控制良好的输出；须提供符合CNAS认证检测报告复印件,检测网站可查询验证并截图加盖原厂公章；</w:t>
            </w:r>
          </w:p>
          <w:p>
            <w:pPr>
              <w:widowControl/>
              <w:jc w:val="left"/>
              <w:textAlignment w:val="bottom"/>
              <w:rPr>
                <w:rFonts w:ascii="宋体" w:hAnsi="宋体" w:cs="宋体"/>
                <w:color w:val="000000"/>
                <w:szCs w:val="21"/>
              </w:rPr>
            </w:pPr>
            <w:r>
              <w:rPr>
                <w:rFonts w:hint="eastAsia" w:ascii="宋体" w:hAnsi="宋体" w:cs="宋体"/>
                <w:color w:val="000000"/>
                <w:szCs w:val="21"/>
              </w:rPr>
              <w:t>6.立体声功率：≥2*300W8Ω；≥2*550W4Ω；</w:t>
            </w:r>
          </w:p>
          <w:p>
            <w:pPr>
              <w:widowControl/>
              <w:jc w:val="left"/>
              <w:textAlignment w:val="bottom"/>
              <w:rPr>
                <w:rFonts w:ascii="宋体" w:hAnsi="宋体" w:cs="宋体"/>
                <w:color w:val="000000"/>
                <w:szCs w:val="21"/>
              </w:rPr>
            </w:pPr>
            <w:r>
              <w:rPr>
                <w:rFonts w:hint="eastAsia" w:ascii="宋体" w:hAnsi="宋体" w:cs="宋体"/>
                <w:color w:val="000000"/>
                <w:szCs w:val="21"/>
              </w:rPr>
              <w:t>7.桥接功率：≥1*900W8Ω；</w:t>
            </w:r>
          </w:p>
          <w:p>
            <w:pPr>
              <w:widowControl/>
              <w:jc w:val="left"/>
              <w:textAlignment w:val="bottom"/>
              <w:rPr>
                <w:rFonts w:ascii="宋体" w:hAnsi="宋体" w:cs="宋体"/>
                <w:color w:val="000000"/>
                <w:szCs w:val="21"/>
              </w:rPr>
            </w:pPr>
            <w:r>
              <w:rPr>
                <w:rFonts w:hint="eastAsia" w:ascii="宋体" w:hAnsi="宋体" w:cs="宋体"/>
                <w:color w:val="000000"/>
                <w:szCs w:val="21"/>
              </w:rPr>
              <w:t>8.信噪比：≥100dB；</w:t>
            </w:r>
          </w:p>
          <w:p>
            <w:pPr>
              <w:widowControl/>
              <w:jc w:val="left"/>
              <w:textAlignment w:val="bottom"/>
              <w:rPr>
                <w:rFonts w:ascii="宋体" w:hAnsi="宋体" w:cs="宋体"/>
                <w:color w:val="000000"/>
                <w:szCs w:val="21"/>
              </w:rPr>
            </w:pPr>
            <w:r>
              <w:rPr>
                <w:rFonts w:hint="eastAsia" w:ascii="宋体" w:hAnsi="宋体" w:cs="宋体"/>
                <w:color w:val="000000"/>
                <w:szCs w:val="21"/>
              </w:rPr>
              <w:t>9.阻尼系数：≥400:1；</w:t>
            </w:r>
          </w:p>
          <w:p>
            <w:pPr>
              <w:widowControl/>
              <w:jc w:val="left"/>
              <w:textAlignment w:val="bottom"/>
              <w:rPr>
                <w:rFonts w:ascii="宋体" w:hAnsi="宋体" w:cs="宋体"/>
                <w:color w:val="000000"/>
                <w:szCs w:val="21"/>
              </w:rPr>
            </w:pPr>
            <w:r>
              <w:rPr>
                <w:rFonts w:hint="eastAsia" w:ascii="宋体" w:hAnsi="宋体" w:cs="宋体"/>
                <w:color w:val="000000"/>
                <w:szCs w:val="21"/>
              </w:rPr>
              <w:t>10.频率响应：20Hz-20KHz(+0/-1dB,1W/8Ω)；</w:t>
            </w:r>
          </w:p>
          <w:p>
            <w:pPr>
              <w:widowControl/>
              <w:jc w:val="left"/>
              <w:textAlignment w:val="bottom"/>
              <w:rPr>
                <w:rFonts w:ascii="宋体" w:hAnsi="宋体" w:cs="宋体"/>
                <w:color w:val="000000"/>
                <w:szCs w:val="21"/>
              </w:rPr>
            </w:pPr>
            <w:r>
              <w:rPr>
                <w:rFonts w:hint="eastAsia" w:ascii="宋体" w:hAnsi="宋体" w:cs="宋体"/>
                <w:color w:val="000000"/>
                <w:szCs w:val="21"/>
              </w:rPr>
              <w:t>11.输入灵敏度：0.775V,1.0V,1.4V；</w:t>
            </w:r>
          </w:p>
          <w:p>
            <w:pPr>
              <w:widowControl/>
              <w:jc w:val="left"/>
              <w:textAlignment w:val="bottom"/>
              <w:rPr>
                <w:rFonts w:ascii="宋体" w:hAnsi="宋体" w:cs="宋体"/>
                <w:color w:val="000000"/>
                <w:szCs w:val="21"/>
              </w:rPr>
            </w:pPr>
            <w:r>
              <w:rPr>
                <w:rFonts w:hint="eastAsia" w:ascii="宋体" w:hAnsi="宋体" w:cs="宋体"/>
                <w:color w:val="000000"/>
                <w:szCs w:val="21"/>
              </w:rPr>
              <w:t>12.总谐波失真：≤0.06%@8Ω/1kHZ；</w:t>
            </w:r>
          </w:p>
          <w:p>
            <w:pPr>
              <w:widowControl/>
              <w:jc w:val="left"/>
              <w:textAlignment w:val="bottom"/>
              <w:rPr>
                <w:rFonts w:ascii="宋体" w:hAnsi="宋体" w:cs="宋体"/>
                <w:color w:val="000000"/>
                <w:szCs w:val="21"/>
              </w:rPr>
            </w:pPr>
            <w:r>
              <w:rPr>
                <w:rFonts w:hint="eastAsia" w:ascii="宋体" w:hAnsi="宋体" w:cs="宋体"/>
                <w:color w:val="000000"/>
                <w:szCs w:val="21"/>
              </w:rPr>
              <w:t>13.SMPS类型：隔离型,</w:t>
            </w:r>
          </w:p>
          <w:p>
            <w:pPr>
              <w:widowControl/>
              <w:jc w:val="left"/>
              <w:textAlignment w:val="bottom"/>
              <w:rPr>
                <w:rFonts w:ascii="宋体" w:hAnsi="宋体" w:cs="宋体"/>
                <w:color w:val="000000"/>
                <w:szCs w:val="21"/>
              </w:rPr>
            </w:pPr>
            <w:r>
              <w:rPr>
                <w:rFonts w:hint="eastAsia" w:ascii="宋体" w:hAnsi="宋体" w:cs="宋体"/>
                <w:color w:val="000000"/>
                <w:szCs w:val="21"/>
              </w:rPr>
              <w:t>14.功放采用IOC保护技术：直流保护、超高频保护、短路保护、过载保护、开关机保护、温度保护；</w:t>
            </w:r>
          </w:p>
          <w:p>
            <w:pPr>
              <w:widowControl/>
              <w:jc w:val="left"/>
              <w:textAlignment w:val="bottom"/>
              <w:rPr>
                <w:rFonts w:ascii="宋体" w:hAnsi="宋体" w:cs="宋体"/>
                <w:color w:val="000000"/>
                <w:szCs w:val="21"/>
              </w:rPr>
            </w:pPr>
            <w:r>
              <w:rPr>
                <w:rFonts w:hint="eastAsia" w:ascii="宋体" w:hAnsi="宋体" w:cs="宋体"/>
                <w:color w:val="000000"/>
                <w:szCs w:val="21"/>
              </w:rPr>
              <w:t>15.输入阻抗：10KΩ/平衡；</w:t>
            </w:r>
          </w:p>
          <w:p>
            <w:pPr>
              <w:widowControl/>
              <w:jc w:val="left"/>
              <w:textAlignment w:val="bottom"/>
              <w:rPr>
                <w:rFonts w:ascii="宋体" w:hAnsi="宋体" w:cs="宋体"/>
                <w:color w:val="000000"/>
                <w:szCs w:val="21"/>
              </w:rPr>
            </w:pPr>
            <w:r>
              <w:rPr>
                <w:rFonts w:hint="eastAsia" w:ascii="宋体" w:hAnsi="宋体" w:cs="宋体"/>
                <w:color w:val="000000"/>
                <w:szCs w:val="21"/>
              </w:rPr>
              <w:t>16.输入模式：单声道/立体声；</w:t>
            </w:r>
          </w:p>
          <w:p>
            <w:pPr>
              <w:widowControl/>
              <w:jc w:val="left"/>
              <w:textAlignment w:val="bottom"/>
              <w:rPr>
                <w:rFonts w:ascii="宋体" w:hAnsi="宋体" w:cs="宋体"/>
                <w:color w:val="000000"/>
                <w:szCs w:val="21"/>
              </w:rPr>
            </w:pPr>
            <w:r>
              <w:rPr>
                <w:rFonts w:hint="eastAsia" w:ascii="宋体" w:hAnsi="宋体" w:cs="宋体"/>
                <w:color w:val="000000"/>
                <w:szCs w:val="21"/>
              </w:rPr>
              <w:t>17.输入共态抑制比：≥85dB；</w:t>
            </w:r>
          </w:p>
          <w:p>
            <w:pPr>
              <w:widowControl/>
              <w:jc w:val="left"/>
              <w:textAlignment w:val="bottom"/>
              <w:rPr>
                <w:rFonts w:ascii="宋体" w:hAnsi="宋体" w:cs="宋体"/>
                <w:color w:val="000000"/>
                <w:szCs w:val="21"/>
              </w:rPr>
            </w:pPr>
            <w:r>
              <w:rPr>
                <w:rFonts w:hint="eastAsia" w:ascii="宋体" w:hAnsi="宋体" w:cs="宋体"/>
                <w:color w:val="000000"/>
                <w:szCs w:val="21"/>
              </w:rPr>
              <w:t>18.LED及LCD指示：保护灯，限幅灯，信号指示灯，电源指示灯；</w:t>
            </w:r>
          </w:p>
          <w:p>
            <w:pPr>
              <w:widowControl/>
              <w:jc w:val="left"/>
              <w:textAlignment w:val="bottom"/>
              <w:rPr>
                <w:rFonts w:ascii="宋体" w:hAnsi="宋体" w:cs="宋体"/>
                <w:color w:val="000000"/>
                <w:szCs w:val="21"/>
              </w:rPr>
            </w:pPr>
            <w:r>
              <w:rPr>
                <w:rFonts w:hint="eastAsia" w:ascii="宋体" w:hAnsi="宋体" w:cs="宋体"/>
                <w:color w:val="000000"/>
                <w:szCs w:val="21"/>
              </w:rPr>
              <w:t>19.LCD显示工作温度、日期、时间、工作电压。</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8"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21</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调音台</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szCs w:val="21"/>
              </w:rPr>
              <w:t>1.单声道3段均衡设计，便于对人声范围内的调控；</w:t>
            </w:r>
          </w:p>
          <w:p>
            <w:pPr>
              <w:widowControl/>
              <w:jc w:val="left"/>
              <w:textAlignment w:val="bottom"/>
              <w:rPr>
                <w:rFonts w:ascii="宋体" w:hAnsi="宋体" w:cs="宋体"/>
                <w:color w:val="000000"/>
                <w:szCs w:val="21"/>
              </w:rPr>
            </w:pPr>
            <w:r>
              <w:rPr>
                <w:rFonts w:hint="eastAsia" w:ascii="宋体" w:hAnsi="宋体" w:cs="宋体"/>
                <w:color w:val="000000"/>
                <w:szCs w:val="21"/>
              </w:rPr>
              <w:t>2.每路单独可以给电容话筒提供真正的专业+48V幻像电源；</w:t>
            </w:r>
          </w:p>
          <w:p>
            <w:pPr>
              <w:widowControl/>
              <w:jc w:val="left"/>
              <w:textAlignment w:val="bottom"/>
              <w:rPr>
                <w:rFonts w:ascii="宋体" w:hAnsi="宋体" w:cs="宋体"/>
                <w:color w:val="000000"/>
                <w:szCs w:val="21"/>
              </w:rPr>
            </w:pPr>
            <w:r>
              <w:rPr>
                <w:rFonts w:hint="eastAsia" w:ascii="宋体" w:hAnsi="宋体" w:cs="宋体"/>
                <w:color w:val="000000"/>
                <w:szCs w:val="21"/>
              </w:rPr>
              <w:t>3.每路具有静音功能选择，可一键静音；</w:t>
            </w:r>
          </w:p>
          <w:p>
            <w:pPr>
              <w:widowControl/>
              <w:jc w:val="left"/>
              <w:textAlignment w:val="bottom"/>
              <w:rPr>
                <w:rFonts w:ascii="宋体" w:hAnsi="宋体" w:cs="宋体"/>
                <w:color w:val="000000"/>
                <w:szCs w:val="21"/>
              </w:rPr>
            </w:pPr>
            <w:r>
              <w:rPr>
                <w:rFonts w:hint="eastAsia" w:ascii="宋体" w:hAnsi="宋体" w:cs="宋体"/>
                <w:color w:val="000000"/>
                <w:szCs w:val="21"/>
              </w:rPr>
              <w:t>4.每路具有独奏功能选择，可单独监听每一通道的声音；</w:t>
            </w:r>
          </w:p>
          <w:p>
            <w:pPr>
              <w:widowControl/>
              <w:jc w:val="left"/>
              <w:textAlignment w:val="bottom"/>
              <w:rPr>
                <w:rFonts w:ascii="宋体" w:hAnsi="宋体" w:cs="宋体"/>
                <w:color w:val="000000"/>
                <w:szCs w:val="21"/>
              </w:rPr>
            </w:pPr>
            <w:r>
              <w:rPr>
                <w:rFonts w:hint="eastAsia" w:ascii="宋体" w:hAnsi="宋体" w:cs="宋体"/>
                <w:color w:val="000000"/>
                <w:szCs w:val="21"/>
              </w:rPr>
              <w:t>5.内置效果器，配置效果显示，效果选择一目了然；</w:t>
            </w:r>
          </w:p>
          <w:p>
            <w:pPr>
              <w:widowControl/>
              <w:jc w:val="left"/>
              <w:textAlignment w:val="bottom"/>
              <w:rPr>
                <w:rFonts w:ascii="宋体" w:hAnsi="宋体" w:cs="宋体"/>
                <w:color w:val="000000"/>
                <w:szCs w:val="21"/>
              </w:rPr>
            </w:pPr>
            <w:r>
              <w:rPr>
                <w:rFonts w:hint="eastAsia" w:ascii="宋体" w:hAnsi="宋体" w:cs="宋体"/>
                <w:color w:val="000000"/>
                <w:szCs w:val="21"/>
              </w:rPr>
              <w:t>6.内置MP3播放器，采用USB接口，兼容多种音频格式；</w:t>
            </w:r>
          </w:p>
          <w:p>
            <w:pPr>
              <w:widowControl/>
              <w:jc w:val="left"/>
              <w:textAlignment w:val="bottom"/>
              <w:rPr>
                <w:rFonts w:ascii="宋体" w:hAnsi="宋体" w:cs="宋体"/>
                <w:color w:val="000000"/>
                <w:szCs w:val="21"/>
              </w:rPr>
            </w:pPr>
            <w:r>
              <w:rPr>
                <w:rFonts w:hint="eastAsia" w:ascii="宋体" w:hAnsi="宋体" w:cs="宋体"/>
                <w:color w:val="000000"/>
                <w:szCs w:val="21"/>
              </w:rPr>
              <w:t>7.主输出双七段均衡器，优化输出信号；</w:t>
            </w:r>
          </w:p>
          <w:p>
            <w:pPr>
              <w:widowControl/>
              <w:jc w:val="left"/>
              <w:textAlignment w:val="bottom"/>
              <w:rPr>
                <w:rFonts w:ascii="宋体" w:hAnsi="宋体" w:cs="宋体"/>
                <w:color w:val="000000"/>
                <w:szCs w:val="21"/>
              </w:rPr>
            </w:pPr>
            <w:r>
              <w:rPr>
                <w:rFonts w:hint="eastAsia" w:ascii="宋体" w:hAnsi="宋体" w:cs="宋体"/>
                <w:color w:val="000000"/>
                <w:szCs w:val="21"/>
              </w:rPr>
              <w:t>8.内置开关电源器，使用灵活、能耗低；</w:t>
            </w:r>
          </w:p>
          <w:p>
            <w:pPr>
              <w:widowControl/>
              <w:jc w:val="left"/>
              <w:textAlignment w:val="bottom"/>
              <w:rPr>
                <w:rFonts w:ascii="宋体" w:hAnsi="宋体" w:cs="宋体"/>
                <w:color w:val="000000"/>
                <w:szCs w:val="21"/>
              </w:rPr>
            </w:pPr>
            <w:r>
              <w:rPr>
                <w:rFonts w:hint="eastAsia" w:ascii="宋体" w:hAnsi="宋体" w:cs="宋体"/>
                <w:color w:val="000000"/>
                <w:szCs w:val="21"/>
              </w:rPr>
              <w:t>9.60mm流线型高精度衰减器推子、密封控制旋钮；</w:t>
            </w:r>
          </w:p>
          <w:p>
            <w:pPr>
              <w:widowControl/>
              <w:jc w:val="left"/>
              <w:textAlignment w:val="bottom"/>
              <w:rPr>
                <w:rFonts w:ascii="宋体" w:hAnsi="宋体" w:cs="宋体"/>
                <w:color w:val="000000"/>
                <w:szCs w:val="21"/>
              </w:rPr>
            </w:pPr>
            <w:r>
              <w:rPr>
                <w:rFonts w:hint="eastAsia" w:ascii="宋体" w:hAnsi="宋体" w:cs="宋体"/>
                <w:color w:val="000000"/>
                <w:szCs w:val="21"/>
              </w:rPr>
              <w:t>10.输入：12路话筒输入；4路立体声输入；</w:t>
            </w:r>
          </w:p>
          <w:p>
            <w:pPr>
              <w:widowControl/>
              <w:jc w:val="left"/>
              <w:textAlignment w:val="bottom"/>
              <w:rPr>
                <w:rFonts w:ascii="宋体" w:hAnsi="宋体" w:cs="宋体"/>
                <w:color w:val="000000"/>
                <w:szCs w:val="21"/>
              </w:rPr>
            </w:pPr>
            <w:r>
              <w:rPr>
                <w:rFonts w:hint="eastAsia" w:ascii="宋体" w:hAnsi="宋体" w:cs="宋体"/>
                <w:color w:val="000000"/>
                <w:szCs w:val="21"/>
              </w:rPr>
              <w:t>11.输出：立体声主输出L、R；辅助AUX×2；编组×6；效果发送×1；</w:t>
            </w:r>
          </w:p>
          <w:p>
            <w:pPr>
              <w:widowControl/>
              <w:jc w:val="left"/>
              <w:textAlignment w:val="bottom"/>
              <w:rPr>
                <w:rFonts w:ascii="宋体" w:hAnsi="宋体" w:cs="宋体"/>
                <w:color w:val="000000"/>
                <w:szCs w:val="21"/>
              </w:rPr>
            </w:pPr>
            <w:r>
              <w:rPr>
                <w:rFonts w:hint="eastAsia" w:ascii="宋体" w:hAnsi="宋体" w:cs="宋体"/>
                <w:color w:val="000000"/>
                <w:szCs w:val="21"/>
              </w:rPr>
              <w:t>12.效果器：内置24BT高精度数字DSP效果；</w:t>
            </w:r>
          </w:p>
          <w:p>
            <w:pPr>
              <w:widowControl/>
              <w:jc w:val="left"/>
              <w:textAlignment w:val="bottom"/>
              <w:rPr>
                <w:rFonts w:ascii="宋体" w:hAnsi="宋体" w:cs="宋体"/>
                <w:color w:val="000000"/>
                <w:szCs w:val="21"/>
              </w:rPr>
            </w:pPr>
            <w:r>
              <w:rPr>
                <w:rFonts w:hint="eastAsia" w:ascii="宋体" w:hAnsi="宋体" w:cs="宋体"/>
                <w:color w:val="000000"/>
                <w:szCs w:val="21"/>
              </w:rPr>
              <w:t>13.衰减器行程：60mm流线型高精度衰减器推子；</w:t>
            </w:r>
          </w:p>
          <w:p>
            <w:pPr>
              <w:widowControl/>
              <w:jc w:val="left"/>
              <w:textAlignment w:val="bottom"/>
              <w:rPr>
                <w:rFonts w:ascii="宋体" w:hAnsi="宋体" w:cs="宋体"/>
                <w:color w:val="000000"/>
                <w:szCs w:val="21"/>
              </w:rPr>
            </w:pPr>
            <w:r>
              <w:rPr>
                <w:rFonts w:hint="eastAsia" w:ascii="宋体" w:hAnsi="宋体"/>
                <w:b/>
                <w:color w:val="FF0000"/>
                <w:szCs w:val="21"/>
              </w:rPr>
              <w:t>▲</w:t>
            </w:r>
            <w:r>
              <w:rPr>
                <w:rFonts w:hint="eastAsia" w:ascii="宋体" w:hAnsi="宋体" w:cs="宋体"/>
                <w:b/>
                <w:color w:val="FF0000"/>
                <w:szCs w:val="21"/>
              </w:rPr>
              <w:t>14.调音台采用IOC保护技术：直流保护、超高频保护、短路保护、过载保护、开关机保护、温度保护；须提供符合CNAS认证检测报告复印件,检测网站可查询验证并截图加盖原厂公章</w:t>
            </w:r>
            <w:r>
              <w:rPr>
                <w:rFonts w:hint="eastAsia" w:ascii="宋体" w:hAnsi="宋体" w:cs="宋体"/>
                <w:color w:val="000000"/>
                <w:szCs w:val="21"/>
              </w:rPr>
              <w:t>；</w:t>
            </w:r>
          </w:p>
          <w:p>
            <w:pPr>
              <w:widowControl/>
              <w:jc w:val="left"/>
              <w:textAlignment w:val="bottom"/>
              <w:rPr>
                <w:rFonts w:ascii="宋体" w:hAnsi="宋体" w:cs="宋体"/>
                <w:b/>
                <w:color w:val="000000"/>
                <w:szCs w:val="21"/>
              </w:rPr>
            </w:pPr>
            <w:r>
              <w:rPr>
                <w:rFonts w:hint="eastAsia" w:ascii="宋体" w:hAnsi="宋体"/>
                <w:b/>
                <w:color w:val="FF0000"/>
                <w:szCs w:val="21"/>
              </w:rPr>
              <w:t>▲1</w:t>
            </w:r>
            <w:r>
              <w:rPr>
                <w:rFonts w:hint="eastAsia" w:ascii="宋体" w:hAnsi="宋体" w:cs="宋体"/>
                <w:b/>
                <w:color w:val="FF0000"/>
                <w:szCs w:val="21"/>
              </w:rPr>
              <w:t>5.支持无线充电，充电时对设备进行温度保护、短路保护、过压保护、磁场保护；须提供符合CNAS认证检测报告复印件,检测网站可查询验证并截图加盖原厂公章。</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1"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22</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无线领夹话筒 （一拖二）</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szCs w:val="21"/>
              </w:rPr>
              <w:t>1.双调谐真分集自动选讯，消除接收死角，避免断讯，红外对频技术，方便快捷可靠；</w:t>
            </w:r>
          </w:p>
          <w:p>
            <w:pPr>
              <w:widowControl/>
              <w:jc w:val="left"/>
              <w:textAlignment w:val="bottom"/>
              <w:rPr>
                <w:rFonts w:ascii="宋体" w:hAnsi="宋体" w:cs="宋体"/>
                <w:color w:val="000000"/>
                <w:szCs w:val="21"/>
              </w:rPr>
            </w:pPr>
            <w:r>
              <w:rPr>
                <w:rFonts w:hint="eastAsia" w:ascii="宋体" w:hAnsi="宋体" w:cs="宋体"/>
                <w:color w:val="000000"/>
                <w:szCs w:val="21"/>
              </w:rPr>
              <w:t>2.锁相环频率合成技术，38KHz导频技术，声音动态范围大、声音还原度高、低功耗；</w:t>
            </w:r>
          </w:p>
          <w:p>
            <w:pPr>
              <w:widowControl/>
              <w:jc w:val="left"/>
              <w:textAlignment w:val="bottom"/>
              <w:rPr>
                <w:rFonts w:ascii="宋体" w:hAnsi="宋体" w:cs="宋体"/>
                <w:color w:val="000000"/>
                <w:szCs w:val="21"/>
              </w:rPr>
            </w:pPr>
            <w:r>
              <w:rPr>
                <w:rFonts w:hint="eastAsia" w:ascii="宋体" w:hAnsi="宋体" w:cs="宋体"/>
                <w:color w:val="000000"/>
                <w:szCs w:val="21"/>
              </w:rPr>
              <w:t>3.超高频600MHz 波段锁相环 (PLL) 频率合成器，三重静噪控制；</w:t>
            </w:r>
          </w:p>
          <w:p>
            <w:pPr>
              <w:widowControl/>
              <w:jc w:val="left"/>
              <w:textAlignment w:val="bottom"/>
              <w:rPr>
                <w:rFonts w:ascii="宋体" w:hAnsi="宋体" w:cs="宋体"/>
                <w:color w:val="000000"/>
                <w:szCs w:val="21"/>
              </w:rPr>
            </w:pPr>
            <w:r>
              <w:rPr>
                <w:rFonts w:hint="eastAsia" w:ascii="宋体" w:hAnsi="宋体" w:cs="宋体"/>
                <w:color w:val="000000"/>
                <w:szCs w:val="21"/>
              </w:rPr>
              <w:t>4.超外差二次变频设计，选择性好，接收灵敏度高；</w:t>
            </w:r>
          </w:p>
          <w:p>
            <w:pPr>
              <w:widowControl/>
              <w:jc w:val="left"/>
              <w:textAlignment w:val="bottom"/>
              <w:rPr>
                <w:rFonts w:ascii="宋体" w:hAnsi="宋体" w:cs="宋体"/>
                <w:color w:val="000000"/>
                <w:szCs w:val="21"/>
              </w:rPr>
            </w:pPr>
            <w:r>
              <w:rPr>
                <w:rFonts w:hint="eastAsia" w:ascii="宋体" w:hAnsi="宋体" w:cs="宋体"/>
                <w:color w:val="000000"/>
                <w:szCs w:val="21"/>
              </w:rPr>
              <w:t>5.采用多级高性能的声表滤波器，具备优良的抗干扰能力；</w:t>
            </w:r>
          </w:p>
          <w:p>
            <w:pPr>
              <w:widowControl/>
              <w:jc w:val="left"/>
              <w:textAlignment w:val="bottom"/>
              <w:rPr>
                <w:rFonts w:ascii="宋体" w:hAnsi="宋体" w:cs="宋体"/>
                <w:color w:val="000000"/>
                <w:szCs w:val="21"/>
              </w:rPr>
            </w:pPr>
            <w:r>
              <w:rPr>
                <w:rFonts w:hint="eastAsia" w:ascii="宋体" w:hAnsi="宋体" w:cs="宋体"/>
                <w:color w:val="000000"/>
                <w:szCs w:val="21"/>
              </w:rPr>
              <w:t>6.采用高可靠的贴片元件生产，通过8小时老化试验出厂；</w:t>
            </w:r>
          </w:p>
          <w:p>
            <w:pPr>
              <w:widowControl/>
              <w:jc w:val="left"/>
              <w:textAlignment w:val="bottom"/>
              <w:rPr>
                <w:rFonts w:ascii="宋体" w:hAnsi="宋体" w:cs="宋体"/>
                <w:b/>
                <w:color w:val="FF0000"/>
                <w:szCs w:val="21"/>
              </w:rPr>
            </w:pPr>
            <w:r>
              <w:rPr>
                <w:rFonts w:hint="eastAsia" w:ascii="宋体" w:hAnsi="宋体"/>
                <w:b/>
                <w:color w:val="FF0000"/>
                <w:szCs w:val="21"/>
              </w:rPr>
              <w:t>▲</w:t>
            </w:r>
            <w:r>
              <w:rPr>
                <w:rFonts w:hint="eastAsia" w:ascii="宋体" w:hAnsi="宋体" w:cs="宋体"/>
                <w:b/>
                <w:color w:val="FF0000"/>
                <w:szCs w:val="21"/>
              </w:rPr>
              <w:t>7.JL03防尘防水散热器：两只无级变速风扇，气流从前到后，温控转速，采用防尘防水IV2马达防护技术完整包覆整颗马达，可有效防护马达隔绝灰尘、水等物质，让风扇不论在沙漠(干燥多灰尘环境)、海边(高湿、高盐分环境)等恶劣环境下可长时间稳定运作，提供高效能的散热，保护内部电路板和电子元器件正常使用，更延长设备的使用寿命；提供符合CNAS认证第三方检测机构出具的《国际电工委员会防尘防水等级标准》检测；报告复印件,并机构官网截图加盖原厂公章；</w:t>
            </w:r>
          </w:p>
          <w:p>
            <w:pPr>
              <w:widowControl/>
              <w:jc w:val="left"/>
              <w:textAlignment w:val="bottom"/>
              <w:rPr>
                <w:rFonts w:ascii="宋体" w:hAnsi="宋体" w:cs="宋体"/>
                <w:b/>
                <w:color w:val="000000"/>
                <w:szCs w:val="21"/>
              </w:rPr>
            </w:pPr>
            <w:r>
              <w:rPr>
                <w:rFonts w:hint="eastAsia" w:ascii="宋体" w:hAnsi="宋体"/>
                <w:b/>
                <w:color w:val="FF0000"/>
                <w:szCs w:val="21"/>
              </w:rPr>
              <w:t>▲</w:t>
            </w:r>
            <w:r>
              <w:rPr>
                <w:rFonts w:hint="eastAsia" w:ascii="宋体" w:hAnsi="宋体" w:cs="宋体"/>
                <w:b/>
                <w:color w:val="FF0000"/>
                <w:szCs w:val="21"/>
              </w:rPr>
              <w:t>8.具有Dante扩展功能，支持Dante输入通道和Dante输出通道；具有多种反馈机制：温度监测、电平侦测、数据反馈、故障报警多种回馈显示机制；须提供符合CNAS认证检测报告复印件,检测网站可查询验证并截图加盖原厂公章。</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8"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23</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智能电源管理系统</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szCs w:val="21"/>
              </w:rPr>
              <w:t>1.带LED智能显示屏，实时显示当前电压、电流、功率、功率因子,监控设备用电情况；实时显示网络连接情况、工作状态、保护状态；</w:t>
            </w:r>
          </w:p>
          <w:p>
            <w:pPr>
              <w:widowControl/>
              <w:jc w:val="left"/>
              <w:textAlignment w:val="bottom"/>
              <w:rPr>
                <w:rFonts w:ascii="宋体" w:hAnsi="宋体" w:cs="宋体"/>
                <w:color w:val="000000"/>
                <w:szCs w:val="21"/>
              </w:rPr>
            </w:pPr>
            <w:r>
              <w:rPr>
                <w:rFonts w:hint="eastAsia" w:ascii="宋体" w:hAnsi="宋体" w:cs="宋体"/>
                <w:color w:val="000000"/>
                <w:szCs w:val="21"/>
              </w:rPr>
              <w:t>2.带有电压保护功能，当电压超过260V设备不启动；设备在使用中，电压超过260V时，设备自动断电；</w:t>
            </w:r>
          </w:p>
          <w:p>
            <w:pPr>
              <w:widowControl/>
              <w:jc w:val="left"/>
              <w:textAlignment w:val="bottom"/>
              <w:rPr>
                <w:rFonts w:ascii="宋体" w:hAnsi="宋体" w:cs="宋体"/>
                <w:color w:val="000000"/>
                <w:szCs w:val="21"/>
              </w:rPr>
            </w:pPr>
            <w:r>
              <w:rPr>
                <w:rFonts w:hint="eastAsia" w:ascii="宋体" w:hAnsi="宋体" w:cs="宋体"/>
                <w:color w:val="000000"/>
                <w:szCs w:val="21"/>
              </w:rPr>
              <w:t>3.带有电流保护功能，当工作电流超过35A时，设备自动断电；</w:t>
            </w:r>
          </w:p>
          <w:p>
            <w:pPr>
              <w:widowControl/>
              <w:jc w:val="left"/>
              <w:textAlignment w:val="bottom"/>
              <w:rPr>
                <w:rFonts w:ascii="宋体" w:hAnsi="宋体" w:cs="宋体"/>
                <w:color w:val="000000"/>
                <w:szCs w:val="21"/>
              </w:rPr>
            </w:pPr>
            <w:r>
              <w:rPr>
                <w:rFonts w:hint="eastAsia" w:ascii="宋体" w:hAnsi="宋体" w:cs="宋体"/>
                <w:color w:val="000000"/>
                <w:szCs w:val="21"/>
              </w:rPr>
              <w:t>4.支持2.4G无线网络联机，手机可远程异地同步控制，一台手机可控制多台智能电源管理系统，支持定时开关机设置，方便管理使用；</w:t>
            </w:r>
          </w:p>
          <w:p>
            <w:pPr>
              <w:widowControl/>
              <w:jc w:val="left"/>
              <w:textAlignment w:val="bottom"/>
              <w:rPr>
                <w:rFonts w:ascii="宋体" w:hAnsi="宋体" w:cs="宋体"/>
                <w:color w:val="000000"/>
                <w:szCs w:val="21"/>
              </w:rPr>
            </w:pPr>
            <w:r>
              <w:rPr>
                <w:rFonts w:hint="eastAsia" w:ascii="宋体" w:hAnsi="宋体" w:cs="宋体"/>
                <w:color w:val="000000"/>
                <w:szCs w:val="21"/>
              </w:rPr>
              <w:t>5.支持RS232 DR9接口，波特率可自由设备，默认9600；</w:t>
            </w:r>
          </w:p>
          <w:p>
            <w:pPr>
              <w:widowControl/>
              <w:jc w:val="left"/>
              <w:textAlignment w:val="bottom"/>
              <w:rPr>
                <w:rFonts w:ascii="宋体" w:hAnsi="宋体" w:cs="宋体"/>
                <w:color w:val="000000"/>
                <w:szCs w:val="21"/>
              </w:rPr>
            </w:pPr>
            <w:r>
              <w:rPr>
                <w:rFonts w:hint="eastAsia" w:ascii="宋体" w:hAnsi="宋体" w:cs="宋体"/>
                <w:color w:val="000000"/>
                <w:szCs w:val="21"/>
              </w:rPr>
              <w:t>6.每路带有单独的EMI专业电网滤波器,通道独立开关，可自由开启、关闭通道，前面板带有PASS键，可同时打开全部通道；</w:t>
            </w:r>
          </w:p>
          <w:p>
            <w:pPr>
              <w:widowControl/>
              <w:jc w:val="left"/>
              <w:textAlignment w:val="bottom"/>
              <w:rPr>
                <w:rFonts w:ascii="宋体" w:hAnsi="宋体" w:cs="宋体"/>
                <w:b/>
                <w:color w:val="FF0000"/>
                <w:szCs w:val="21"/>
              </w:rPr>
            </w:pPr>
            <w:r>
              <w:rPr>
                <w:rFonts w:hint="eastAsia" w:ascii="宋体" w:hAnsi="宋体"/>
                <w:b/>
                <w:color w:val="FF0000"/>
                <w:szCs w:val="21"/>
              </w:rPr>
              <w:t>▲</w:t>
            </w:r>
            <w:r>
              <w:rPr>
                <w:rFonts w:hint="eastAsia" w:ascii="宋体" w:hAnsi="宋体" w:cs="宋体"/>
                <w:b/>
                <w:color w:val="FF0000"/>
                <w:szCs w:val="21"/>
              </w:rPr>
              <w:t>7.设备通过电快速瞬变脉冲群抗扰度试验，保证在复杂电源环境下安全稳定运行；提供第三方检测报告证明；</w:t>
            </w:r>
          </w:p>
          <w:p>
            <w:pPr>
              <w:widowControl/>
              <w:jc w:val="left"/>
              <w:textAlignment w:val="bottom"/>
              <w:rPr>
                <w:rFonts w:ascii="宋体" w:hAnsi="宋体" w:cs="宋体"/>
                <w:b/>
                <w:color w:val="000000"/>
                <w:szCs w:val="21"/>
              </w:rPr>
            </w:pPr>
            <w:r>
              <w:rPr>
                <w:rFonts w:hint="eastAsia" w:ascii="宋体" w:hAnsi="宋体" w:cs="宋体"/>
                <w:b/>
                <w:color w:val="FF0000"/>
                <w:kern w:val="0"/>
                <w:szCs w:val="21"/>
              </w:rPr>
              <w:t>★</w:t>
            </w:r>
            <w:r>
              <w:rPr>
                <w:rFonts w:hint="eastAsia" w:ascii="宋体" w:hAnsi="宋体" w:cs="宋体"/>
                <w:b/>
                <w:color w:val="FF0000"/>
                <w:szCs w:val="21"/>
              </w:rPr>
              <w:t>8.设备采用了高抗干扰能力的通信接口电路，保证了通信的可靠性；须提供符合CNAS认证检测报告复印件,检测报告依据《GB/T 33773-2017音视频设备红外线遥控编码规则》标准，检测网站可查询验证并截图加盖原厂公章。</w:t>
            </w:r>
          </w:p>
        </w:tc>
        <w:tc>
          <w:tcPr>
            <w:tcW w:w="332"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9"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24</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智能电源管理系统软件</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szCs w:val="21"/>
              </w:rPr>
              <w:t>1.操作软件可以在平板电脑、手机上使用；软件操作界面实时显示工作电压、工作电流、工作功率，方便用户实时监控设备工作；</w:t>
            </w:r>
          </w:p>
          <w:p>
            <w:pPr>
              <w:widowControl/>
              <w:jc w:val="left"/>
              <w:textAlignment w:val="bottom"/>
              <w:rPr>
                <w:rFonts w:ascii="宋体" w:hAnsi="宋体" w:cs="宋体"/>
                <w:color w:val="000000"/>
                <w:szCs w:val="21"/>
              </w:rPr>
            </w:pPr>
            <w:r>
              <w:rPr>
                <w:rFonts w:hint="eastAsia" w:ascii="宋体" w:hAnsi="宋体" w:cs="宋体"/>
                <w:color w:val="000000"/>
                <w:szCs w:val="21"/>
              </w:rPr>
              <w:t>2.可以一键打开、关闭智能电源管理系统；提供CNAS认可第三方检测机构软件检测报告；检测网站可查询验证并截图加盖原厂公章；</w:t>
            </w:r>
          </w:p>
          <w:p>
            <w:pPr>
              <w:widowControl/>
              <w:jc w:val="left"/>
              <w:textAlignment w:val="bottom"/>
              <w:rPr>
                <w:rFonts w:ascii="宋体" w:hAnsi="宋体" w:cs="宋体"/>
                <w:b/>
                <w:color w:val="FF0000"/>
                <w:szCs w:val="21"/>
              </w:rPr>
            </w:pPr>
            <w:r>
              <w:rPr>
                <w:rFonts w:hint="eastAsia" w:ascii="宋体" w:hAnsi="宋体"/>
                <w:b/>
                <w:color w:val="FF0000"/>
                <w:szCs w:val="21"/>
              </w:rPr>
              <w:t>▲</w:t>
            </w:r>
            <w:r>
              <w:rPr>
                <w:rFonts w:hint="eastAsia" w:ascii="宋体" w:hAnsi="宋体" w:cs="宋体"/>
                <w:b/>
                <w:color w:val="FF0000"/>
                <w:szCs w:val="21"/>
              </w:rPr>
              <w:t>3.可以自定义每路电源输出通道的名称，可屏弊任意一路或多路电源输出通道；提供CNAS认可第三方检测机构软件检测报告；检测网站可查询验证并截图加盖原厂公章；</w:t>
            </w:r>
          </w:p>
          <w:p>
            <w:pPr>
              <w:widowControl/>
              <w:jc w:val="left"/>
              <w:textAlignment w:val="bottom"/>
              <w:rPr>
                <w:rFonts w:ascii="宋体" w:hAnsi="宋体" w:cs="宋体"/>
                <w:b/>
                <w:color w:val="FF0000"/>
                <w:szCs w:val="21"/>
              </w:rPr>
            </w:pPr>
            <w:r>
              <w:rPr>
                <w:rFonts w:hint="eastAsia" w:ascii="宋体" w:hAnsi="宋体" w:cs="宋体"/>
                <w:b/>
                <w:color w:val="FF0000"/>
                <w:szCs w:val="21"/>
              </w:rPr>
              <w:t>4.可以同时设置、保存、删除一个或者多个定时任务，每个定时任务可以是任一时间并且可以重复执行；提供CNAS认可第三方检测机构软件检测报告；检测网站可查询验证并截图加盖原厂公章；</w:t>
            </w:r>
          </w:p>
          <w:p>
            <w:pPr>
              <w:widowControl/>
              <w:jc w:val="left"/>
              <w:textAlignment w:val="bottom"/>
              <w:rPr>
                <w:rFonts w:ascii="宋体" w:hAnsi="宋体" w:cs="宋体"/>
                <w:color w:val="000000"/>
                <w:szCs w:val="21"/>
              </w:rPr>
            </w:pPr>
            <w:r>
              <w:rPr>
                <w:rFonts w:hint="eastAsia" w:ascii="宋体" w:hAnsi="宋体" w:cs="宋体"/>
                <w:color w:val="FF0000"/>
                <w:szCs w:val="21"/>
              </w:rPr>
              <w:t>5.</w:t>
            </w:r>
            <w:r>
              <w:rPr>
                <w:rFonts w:hint="eastAsia" w:ascii="宋体" w:hAnsi="宋体" w:cs="宋体"/>
                <w:b/>
                <w:color w:val="FF0000"/>
                <w:szCs w:val="21"/>
              </w:rPr>
              <w:t>定时任务可以设置成任意一个通道或者全部通道；提供CNAS认可第三方检测机构软件检测报告；检测网站可查询验证并截图加盖原厂公章；</w:t>
            </w:r>
          </w:p>
          <w:p>
            <w:pPr>
              <w:widowControl/>
              <w:jc w:val="left"/>
              <w:textAlignment w:val="bottom"/>
              <w:rPr>
                <w:rFonts w:ascii="宋体" w:hAnsi="宋体" w:cs="宋体"/>
                <w:b/>
                <w:color w:val="FF0000"/>
                <w:szCs w:val="21"/>
              </w:rPr>
            </w:pPr>
            <w:r>
              <w:rPr>
                <w:rFonts w:hint="eastAsia" w:ascii="宋体" w:hAnsi="宋体" w:cs="宋体"/>
                <w:b/>
                <w:color w:val="FF0000"/>
                <w:kern w:val="0"/>
                <w:szCs w:val="21"/>
              </w:rPr>
              <w:t>★</w:t>
            </w:r>
            <w:r>
              <w:rPr>
                <w:rFonts w:hint="eastAsia" w:ascii="宋体" w:hAnsi="宋体" w:cs="宋体"/>
                <w:b/>
                <w:color w:val="FF0000"/>
                <w:szCs w:val="21"/>
              </w:rPr>
              <w:t>6.可连接以太网，通过网络可以远程控制智能电源管理系统；提供CNAS认可第三方检测机构软件检测报告；检测网站可查询验证并截图加盖原厂公章；</w:t>
            </w:r>
          </w:p>
          <w:p>
            <w:pPr>
              <w:widowControl/>
              <w:jc w:val="left"/>
              <w:textAlignment w:val="bottom"/>
              <w:rPr>
                <w:rFonts w:ascii="宋体" w:hAnsi="宋体" w:cs="宋体"/>
                <w:b/>
                <w:color w:val="FF0000"/>
                <w:szCs w:val="21"/>
              </w:rPr>
            </w:pPr>
            <w:r>
              <w:rPr>
                <w:rFonts w:hint="eastAsia" w:ascii="宋体" w:hAnsi="宋体" w:cs="宋体"/>
                <w:b/>
                <w:color w:val="FF0000"/>
                <w:szCs w:val="21"/>
              </w:rPr>
              <w:t>7.可以修改智能电源管理系统名称，方便用户管理；提供CNAS认可第三方检测机构软件检测报告。检测网站可查询验证并截图加盖原厂公章；</w:t>
            </w:r>
          </w:p>
          <w:p>
            <w:pPr>
              <w:widowControl/>
              <w:jc w:val="left"/>
              <w:textAlignment w:val="bottom"/>
              <w:rPr>
                <w:rFonts w:ascii="宋体" w:hAnsi="宋体" w:cs="宋体"/>
                <w:color w:val="000000"/>
                <w:szCs w:val="21"/>
              </w:rPr>
            </w:pPr>
            <w:r>
              <w:rPr>
                <w:rFonts w:hint="eastAsia" w:ascii="宋体" w:hAnsi="宋体"/>
                <w:color w:val="000000"/>
                <w:szCs w:val="21"/>
              </w:rPr>
              <w:t>8.</w:t>
            </w:r>
            <w:r>
              <w:rPr>
                <w:rFonts w:hint="eastAsia" w:ascii="宋体" w:hAnsi="宋体" w:cs="宋体"/>
                <w:kern w:val="0"/>
                <w:szCs w:val="21"/>
              </w:rPr>
              <w:t>为保证系统的兼容性和稳定性，智能电源管理系统和智能电源管理系统软件须同一品牌。</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171" w:type="pct"/>
            <w:gridSpan w:val="2"/>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监听耳机</w:t>
            </w:r>
          </w:p>
        </w:tc>
        <w:tc>
          <w:tcPr>
            <w:tcW w:w="2845" w:type="pct"/>
            <w:vAlign w:val="bottom"/>
          </w:tcPr>
          <w:p>
            <w:pPr>
              <w:widowControl/>
              <w:jc w:val="left"/>
              <w:textAlignment w:val="bottom"/>
              <w:rPr>
                <w:rFonts w:ascii="宋体" w:hAnsi="宋体" w:cs="宋体"/>
                <w:color w:val="000000"/>
                <w:szCs w:val="21"/>
              </w:rPr>
            </w:pPr>
            <w:r>
              <w:rPr>
                <w:rFonts w:hint="eastAsia" w:ascii="宋体" w:hAnsi="宋体" w:cs="宋体"/>
                <w:color w:val="000000"/>
                <w:kern w:val="0"/>
                <w:szCs w:val="21"/>
                <w:lang w:bidi="ar"/>
              </w:rPr>
              <w:t>1.佩戴方式：頭載式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2.阻抗 32 ohms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3.频率响应 20-20,000 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4.声压级 108 dB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5.佩戴方式 Around-Ear (Circumaural)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6.Jack插头：3.5mm (straight)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7.线长：2.0 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8.额定载荷：500 mW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9.声学：Acoustic principle: "Dynamic, closed"</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10.谐波失真&lt;0.1%</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11.重量（不含耳机线）：184 g</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47" w:type="pct"/>
            <w:gridSpan w:val="2"/>
            <w:noWrap/>
            <w:vAlign w:val="center"/>
          </w:tcPr>
          <w:p>
            <w:pPr>
              <w:widowControl/>
              <w:spacing w:before="156" w:after="156"/>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26</w:t>
            </w:r>
          </w:p>
        </w:tc>
        <w:tc>
          <w:tcPr>
            <w:tcW w:w="1171" w:type="pct"/>
            <w:gridSpan w:val="2"/>
            <w:noWrap/>
            <w:vAlign w:val="center"/>
          </w:tcPr>
          <w:p>
            <w:pPr>
              <w:widowControl/>
              <w:spacing w:before="156" w:after="156"/>
              <w:jc w:val="center"/>
              <w:rPr>
                <w:rFonts w:ascii="宋体" w:hAnsi="宋体" w:cs="宋体"/>
                <w:kern w:val="0"/>
                <w:szCs w:val="21"/>
              </w:rPr>
            </w:pPr>
            <w:r>
              <w:rPr>
                <w:rFonts w:hint="eastAsia" w:ascii="宋体" w:hAnsi="宋体" w:cs="宋体"/>
                <w:kern w:val="0"/>
                <w:szCs w:val="21"/>
              </w:rPr>
              <w:t>LED教室灯</w:t>
            </w:r>
          </w:p>
        </w:tc>
        <w:tc>
          <w:tcPr>
            <w:tcW w:w="2845" w:type="pct"/>
            <w:vAlign w:val="center"/>
          </w:tcPr>
          <w:p>
            <w:pPr>
              <w:jc w:val="left"/>
              <w:rPr>
                <w:rFonts w:ascii="宋体" w:hAnsi="宋体" w:cs="Arial"/>
                <w:szCs w:val="21"/>
              </w:rPr>
            </w:pPr>
            <w:r>
              <w:rPr>
                <w:rFonts w:hint="eastAsia" w:ascii="宋体" w:hAnsi="宋体" w:cs="Arial"/>
                <w:szCs w:val="21"/>
              </w:rPr>
              <w:t>1.基本要求：一体式微晶防眩面板灯，额定功率30-40W，建议尺寸长度≥1000mm；</w:t>
            </w:r>
          </w:p>
          <w:p>
            <w:pPr>
              <w:jc w:val="left"/>
              <w:rPr>
                <w:rFonts w:ascii="宋体" w:hAnsi="宋体" w:cs="Arial"/>
                <w:b/>
                <w:color w:val="FF0000"/>
                <w:szCs w:val="21"/>
              </w:rPr>
            </w:pPr>
            <w:r>
              <w:rPr>
                <w:rFonts w:hint="eastAsia" w:ascii="宋体" w:hAnsi="宋体" w:cs="Arial"/>
                <w:b/>
                <w:color w:val="FF0000"/>
                <w:szCs w:val="21"/>
              </w:rPr>
              <w:t>2.技术要求（提供国家法定检测机构出具的封面带有CMA及CNAS标志的检测报告复印件）：</w:t>
            </w:r>
          </w:p>
          <w:p>
            <w:pPr>
              <w:jc w:val="left"/>
              <w:rPr>
                <w:rFonts w:ascii="宋体" w:hAnsi="宋体" w:cs="Arial"/>
                <w:b/>
                <w:color w:val="FF0000"/>
                <w:szCs w:val="21"/>
              </w:rPr>
            </w:pPr>
            <w:r>
              <w:rPr>
                <w:rFonts w:hint="eastAsia" w:ascii="宋体" w:hAnsi="宋体" w:cs="Arial"/>
                <w:b/>
                <w:color w:val="FF0000"/>
                <w:szCs w:val="21"/>
              </w:rPr>
              <w:t>2.</w:t>
            </w:r>
            <w:r>
              <w:rPr>
                <w:rFonts w:ascii="宋体" w:hAnsi="宋体" w:cs="Arial"/>
                <w:b/>
                <w:color w:val="FF0000"/>
                <w:szCs w:val="21"/>
              </w:rPr>
              <w:t>1</w:t>
            </w:r>
            <w:r>
              <w:rPr>
                <w:rFonts w:hint="eastAsia" w:ascii="宋体" w:hAnsi="宋体" w:cs="Arial"/>
                <w:b/>
                <w:color w:val="FF0000"/>
                <w:szCs w:val="21"/>
              </w:rPr>
              <w:t xml:space="preserve"> LED教室灯色温（相关色温）满足3300-</w:t>
            </w:r>
            <w:r>
              <w:rPr>
                <w:rFonts w:ascii="宋体" w:hAnsi="宋体" w:cs="Arial"/>
                <w:b/>
                <w:color w:val="FF0000"/>
                <w:szCs w:val="21"/>
              </w:rPr>
              <w:t>40</w:t>
            </w:r>
            <w:r>
              <w:rPr>
                <w:rFonts w:hint="eastAsia" w:ascii="宋体" w:hAnsi="宋体" w:cs="Arial"/>
                <w:b/>
                <w:color w:val="FF0000"/>
                <w:szCs w:val="21"/>
              </w:rPr>
              <w:t>00K；</w:t>
            </w:r>
          </w:p>
          <w:p>
            <w:pPr>
              <w:jc w:val="left"/>
              <w:rPr>
                <w:rFonts w:ascii="宋体" w:hAnsi="宋体" w:cs="Arial"/>
                <w:b/>
                <w:color w:val="FF0000"/>
                <w:szCs w:val="21"/>
              </w:rPr>
            </w:pPr>
            <w:r>
              <w:rPr>
                <w:rFonts w:hint="eastAsia" w:ascii="宋体" w:hAnsi="宋体" w:cs="Arial"/>
                <w:b/>
                <w:color w:val="FF0000"/>
                <w:szCs w:val="21"/>
              </w:rPr>
              <w:t>2.</w:t>
            </w:r>
            <w:r>
              <w:rPr>
                <w:rFonts w:ascii="宋体" w:hAnsi="宋体" w:cs="Arial"/>
                <w:b/>
                <w:color w:val="FF0000"/>
                <w:szCs w:val="21"/>
              </w:rPr>
              <w:t>2</w:t>
            </w:r>
            <w:r>
              <w:rPr>
                <w:rFonts w:hint="eastAsia" w:ascii="宋体" w:hAnsi="宋体" w:cs="Arial"/>
                <w:b/>
                <w:color w:val="FF0000"/>
                <w:szCs w:val="21"/>
              </w:rPr>
              <w:t xml:space="preserve"> LED教室灯显色指数满足Ra≥90、R9≥50；</w:t>
            </w:r>
          </w:p>
          <w:p>
            <w:pPr>
              <w:jc w:val="left"/>
              <w:rPr>
                <w:rFonts w:ascii="宋体" w:hAnsi="宋体" w:cs="Arial"/>
                <w:b/>
                <w:color w:val="FF0000"/>
                <w:szCs w:val="21"/>
              </w:rPr>
            </w:pPr>
            <w:r>
              <w:rPr>
                <w:rFonts w:hint="eastAsia" w:ascii="宋体" w:hAnsi="宋体" w:cs="Arial"/>
                <w:b/>
                <w:color w:val="FF0000"/>
                <w:szCs w:val="21"/>
              </w:rPr>
              <w:t>2.</w:t>
            </w:r>
            <w:r>
              <w:rPr>
                <w:rFonts w:ascii="宋体" w:hAnsi="宋体" w:cs="Arial"/>
                <w:b/>
                <w:color w:val="FF0000"/>
                <w:szCs w:val="21"/>
              </w:rPr>
              <w:t>3</w:t>
            </w:r>
            <w:r>
              <w:rPr>
                <w:rFonts w:hint="eastAsia" w:ascii="宋体" w:hAnsi="宋体" w:cs="Arial"/>
                <w:b/>
                <w:color w:val="FF0000"/>
                <w:szCs w:val="21"/>
              </w:rPr>
              <w:t xml:space="preserve"> LED教室灯色容差（色品容差）满足≤</w:t>
            </w:r>
            <w:r>
              <w:rPr>
                <w:rFonts w:ascii="宋体" w:hAnsi="宋体" w:cs="Arial"/>
                <w:b/>
                <w:color w:val="FF0000"/>
                <w:szCs w:val="21"/>
              </w:rPr>
              <w:t>5</w:t>
            </w:r>
            <w:r>
              <w:rPr>
                <w:rFonts w:hint="eastAsia" w:ascii="宋体" w:hAnsi="宋体" w:cs="Arial"/>
                <w:b/>
                <w:color w:val="FF0000"/>
                <w:szCs w:val="21"/>
              </w:rPr>
              <w:t xml:space="preserve"> SDCM；</w:t>
            </w:r>
          </w:p>
          <w:p>
            <w:pPr>
              <w:jc w:val="left"/>
              <w:rPr>
                <w:rFonts w:ascii="宋体" w:hAnsi="宋体" w:cs="Arial"/>
                <w:b/>
                <w:color w:val="FF0000"/>
                <w:szCs w:val="21"/>
              </w:rPr>
            </w:pPr>
            <w:r>
              <w:rPr>
                <w:rFonts w:hint="eastAsia" w:ascii="宋体" w:hAnsi="宋体" w:cs="Arial"/>
                <w:b/>
                <w:color w:val="FF0000"/>
                <w:szCs w:val="21"/>
              </w:rPr>
              <w:t>2.</w:t>
            </w:r>
            <w:r>
              <w:rPr>
                <w:rFonts w:ascii="宋体" w:hAnsi="宋体" w:cs="Arial"/>
                <w:b/>
                <w:color w:val="FF0000"/>
                <w:szCs w:val="21"/>
              </w:rPr>
              <w:t>4</w:t>
            </w:r>
            <w:r>
              <w:rPr>
                <w:rFonts w:hint="eastAsia" w:ascii="宋体" w:hAnsi="宋体" w:cs="Arial"/>
                <w:b/>
                <w:color w:val="FF0000"/>
                <w:szCs w:val="21"/>
              </w:rPr>
              <w:t xml:space="preserve"> LED教室灯人体电磁辐射测试满足20kHz-10MHz感应电流密度系数≤0.85；</w:t>
            </w:r>
          </w:p>
          <w:p>
            <w:pPr>
              <w:jc w:val="left"/>
              <w:rPr>
                <w:rFonts w:ascii="宋体" w:hAnsi="宋体" w:cs="Arial"/>
                <w:szCs w:val="21"/>
              </w:rPr>
            </w:pPr>
            <w:r>
              <w:rPr>
                <w:rFonts w:hint="eastAsia" w:ascii="宋体" w:hAnsi="宋体" w:cs="Arial"/>
                <w:b/>
                <w:color w:val="FF0000"/>
                <w:szCs w:val="21"/>
              </w:rPr>
              <w:t>★2.</w:t>
            </w:r>
            <w:r>
              <w:rPr>
                <w:rFonts w:ascii="宋体" w:hAnsi="宋体" w:cs="Arial"/>
                <w:b/>
                <w:color w:val="FF0000"/>
                <w:szCs w:val="21"/>
              </w:rPr>
              <w:t>5</w:t>
            </w:r>
            <w:r>
              <w:rPr>
                <w:rFonts w:hint="eastAsia" w:ascii="宋体" w:hAnsi="宋体" w:cs="Arial"/>
                <w:b/>
                <w:color w:val="FF0000"/>
                <w:szCs w:val="21"/>
              </w:rPr>
              <w:t xml:space="preserve"> LED教室灯满足光束角（半峰光束角）在C0-C180面及C90-C270面10000小时或以上与初始测试（0或1000小时）的差值（绝对值）均≤5°，检测依据为《GB/T9468-2008 灯具分布光度测量的一般要求》或《CQC3155-2016 中小学校及幼儿园教室照明产品节能认证技术规范》。</w:t>
            </w:r>
          </w:p>
          <w:p>
            <w:pPr>
              <w:jc w:val="left"/>
              <w:rPr>
                <w:rFonts w:ascii="宋体" w:hAnsi="宋体" w:cs="Arial"/>
                <w:b/>
                <w:color w:val="FF0000"/>
                <w:szCs w:val="21"/>
              </w:rPr>
            </w:pPr>
            <w:r>
              <w:rPr>
                <w:rFonts w:hint="eastAsia" w:ascii="宋体" w:hAnsi="宋体" w:cs="Arial"/>
                <w:b/>
                <w:color w:val="FF0000"/>
                <w:szCs w:val="21"/>
              </w:rPr>
              <w:t>3.认证资质（提供国家法定认证机构出具的认证证书复印件及中国国家认证认可监督管理委员会网站链接查询证明）：</w:t>
            </w:r>
          </w:p>
          <w:p>
            <w:pPr>
              <w:jc w:val="left"/>
              <w:rPr>
                <w:rFonts w:ascii="宋体" w:hAnsi="宋体" w:cs="Arial"/>
                <w:b/>
                <w:color w:val="FF0000"/>
                <w:szCs w:val="21"/>
              </w:rPr>
            </w:pPr>
            <w:r>
              <w:rPr>
                <w:rFonts w:hint="eastAsia" w:ascii="宋体" w:hAnsi="宋体" w:cs="Arial"/>
                <w:b/>
                <w:color w:val="FF0000"/>
                <w:szCs w:val="21"/>
              </w:rPr>
              <w:t>3.1 整灯通过国家强制性CCC认证。</w:t>
            </w:r>
          </w:p>
          <w:p>
            <w:pPr>
              <w:jc w:val="left"/>
              <w:rPr>
                <w:rFonts w:ascii="宋体" w:hAnsi="宋体" w:cs="Arial"/>
                <w:b/>
                <w:color w:val="FF0000"/>
                <w:szCs w:val="21"/>
              </w:rPr>
            </w:pPr>
            <w:r>
              <w:rPr>
                <w:rFonts w:hint="eastAsia" w:ascii="宋体" w:hAnsi="宋体" w:cs="Arial"/>
                <w:b/>
                <w:color w:val="FF0000"/>
                <w:szCs w:val="21"/>
              </w:rPr>
              <w:t>3.2 LED教室灯电器电子产品认证结果符合《GB/T 26572-2011》及《GB/T 26125-2011》标准要求。</w:t>
            </w:r>
          </w:p>
          <w:p>
            <w:pPr>
              <w:jc w:val="left"/>
              <w:rPr>
                <w:rFonts w:ascii="宋体" w:hAnsi="宋体" w:cs="Arial"/>
                <w:b/>
                <w:color w:val="FF0000"/>
                <w:szCs w:val="21"/>
              </w:rPr>
            </w:pPr>
            <w:r>
              <w:rPr>
                <w:rFonts w:hint="eastAsia" w:ascii="宋体" w:hAnsi="宋体"/>
                <w:b/>
                <w:color w:val="FF0000"/>
                <w:szCs w:val="21"/>
              </w:rPr>
              <w:t>▲</w:t>
            </w:r>
            <w:r>
              <w:rPr>
                <w:rFonts w:hint="eastAsia" w:ascii="宋体" w:hAnsi="宋体" w:cs="Arial"/>
                <w:b/>
                <w:color w:val="FF0000"/>
                <w:szCs w:val="21"/>
              </w:rPr>
              <w:t>3.3 LED教室灯频闪质量特征认证结果为无危害频闪或无频闪危害。</w:t>
            </w:r>
          </w:p>
          <w:p>
            <w:pPr>
              <w:jc w:val="left"/>
              <w:rPr>
                <w:rFonts w:ascii="宋体" w:hAnsi="宋体" w:cs="Arial"/>
                <w:b/>
                <w:color w:val="FF0000"/>
                <w:szCs w:val="21"/>
              </w:rPr>
            </w:pPr>
            <w:r>
              <w:rPr>
                <w:rFonts w:hint="eastAsia" w:ascii="宋体" w:hAnsi="宋体"/>
                <w:b/>
                <w:color w:val="FF0000"/>
                <w:szCs w:val="21"/>
              </w:rPr>
              <w:t>▲</w:t>
            </w:r>
            <w:r>
              <w:rPr>
                <w:rFonts w:hint="eastAsia" w:ascii="宋体" w:hAnsi="宋体" w:cs="Arial"/>
                <w:b/>
                <w:color w:val="FF0000"/>
                <w:szCs w:val="21"/>
              </w:rPr>
              <w:t>3.4 LED教室灯蓝光质量特征为低蓝光。</w:t>
            </w:r>
          </w:p>
          <w:p>
            <w:pPr>
              <w:jc w:val="left"/>
              <w:rPr>
                <w:rFonts w:ascii="宋体" w:hAnsi="宋体" w:cs="Arial"/>
                <w:b/>
                <w:color w:val="FF0000"/>
                <w:szCs w:val="21"/>
              </w:rPr>
            </w:pPr>
            <w:r>
              <w:rPr>
                <w:rFonts w:hint="eastAsia" w:ascii="宋体" w:hAnsi="宋体"/>
                <w:b/>
                <w:color w:val="FF0000"/>
                <w:szCs w:val="21"/>
              </w:rPr>
              <w:t>▲</w:t>
            </w:r>
            <w:r>
              <w:rPr>
                <w:rFonts w:hint="eastAsia" w:ascii="宋体" w:hAnsi="宋体" w:cs="Arial"/>
                <w:b/>
                <w:color w:val="FF0000"/>
                <w:szCs w:val="21"/>
              </w:rPr>
              <w:t>3.5 LED教室灯护眼质量特征认证结果为眼舒适。</w:t>
            </w:r>
          </w:p>
          <w:p>
            <w:pPr>
              <w:widowControl/>
              <w:jc w:val="left"/>
              <w:rPr>
                <w:rFonts w:ascii="宋体" w:hAnsi="宋体" w:cs="宋体"/>
                <w:b/>
                <w:bCs/>
                <w:kern w:val="0"/>
                <w:szCs w:val="21"/>
              </w:rPr>
            </w:pPr>
            <w:r>
              <w:rPr>
                <w:rFonts w:hint="eastAsia" w:ascii="宋体" w:hAnsi="宋体"/>
                <w:b/>
                <w:color w:val="FF0000"/>
                <w:szCs w:val="21"/>
              </w:rPr>
              <w:t>▲</w:t>
            </w:r>
            <w:r>
              <w:rPr>
                <w:rFonts w:hint="eastAsia" w:ascii="宋体" w:hAnsi="宋体" w:cs="Arial"/>
                <w:b/>
                <w:color w:val="FF0000"/>
                <w:szCs w:val="21"/>
              </w:rPr>
              <w:t>3.6 LED教室灯通过光环境认证，至少符合GB 7793-2010、 GB50034-2013、 GB/T 5700-2008 及 GB 7000.1-2015 等</w:t>
            </w:r>
            <w:r>
              <w:rPr>
                <w:rFonts w:ascii="宋体" w:hAnsi="宋体" w:cs="Arial"/>
                <w:b/>
                <w:color w:val="FF0000"/>
                <w:szCs w:val="21"/>
              </w:rPr>
              <w:t>教室照明</w:t>
            </w:r>
            <w:r>
              <w:rPr>
                <w:rFonts w:hint="eastAsia" w:ascii="宋体" w:hAnsi="宋体" w:cs="Arial"/>
                <w:b/>
                <w:color w:val="FF0000"/>
                <w:szCs w:val="21"/>
              </w:rPr>
              <w:t>国标要求。</w:t>
            </w:r>
          </w:p>
        </w:tc>
        <w:tc>
          <w:tcPr>
            <w:tcW w:w="332" w:type="pct"/>
            <w:noWrap/>
            <w:vAlign w:val="center"/>
          </w:tcPr>
          <w:p>
            <w:pPr>
              <w:widowControl/>
              <w:spacing w:before="156" w:after="156"/>
              <w:jc w:val="center"/>
              <w:rPr>
                <w:rFonts w:ascii="宋体" w:hAnsi="宋体" w:cs="宋体"/>
                <w:kern w:val="0"/>
                <w:szCs w:val="21"/>
              </w:rPr>
            </w:pPr>
            <w:r>
              <w:rPr>
                <w:rFonts w:hint="eastAsia" w:ascii="宋体" w:hAnsi="宋体" w:cs="宋体"/>
                <w:kern w:val="0"/>
                <w:szCs w:val="21"/>
              </w:rPr>
              <w:t>9</w:t>
            </w:r>
          </w:p>
        </w:tc>
        <w:tc>
          <w:tcPr>
            <w:tcW w:w="404" w:type="pct"/>
            <w:noWrap/>
            <w:vAlign w:val="center"/>
          </w:tcPr>
          <w:p>
            <w:pPr>
              <w:widowControl/>
              <w:spacing w:before="156" w:after="156"/>
              <w:jc w:val="center"/>
              <w:rPr>
                <w:rFonts w:ascii="宋体" w:hAnsi="宋体" w:cs="宋体"/>
                <w:kern w:val="0"/>
                <w:szCs w:val="21"/>
              </w:rPr>
            </w:pPr>
            <w:r>
              <w:rPr>
                <w:rFonts w:hint="eastAsia" w:ascii="宋体" w:hAnsi="宋体" w:cs="宋体"/>
                <w:kern w:val="0"/>
                <w:szCs w:val="21"/>
              </w:rPr>
              <w:t>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免漆拼接式绿箱</w:t>
            </w:r>
          </w:p>
        </w:tc>
        <w:tc>
          <w:tcPr>
            <w:tcW w:w="2845" w:type="pct"/>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免漆拼接型绿箱墙板、弧板、球形板、地板均为一次模压成型，多种板块均采用一种铝合金支架连接，可靠耐用、免维护；该产品无需采用传统的木料制作方式，避免批腻子，刷漆等费时费力繁琐工序，为工程施工节省工期90%以上，同时节省大量资金，也杜绝日常使用掉漆磨损引起的反复维修等缺点。</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1.厚度：1块/17mm</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2.墙板：250 * 250 * 17mm</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3.弧板：270 * 250 * 17mm</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4.地板：250 * 250 * 17mm</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5.材料：环保TS材料、表面哑光</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6.地板承重：200公斤/块</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7.面积：16块/㎡</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8.颜色：绿色 </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9.模块化、拼接式、虚拟绿箱设计，本方案由多个模块化产品，均为数控磨具产品，一次成型，尺寸标准，颜色一致，无批次差；地板设计防水、强度高，耐磨，不变色；</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（由于虚拟箱板尺寸是一次成型，所以尺寸要以25cm为单位增加或者减小）</w:t>
            </w:r>
          </w:p>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10.主要类型：I型、L型、U型、扇形这四个形状供选择，I型是只有一面背景墙面；L型是有一个背景墙面加一个地面；U型是有三个背景墙面加上一个地面；扇形是两个背景墙面加一个地面。</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szCs w:val="21"/>
              </w:rPr>
              <w:t>28</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虚拟绿箱背景用平板式柔光灯</w:t>
            </w:r>
          </w:p>
        </w:tc>
        <w:tc>
          <w:tcPr>
            <w:tcW w:w="2845" w:type="pct"/>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1.额定功率：40W</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2.供电方式：90-265VAC50/60Hz</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3.相关色温：3200K/5600K</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4.LED类型：贴片</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5.光束角度：泛光型         </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6.显色指数：Ra值≥95</w:t>
            </w:r>
          </w:p>
          <w:p>
            <w:pPr>
              <w:widowControl/>
              <w:jc w:val="left"/>
              <w:textAlignment w:val="center"/>
              <w:rPr>
                <w:rFonts w:ascii="宋体" w:hAnsi="宋体" w:cs="宋体"/>
                <w:color w:val="000000"/>
                <w:kern w:val="0"/>
                <w:szCs w:val="21"/>
                <w:lang w:bidi="ar"/>
              </w:rPr>
            </w:pPr>
            <w:r>
              <w:rPr>
                <w:rFonts w:hint="eastAsia" w:ascii="宋体" w:hAnsi="宋体"/>
                <w:szCs w:val="21"/>
              </w:rPr>
              <w:t>7.</w:t>
            </w:r>
            <w:r>
              <w:rPr>
                <w:rFonts w:hint="eastAsia" w:ascii="宋体" w:hAnsi="宋体" w:cs="宋体"/>
                <w:color w:val="000000"/>
                <w:kern w:val="0"/>
                <w:szCs w:val="21"/>
                <w:lang w:bidi="ar"/>
              </w:rPr>
              <w:t>TLCI(Qa)：＞95</w:t>
            </w:r>
          </w:p>
          <w:p>
            <w:pPr>
              <w:widowControl/>
              <w:jc w:val="left"/>
              <w:textAlignment w:val="center"/>
              <w:rPr>
                <w:rFonts w:ascii="宋体" w:hAnsi="宋体" w:cs="宋体"/>
                <w:color w:val="000000"/>
                <w:kern w:val="0"/>
                <w:szCs w:val="21"/>
                <w:lang w:bidi="ar"/>
              </w:rPr>
            </w:pPr>
            <w:r>
              <w:rPr>
                <w:rFonts w:hint="eastAsia" w:ascii="宋体" w:hAnsi="宋体"/>
                <w:szCs w:val="21"/>
              </w:rPr>
              <w:t>8.</w:t>
            </w:r>
            <w:r>
              <w:rPr>
                <w:rFonts w:hint="eastAsia" w:ascii="宋体" w:hAnsi="宋体" w:cs="宋体"/>
                <w:color w:val="000000"/>
                <w:kern w:val="0"/>
                <w:szCs w:val="21"/>
                <w:lang w:bidi="ar"/>
              </w:rPr>
              <w:t>光源寿命：＞50000小时</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9.通道数量：1/3</w:t>
            </w:r>
          </w:p>
          <w:p>
            <w:pPr>
              <w:widowControl/>
              <w:jc w:val="left"/>
              <w:textAlignment w:val="center"/>
              <w:rPr>
                <w:rFonts w:ascii="宋体" w:hAnsi="宋体" w:cs="宋体"/>
                <w:color w:val="000000"/>
                <w:kern w:val="0"/>
                <w:szCs w:val="21"/>
                <w:lang w:bidi="ar"/>
              </w:rPr>
            </w:pPr>
            <w:r>
              <w:rPr>
                <w:rFonts w:hint="eastAsia" w:ascii="宋体" w:hAnsi="宋体"/>
                <w:szCs w:val="21"/>
              </w:rPr>
              <w:t>10.</w:t>
            </w:r>
            <w:r>
              <w:rPr>
                <w:rFonts w:hint="eastAsia" w:ascii="宋体" w:hAnsi="宋体" w:cs="宋体"/>
                <w:color w:val="000000"/>
                <w:kern w:val="0"/>
                <w:szCs w:val="21"/>
                <w:lang w:bidi="ar"/>
              </w:rPr>
              <w:t>调光频率：16.*调光方式：DMX512信号/本地控制/无线遥控。</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11.无线调光方式为无需走信号线，放大器，调光台等设备，12.需提供灯具无线调光相关软著</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13.固定方式：手持、影视灯架,水平及俯仰360角度调节</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14.安全耐用：静音扇热、轻薄设计</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15.工作温度：-10°—40°</w:t>
            </w:r>
          </w:p>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16.选配功能：电池或220V双供电方式，柔光箱，柔光板，滤光网，便携箱,双色温。</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29</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虚拟绿箱侧光用平板式柔光灯</w:t>
            </w:r>
          </w:p>
        </w:tc>
        <w:tc>
          <w:tcPr>
            <w:tcW w:w="2845" w:type="pct"/>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1.额定功率：60W</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2.供电方式：90-265VAC50/60Hz</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3.相关色温：3200K/5600K</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4.LED类型：贴片</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5.光束角度：泛光型         </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6.显色指数：Ra值≥95</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7.TLCI(Qa)：＞95</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8.光源寿命：＞50000小时</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9.通道数量：1/3</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10.调光频率：16.*调光方式：DMX512信号/本地控制/无线遥控。</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11.无线调光方式为无需走信号线，放大器，调光台等设备。12.需提供灯具无线调光相关软著。</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13.固定方式：手持、影视灯架,水平及俯仰360角度调节。14.安全耐用：静音扇热、轻薄设计。</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15.工作温度：-10°—40°。</w:t>
            </w:r>
          </w:p>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16.选配功能：电池或220V双供电方式，柔光箱，柔光板，滤光网，便携箱,双色温。</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虚拟绿箱面光用平板式柔光灯</w:t>
            </w:r>
          </w:p>
        </w:tc>
        <w:tc>
          <w:tcPr>
            <w:tcW w:w="2845" w:type="pct"/>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1.额定功率：80W</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2.供电方式：90-265VAC50/60Hz</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3.相关色温：3200K/5600K</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4.LED类型：贴片</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5.光束角度：泛光型         </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6.显色指数：Ra值≥95</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7.TLCI(Qa)：＞95</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8.光源寿命：＞50000小时</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9.通道数量：1/3</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10.调光频率：16.*调光方式：DMX512信号/本地控制/无线遥控。</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11.无线调光方式为无需走信号线，放大器，调光台等设备。12.需提供灯具无线调光相关软著。</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13.固定方式：手持、影视灯架,水平及俯仰360角度调节。14.安全耐用：静音扇热、轻薄设计。</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15.工作温度：-10°—40°。</w:t>
            </w:r>
          </w:p>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16.选配功能：电池或220V双供电方式，柔光箱，柔光板，滤光网，便携箱,双色温。</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31</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轮廓光用LED螺纹透镜聚光灯</w:t>
            </w:r>
          </w:p>
        </w:tc>
        <w:tc>
          <w:tcPr>
            <w:tcW w:w="2845" w:type="pct"/>
            <w:vAlign w:val="center"/>
          </w:tcPr>
          <w:p>
            <w:pPr>
              <w:widowControl/>
              <w:jc w:val="left"/>
              <w:textAlignment w:val="center"/>
              <w:rPr>
                <w:rFonts w:ascii="宋体" w:hAnsi="宋体"/>
                <w:szCs w:val="21"/>
              </w:rPr>
            </w:pPr>
            <w:r>
              <w:rPr>
                <w:rFonts w:hint="eastAsia" w:ascii="宋体" w:hAnsi="宋体"/>
                <w:szCs w:val="21"/>
              </w:rPr>
              <w:t>1.额定功率：100W</w:t>
            </w:r>
          </w:p>
          <w:p>
            <w:pPr>
              <w:widowControl/>
              <w:jc w:val="left"/>
              <w:textAlignment w:val="center"/>
              <w:rPr>
                <w:rFonts w:ascii="宋体" w:hAnsi="宋体"/>
                <w:szCs w:val="21"/>
              </w:rPr>
            </w:pPr>
            <w:r>
              <w:rPr>
                <w:rFonts w:hint="eastAsia" w:ascii="宋体" w:hAnsi="宋体"/>
                <w:szCs w:val="21"/>
              </w:rPr>
              <w:t>2.输入电压：90V—265VAC,50/60Hz</w:t>
            </w:r>
          </w:p>
          <w:p>
            <w:pPr>
              <w:widowControl/>
              <w:jc w:val="left"/>
              <w:textAlignment w:val="center"/>
              <w:rPr>
                <w:rFonts w:ascii="宋体" w:hAnsi="宋体"/>
                <w:szCs w:val="21"/>
              </w:rPr>
            </w:pPr>
            <w:r>
              <w:rPr>
                <w:rFonts w:hint="eastAsia" w:ascii="宋体" w:hAnsi="宋体"/>
                <w:szCs w:val="21"/>
              </w:rPr>
              <w:t>3.光源类型：COB</w:t>
            </w:r>
          </w:p>
          <w:p>
            <w:pPr>
              <w:widowControl/>
              <w:jc w:val="left"/>
              <w:textAlignment w:val="center"/>
              <w:rPr>
                <w:rFonts w:ascii="宋体" w:hAnsi="宋体"/>
                <w:szCs w:val="21"/>
              </w:rPr>
            </w:pPr>
            <w:r>
              <w:rPr>
                <w:rFonts w:hint="eastAsia" w:ascii="宋体" w:hAnsi="宋体"/>
                <w:szCs w:val="21"/>
              </w:rPr>
              <w:t>4.相关色温：3200K/5600K</w:t>
            </w:r>
          </w:p>
          <w:p>
            <w:pPr>
              <w:widowControl/>
              <w:jc w:val="left"/>
              <w:textAlignment w:val="center"/>
              <w:rPr>
                <w:rFonts w:ascii="宋体" w:hAnsi="宋体"/>
                <w:szCs w:val="21"/>
              </w:rPr>
            </w:pPr>
            <w:r>
              <w:rPr>
                <w:rFonts w:hint="eastAsia" w:ascii="宋体" w:hAnsi="宋体"/>
                <w:szCs w:val="21"/>
              </w:rPr>
              <w:t>5.显色指数：CRI≥95%;TLCI(Qa)：＞95</w:t>
            </w:r>
          </w:p>
          <w:p>
            <w:pPr>
              <w:widowControl/>
              <w:jc w:val="left"/>
              <w:textAlignment w:val="center"/>
              <w:rPr>
                <w:rFonts w:ascii="宋体" w:hAnsi="宋体"/>
                <w:szCs w:val="21"/>
              </w:rPr>
            </w:pPr>
            <w:r>
              <w:rPr>
                <w:rFonts w:hint="eastAsia" w:ascii="宋体" w:hAnsi="宋体"/>
                <w:szCs w:val="21"/>
              </w:rPr>
              <w:t>6.光源寿命：＞50000小时</w:t>
            </w:r>
          </w:p>
          <w:p>
            <w:pPr>
              <w:widowControl/>
              <w:jc w:val="left"/>
              <w:textAlignment w:val="center"/>
              <w:rPr>
                <w:rFonts w:ascii="宋体" w:hAnsi="宋体"/>
                <w:szCs w:val="21"/>
              </w:rPr>
            </w:pPr>
            <w:r>
              <w:rPr>
                <w:rFonts w:hint="eastAsia" w:ascii="宋体" w:hAnsi="宋体"/>
                <w:szCs w:val="21"/>
              </w:rPr>
              <w:t>7.DMX通道数：1-3通道</w:t>
            </w:r>
          </w:p>
          <w:p>
            <w:pPr>
              <w:widowControl/>
              <w:jc w:val="left"/>
              <w:textAlignment w:val="center"/>
              <w:rPr>
                <w:rFonts w:ascii="宋体" w:hAnsi="宋体"/>
                <w:szCs w:val="21"/>
              </w:rPr>
            </w:pPr>
            <w:r>
              <w:rPr>
                <w:rFonts w:hint="eastAsia" w:ascii="宋体" w:hAnsi="宋体"/>
                <w:szCs w:val="21"/>
              </w:rPr>
              <w:t>8.调光频率：16.6KHz;工作频率：660KHz</w:t>
            </w:r>
          </w:p>
          <w:p>
            <w:pPr>
              <w:widowControl/>
              <w:jc w:val="left"/>
              <w:textAlignment w:val="center"/>
              <w:rPr>
                <w:rFonts w:ascii="宋体" w:hAnsi="宋体"/>
                <w:szCs w:val="21"/>
              </w:rPr>
            </w:pPr>
            <w:r>
              <w:rPr>
                <w:rFonts w:hint="eastAsia" w:ascii="宋体" w:hAnsi="宋体"/>
                <w:szCs w:val="21"/>
              </w:rPr>
              <w:t>9.灯体温度：≥40℃</w:t>
            </w:r>
          </w:p>
          <w:p>
            <w:pPr>
              <w:widowControl/>
              <w:jc w:val="left"/>
              <w:textAlignment w:val="center"/>
              <w:rPr>
                <w:rFonts w:ascii="宋体" w:hAnsi="宋体"/>
                <w:szCs w:val="21"/>
              </w:rPr>
            </w:pPr>
            <w:r>
              <w:rPr>
                <w:rFonts w:hint="eastAsia" w:ascii="宋体" w:hAnsi="宋体"/>
                <w:szCs w:val="21"/>
              </w:rPr>
              <w:t>10.光斑角度：10°—80°</w:t>
            </w:r>
          </w:p>
          <w:p>
            <w:pPr>
              <w:widowControl/>
              <w:jc w:val="left"/>
              <w:textAlignment w:val="center"/>
              <w:rPr>
                <w:rFonts w:ascii="宋体" w:hAnsi="宋体"/>
                <w:szCs w:val="21"/>
              </w:rPr>
            </w:pPr>
            <w:r>
              <w:rPr>
                <w:rFonts w:hint="eastAsia" w:ascii="宋体" w:hAnsi="宋体"/>
                <w:szCs w:val="21"/>
              </w:rPr>
              <w:t>11.驱动方式：恒流驱动</w:t>
            </w:r>
          </w:p>
          <w:p>
            <w:pPr>
              <w:widowControl/>
              <w:jc w:val="left"/>
              <w:textAlignment w:val="center"/>
              <w:rPr>
                <w:rFonts w:ascii="宋体" w:hAnsi="宋体"/>
                <w:szCs w:val="21"/>
              </w:rPr>
            </w:pPr>
            <w:r>
              <w:rPr>
                <w:rFonts w:hint="eastAsia" w:ascii="宋体" w:hAnsi="宋体"/>
                <w:szCs w:val="21"/>
              </w:rPr>
              <w:t>12.亮度调节:0—100%无极调光</w:t>
            </w:r>
          </w:p>
          <w:p>
            <w:pPr>
              <w:widowControl/>
              <w:jc w:val="left"/>
              <w:textAlignment w:val="center"/>
              <w:rPr>
                <w:rFonts w:ascii="宋体" w:hAnsi="宋体"/>
                <w:szCs w:val="21"/>
              </w:rPr>
            </w:pPr>
            <w:r>
              <w:rPr>
                <w:rFonts w:hint="eastAsia" w:ascii="宋体" w:hAnsi="宋体"/>
                <w:szCs w:val="21"/>
              </w:rPr>
              <w:t>13.控制模式：DMX512信号/本地控制/无线遥控</w:t>
            </w:r>
          </w:p>
          <w:p>
            <w:pPr>
              <w:widowControl/>
              <w:jc w:val="left"/>
              <w:textAlignment w:val="center"/>
              <w:rPr>
                <w:rFonts w:ascii="宋体" w:hAnsi="宋体"/>
                <w:szCs w:val="21"/>
              </w:rPr>
            </w:pPr>
            <w:r>
              <w:rPr>
                <w:rFonts w:hint="eastAsia" w:ascii="宋体" w:hAnsi="宋体"/>
                <w:szCs w:val="21"/>
              </w:rPr>
              <w:t>14.冷却系统：自然风冷散热，热管式散热器，无风机产品</w:t>
            </w:r>
          </w:p>
          <w:p>
            <w:pPr>
              <w:widowControl/>
              <w:jc w:val="left"/>
              <w:textAlignment w:val="center"/>
              <w:rPr>
                <w:rFonts w:ascii="宋体" w:hAnsi="宋体"/>
                <w:szCs w:val="21"/>
              </w:rPr>
            </w:pPr>
            <w:r>
              <w:rPr>
                <w:rFonts w:hint="eastAsia" w:ascii="宋体" w:hAnsi="宋体"/>
                <w:szCs w:val="21"/>
              </w:rPr>
              <w:t>15.噪音范围：静音（无风扇）</w:t>
            </w:r>
          </w:p>
          <w:p>
            <w:pPr>
              <w:widowControl/>
              <w:jc w:val="left"/>
              <w:textAlignment w:val="center"/>
              <w:rPr>
                <w:rFonts w:ascii="宋体" w:hAnsi="宋体"/>
                <w:szCs w:val="21"/>
              </w:rPr>
            </w:pPr>
            <w:r>
              <w:rPr>
                <w:rFonts w:hint="eastAsia" w:ascii="宋体" w:hAnsi="宋体"/>
                <w:szCs w:val="21"/>
              </w:rPr>
              <w:t>16.工作温度：-10°—40°</w:t>
            </w:r>
          </w:p>
          <w:p>
            <w:pPr>
              <w:widowControl/>
              <w:jc w:val="left"/>
              <w:textAlignment w:val="center"/>
              <w:rPr>
                <w:rFonts w:ascii="宋体" w:hAnsi="宋体"/>
                <w:szCs w:val="21"/>
              </w:rPr>
            </w:pPr>
            <w:r>
              <w:rPr>
                <w:rFonts w:hint="eastAsia" w:ascii="宋体" w:hAnsi="宋体"/>
                <w:szCs w:val="21"/>
              </w:rPr>
              <w:t>17.外型尺寸：400×240×240mm</w:t>
            </w:r>
          </w:p>
          <w:p>
            <w:pPr>
              <w:widowControl/>
              <w:jc w:val="left"/>
              <w:textAlignment w:val="center"/>
              <w:rPr>
                <w:rFonts w:ascii="宋体" w:hAnsi="宋体"/>
                <w:color w:val="0000FF"/>
                <w:szCs w:val="21"/>
              </w:rPr>
            </w:pPr>
            <w:r>
              <w:rPr>
                <w:rFonts w:hint="eastAsia" w:ascii="宋体" w:hAnsi="宋体"/>
                <w:szCs w:val="21"/>
              </w:rPr>
              <w:t>18.无线调光方式为无需走信号线，放大器，调光台等设备</w:t>
            </w:r>
          </w:p>
          <w:p>
            <w:pPr>
              <w:widowControl/>
              <w:jc w:val="left"/>
              <w:textAlignment w:val="center"/>
              <w:rPr>
                <w:rFonts w:ascii="宋体" w:hAnsi="宋体" w:cs="宋体"/>
                <w:color w:val="000000"/>
                <w:szCs w:val="21"/>
              </w:rPr>
            </w:pPr>
            <w:r>
              <w:rPr>
                <w:rFonts w:hint="eastAsia" w:ascii="宋体" w:hAnsi="宋体"/>
                <w:szCs w:val="21"/>
              </w:rPr>
              <w:t>19.选配功能：电池或220V双供电方式，柔光箱，柔光板，便携箱，双色温</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32</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灯具悬挂轨道</w:t>
            </w:r>
          </w:p>
        </w:tc>
        <w:tc>
          <w:tcPr>
            <w:tcW w:w="2845" w:type="pct"/>
            <w:vAlign w:val="center"/>
          </w:tcPr>
          <w:p>
            <w:pPr>
              <w:widowControl/>
              <w:spacing w:after="156"/>
              <w:jc w:val="left"/>
              <w:textAlignment w:val="center"/>
              <w:rPr>
                <w:rFonts w:ascii="宋体" w:hAnsi="宋体" w:cs="宋体"/>
                <w:color w:val="000000"/>
                <w:szCs w:val="21"/>
              </w:rPr>
            </w:pPr>
            <w:r>
              <w:rPr>
                <w:rFonts w:hint="eastAsia" w:ascii="宋体" w:hAnsi="宋体" w:cs="宋体"/>
                <w:color w:val="000000"/>
                <w:kern w:val="0"/>
                <w:szCs w:val="21"/>
                <w:lang w:bidi="ar"/>
              </w:rPr>
              <w:t>工字轨道6米2根，王字轨道3米4根，万向滑车8个，灯具滑车12个，线缆滑车15个，轨道吊架6个，轨道夹板2个。</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5"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恒力铰链</w:t>
            </w:r>
          </w:p>
        </w:tc>
        <w:tc>
          <w:tcPr>
            <w:tcW w:w="2845" w:type="pct"/>
            <w:vAlign w:val="center"/>
          </w:tcPr>
          <w:p>
            <w:pPr>
              <w:widowControl/>
              <w:spacing w:after="156"/>
              <w:jc w:val="left"/>
              <w:textAlignment w:val="center"/>
              <w:rPr>
                <w:rFonts w:ascii="宋体" w:hAnsi="宋体" w:cs="宋体"/>
                <w:color w:val="000000"/>
                <w:szCs w:val="21"/>
              </w:rPr>
            </w:pPr>
            <w:r>
              <w:rPr>
                <w:rFonts w:hint="eastAsia" w:ascii="宋体" w:hAnsi="宋体" w:cs="宋体"/>
                <w:color w:val="000000"/>
                <w:kern w:val="0"/>
                <w:szCs w:val="21"/>
                <w:lang w:bidi="ar"/>
              </w:rPr>
              <w:t>铰链一改传统的调簧式设计，避免了传统设计方案有两个缺点，一是调整簧的位置非常困难而且危险，二是灯具无法 推到最上端，簧的位置决定了半米以上的空位，极不适合低房间使用。为了避免以上缺点，特设计了专利卡簧式铰链，7公斤以下均采用单个卡簧即可，可以准确定位，可以把空位铰链降到最低，非常方便实用，超过7公斤以上每5公斤加一个增力簧，最多可以加两个，非常方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1.结构：调簧式设计、准确定位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2.提升重量：7Kg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3.颜色：黑色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4.产品尺寸：370×340×105mm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5.自身重量：3.5Kg</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34</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遥控器</w:t>
            </w:r>
          </w:p>
        </w:tc>
        <w:tc>
          <w:tcPr>
            <w:tcW w:w="2845" w:type="pct"/>
            <w:vAlign w:val="center"/>
          </w:tcPr>
          <w:p>
            <w:pPr>
              <w:widowControl/>
              <w:spacing w:after="156"/>
              <w:jc w:val="left"/>
              <w:textAlignment w:val="center"/>
              <w:rPr>
                <w:rFonts w:ascii="宋体" w:hAnsi="宋体" w:cs="宋体"/>
                <w:color w:val="000000"/>
                <w:szCs w:val="21"/>
              </w:rPr>
            </w:pPr>
            <w:r>
              <w:rPr>
                <w:rFonts w:hint="eastAsia" w:ascii="宋体" w:hAnsi="宋体" w:cs="宋体"/>
                <w:color w:val="000000"/>
                <w:kern w:val="0"/>
                <w:szCs w:val="21"/>
                <w:lang w:bidi="ar"/>
              </w:rPr>
              <w:t>1.发射功率：10dbm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2.电源：3只AA电池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3.语言：中/英文可对每只（组）灯独立调校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控制路数多达99路;自带节能/保护模式；20秒无操作进入省电模式;能更直观的对灯具进行调节,提高工作效率,有效传输距离150M,灯与灯之间无需连接信号线。40无需接信号线，放大器、调光台等配件，既节省资金又降低故障率。数字化设计，简单易学，操作标准精确，节省人员数量配置和学习培训成本。</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5.用途：通过遥控器来控制每台灯具的亮度,本遥控器可以控制1—99号地址码的灯具,本遥控器的特点是,灯与灯之间不用连接信号线.</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trPr>
        <w:tc>
          <w:tcPr>
            <w:tcW w:w="247"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35</w:t>
            </w:r>
          </w:p>
        </w:tc>
        <w:tc>
          <w:tcPr>
            <w:tcW w:w="1171" w:type="pct"/>
            <w:gridSpan w:val="2"/>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阻燃线缆</w:t>
            </w:r>
          </w:p>
        </w:tc>
        <w:tc>
          <w:tcPr>
            <w:tcW w:w="2845" w:type="pct"/>
            <w:vAlign w:val="center"/>
          </w:tcPr>
          <w:p>
            <w:pPr>
              <w:widowControl/>
              <w:spacing w:after="156"/>
              <w:jc w:val="left"/>
              <w:textAlignment w:val="center"/>
              <w:rPr>
                <w:rFonts w:ascii="宋体" w:hAnsi="宋体" w:cs="宋体"/>
                <w:color w:val="000000"/>
                <w:szCs w:val="21"/>
              </w:rPr>
            </w:pPr>
            <w:r>
              <w:rPr>
                <w:rFonts w:hint="eastAsia" w:ascii="宋体" w:hAnsi="宋体" w:cs="宋体"/>
                <w:color w:val="000000"/>
                <w:kern w:val="0"/>
                <w:szCs w:val="21"/>
                <w:lang w:bidi="ar"/>
              </w:rPr>
              <w:t>1. 2×1.5mm²影视电缆线；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2.导体采用高存度无氧铜制造，具有传输信号衰减小，信号损耗小，电阻小传输速率高等特点；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2.线材的绝缘及护套采用进口的塑胶材质，具有耐磨、耐酸碱、耐油使用寿命长等特点；</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3.线材印字采用精密喷码机喷米标识，保证长度精确。</w:t>
            </w:r>
          </w:p>
        </w:tc>
        <w:tc>
          <w:tcPr>
            <w:tcW w:w="332"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404" w:type="pct"/>
            <w:noWrap/>
            <w:vAlign w:val="center"/>
          </w:tcPr>
          <w:p>
            <w:pPr>
              <w:widowControl/>
              <w:spacing w:before="156" w:after="156"/>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247" w:type="pct"/>
            <w:gridSpan w:val="2"/>
            <w:noWrap/>
            <w:vAlign w:val="center"/>
          </w:tcPr>
          <w:p>
            <w:pPr>
              <w:spacing w:before="156" w:after="156"/>
              <w:jc w:val="center"/>
              <w:rPr>
                <w:rFonts w:ascii="宋体" w:hAnsi="宋体" w:cs="宋体"/>
                <w:color w:val="000000"/>
                <w:kern w:val="0"/>
                <w:szCs w:val="21"/>
                <w:highlight w:val="yellow"/>
                <w:lang w:bidi="ar"/>
              </w:rPr>
            </w:pPr>
            <w:r>
              <w:rPr>
                <w:rFonts w:hint="eastAsia" w:ascii="宋体" w:hAnsi="宋体" w:cs="宋体"/>
                <w:color w:val="000000"/>
                <w:szCs w:val="21"/>
              </w:rPr>
              <w:t>3</w:t>
            </w:r>
            <w:r>
              <w:rPr>
                <w:rFonts w:ascii="宋体" w:hAnsi="宋体" w:cs="宋体"/>
                <w:color w:val="000000"/>
                <w:szCs w:val="21"/>
              </w:rPr>
              <w:t>6</w:t>
            </w:r>
          </w:p>
        </w:tc>
        <w:tc>
          <w:tcPr>
            <w:tcW w:w="1171" w:type="pct"/>
            <w:gridSpan w:val="2"/>
            <w:noWrap/>
            <w:vAlign w:val="center"/>
          </w:tcPr>
          <w:p>
            <w:pPr>
              <w:spacing w:before="156" w:after="156"/>
              <w:rPr>
                <w:rFonts w:ascii="宋体" w:hAnsi="宋体" w:cs="宋体"/>
                <w:color w:val="000000"/>
                <w:kern w:val="0"/>
                <w:szCs w:val="21"/>
                <w:highlight w:val="yellow"/>
                <w:lang w:bidi="ar"/>
              </w:rPr>
            </w:pPr>
            <w:r>
              <w:rPr>
                <w:rFonts w:hint="eastAsia" w:ascii="宋体" w:hAnsi="宋体" w:cs="宋体"/>
                <w:color w:val="000000"/>
                <w:kern w:val="0"/>
                <w:szCs w:val="21"/>
              </w:rPr>
              <w:t>设备机柜</w:t>
            </w:r>
          </w:p>
        </w:tc>
        <w:tc>
          <w:tcPr>
            <w:tcW w:w="2845" w:type="pct"/>
            <w:vAlign w:val="center"/>
          </w:tcPr>
          <w:p>
            <w:pPr>
              <w:spacing w:before="156" w:after="156"/>
              <w:jc w:val="left"/>
              <w:rPr>
                <w:rFonts w:ascii="宋体" w:hAnsi="宋体" w:cs="宋体"/>
                <w:color w:val="000000"/>
                <w:kern w:val="0"/>
                <w:szCs w:val="21"/>
                <w:lang w:bidi="ar"/>
              </w:rPr>
            </w:pPr>
            <w:r>
              <w:rPr>
                <w:rFonts w:hint="eastAsia" w:ascii="宋体" w:hAnsi="宋体" w:cs="宋体"/>
                <w:color w:val="000000"/>
                <w:kern w:val="0"/>
                <w:szCs w:val="21"/>
              </w:rPr>
              <w:t>木质材料，尺寸1</w:t>
            </w:r>
            <w:r>
              <w:rPr>
                <w:rFonts w:ascii="宋体" w:hAnsi="宋体" w:cs="宋体"/>
                <w:color w:val="000000"/>
                <w:kern w:val="0"/>
                <w:szCs w:val="21"/>
              </w:rPr>
              <w:t>6U</w:t>
            </w:r>
            <w:r>
              <w:rPr>
                <w:rFonts w:hint="eastAsia" w:ascii="宋体" w:hAnsi="宋体" w:cs="宋体"/>
                <w:color w:val="000000"/>
                <w:kern w:val="0"/>
                <w:szCs w:val="21"/>
              </w:rPr>
              <w:t>标准机柜。</w:t>
            </w:r>
          </w:p>
        </w:tc>
        <w:tc>
          <w:tcPr>
            <w:tcW w:w="332" w:type="pct"/>
            <w:noWrap/>
            <w:vAlign w:val="center"/>
          </w:tcPr>
          <w:p>
            <w:pPr>
              <w:spacing w:before="156" w:after="156"/>
              <w:jc w:val="center"/>
              <w:rPr>
                <w:rFonts w:ascii="宋体" w:hAnsi="宋体" w:cs="宋体"/>
                <w:color w:val="000000"/>
                <w:kern w:val="0"/>
                <w:szCs w:val="21"/>
                <w:lang w:bidi="ar"/>
              </w:rPr>
            </w:pPr>
            <w:r>
              <w:rPr>
                <w:rFonts w:hint="eastAsia" w:ascii="宋体" w:hAnsi="宋体" w:cs="宋体"/>
                <w:color w:val="000000"/>
                <w:kern w:val="0"/>
                <w:szCs w:val="21"/>
              </w:rPr>
              <w:t>1</w:t>
            </w:r>
          </w:p>
        </w:tc>
        <w:tc>
          <w:tcPr>
            <w:tcW w:w="404" w:type="pct"/>
            <w:noWrap/>
            <w:vAlign w:val="center"/>
          </w:tcPr>
          <w:p>
            <w:pPr>
              <w:spacing w:before="156" w:after="156"/>
              <w:jc w:val="center"/>
              <w:rPr>
                <w:rFonts w:ascii="宋体" w:hAnsi="宋体" w:cs="宋体"/>
                <w:color w:val="000000"/>
                <w:kern w:val="0"/>
                <w:szCs w:val="21"/>
                <w:lang w:bidi="ar"/>
              </w:rPr>
            </w:pPr>
            <w:r>
              <w:rPr>
                <w:rFonts w:hint="eastAsia" w:ascii="宋体" w:hAnsi="宋体" w:cs="宋体"/>
                <w:color w:val="000000"/>
                <w:kern w:val="0"/>
                <w:szCs w:val="21"/>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7" w:hRule="atLeast"/>
        </w:trPr>
        <w:tc>
          <w:tcPr>
            <w:tcW w:w="247" w:type="pct"/>
            <w:gridSpan w:val="2"/>
            <w:noWrap/>
            <w:vAlign w:val="center"/>
          </w:tcPr>
          <w:p>
            <w:pPr>
              <w:spacing w:before="156" w:after="156"/>
              <w:jc w:val="center"/>
              <w:rPr>
                <w:rFonts w:ascii="宋体" w:hAnsi="宋体" w:cs="宋体"/>
                <w:color w:val="000000"/>
                <w:szCs w:val="21"/>
                <w:highlight w:val="yellow"/>
              </w:rPr>
            </w:pPr>
            <w:r>
              <w:rPr>
                <w:rFonts w:hint="eastAsia" w:ascii="宋体" w:hAnsi="宋体" w:cs="宋体"/>
                <w:color w:val="000000"/>
                <w:szCs w:val="21"/>
              </w:rPr>
              <w:t>3</w:t>
            </w:r>
            <w:r>
              <w:rPr>
                <w:rFonts w:ascii="宋体" w:hAnsi="宋体" w:cs="宋体"/>
                <w:color w:val="000000"/>
                <w:szCs w:val="21"/>
              </w:rPr>
              <w:t>7</w:t>
            </w:r>
          </w:p>
        </w:tc>
        <w:tc>
          <w:tcPr>
            <w:tcW w:w="1171" w:type="pct"/>
            <w:gridSpan w:val="2"/>
            <w:noWrap/>
            <w:vAlign w:val="center"/>
          </w:tcPr>
          <w:p>
            <w:pPr>
              <w:spacing w:before="156" w:after="156"/>
              <w:rPr>
                <w:rFonts w:ascii="宋体" w:hAnsi="宋体" w:cs="宋体"/>
                <w:color w:val="000000"/>
                <w:szCs w:val="21"/>
                <w:highlight w:val="yellow"/>
              </w:rPr>
            </w:pPr>
            <w:r>
              <w:rPr>
                <w:rFonts w:hint="eastAsia" w:ascii="宋体" w:hAnsi="宋体" w:cs="宋体"/>
                <w:color w:val="000000"/>
                <w:kern w:val="0"/>
                <w:szCs w:val="21"/>
              </w:rPr>
              <w:t>线材及辅材费</w:t>
            </w:r>
          </w:p>
        </w:tc>
        <w:tc>
          <w:tcPr>
            <w:tcW w:w="2845" w:type="pct"/>
            <w:vAlign w:val="center"/>
          </w:tcPr>
          <w:p>
            <w:pPr>
              <w:pStyle w:val="18"/>
              <w:numPr>
                <w:ilvl w:val="0"/>
                <w:numId w:val="9"/>
              </w:numPr>
              <w:rPr>
                <w:rFonts w:ascii="宋体" w:hAnsi="宋体" w:cs="宋体"/>
                <w:b w:val="0"/>
                <w:color w:val="000000"/>
                <w:kern w:val="0"/>
                <w:sz w:val="21"/>
                <w:szCs w:val="21"/>
              </w:rPr>
            </w:pPr>
            <w:r>
              <w:rPr>
                <w:rFonts w:hint="eastAsia" w:ascii="宋体" w:hAnsi="宋体" w:cs="宋体"/>
                <w:b w:val="0"/>
                <w:color w:val="000000"/>
                <w:kern w:val="0"/>
                <w:sz w:val="21"/>
                <w:szCs w:val="21"/>
              </w:rPr>
              <w:t>专业音频信号线：两芯带屏蔽音频信号线，1.5米/条。</w:t>
            </w:r>
          </w:p>
          <w:p>
            <w:pPr>
              <w:pStyle w:val="18"/>
              <w:numPr>
                <w:ilvl w:val="0"/>
                <w:numId w:val="9"/>
              </w:numPr>
              <w:rPr>
                <w:rFonts w:ascii="宋体" w:hAnsi="宋体" w:cs="宋体"/>
                <w:b w:val="0"/>
                <w:color w:val="000000"/>
                <w:sz w:val="21"/>
                <w:szCs w:val="21"/>
              </w:rPr>
            </w:pPr>
            <w:r>
              <w:rPr>
                <w:rFonts w:hint="eastAsia" w:ascii="宋体" w:hAnsi="宋体" w:cs="宋体"/>
                <w:b w:val="0"/>
                <w:color w:val="000000"/>
                <w:kern w:val="0"/>
                <w:sz w:val="21"/>
                <w:szCs w:val="21"/>
              </w:rPr>
              <w:t>音箱信号线：两芯无氧铜音箱线，总计400芯/2.0平方*2，无氧铜。</w:t>
            </w:r>
          </w:p>
          <w:p>
            <w:pPr>
              <w:pStyle w:val="18"/>
              <w:numPr>
                <w:ilvl w:val="0"/>
                <w:numId w:val="9"/>
              </w:numPr>
              <w:rPr>
                <w:rFonts w:ascii="宋体" w:hAnsi="宋体" w:cs="宋体"/>
                <w:b w:val="0"/>
                <w:color w:val="000000"/>
                <w:sz w:val="21"/>
                <w:szCs w:val="21"/>
              </w:rPr>
            </w:pPr>
            <w:r>
              <w:rPr>
                <w:rFonts w:hint="eastAsia" w:ascii="宋体" w:hAnsi="宋体" w:cs="宋体"/>
                <w:b w:val="0"/>
                <w:color w:val="000000"/>
                <w:kern w:val="0"/>
                <w:sz w:val="21"/>
                <w:szCs w:val="21"/>
              </w:rPr>
              <w:t>电缆/电源线：纯铜线芯，发热低，使用安全，PVC外皮，耐热阻燃，不漏电。</w:t>
            </w:r>
          </w:p>
          <w:p>
            <w:pPr>
              <w:pStyle w:val="18"/>
              <w:numPr>
                <w:ilvl w:val="0"/>
                <w:numId w:val="9"/>
              </w:numPr>
              <w:rPr>
                <w:rFonts w:ascii="宋体" w:hAnsi="宋体" w:cs="宋体"/>
                <w:color w:val="000000"/>
                <w:szCs w:val="21"/>
              </w:rPr>
            </w:pPr>
            <w:r>
              <w:rPr>
                <w:rFonts w:hint="eastAsia" w:ascii="宋体" w:hAnsi="宋体" w:cs="宋体"/>
                <w:b w:val="0"/>
                <w:color w:val="000000"/>
                <w:kern w:val="0"/>
                <w:sz w:val="21"/>
                <w:szCs w:val="21"/>
              </w:rPr>
              <w:t xml:space="preserve">音箱吊挂件：坚固可靠，方便安装。 </w:t>
            </w:r>
          </w:p>
        </w:tc>
        <w:tc>
          <w:tcPr>
            <w:tcW w:w="332" w:type="pct"/>
            <w:noWrap/>
            <w:vAlign w:val="center"/>
          </w:tcPr>
          <w:p>
            <w:pPr>
              <w:spacing w:before="156" w:after="156"/>
              <w:jc w:val="center"/>
              <w:rPr>
                <w:rFonts w:ascii="宋体" w:hAnsi="宋体" w:cs="宋体"/>
                <w:color w:val="000000"/>
                <w:szCs w:val="21"/>
              </w:rPr>
            </w:pPr>
            <w:r>
              <w:rPr>
                <w:rFonts w:hint="eastAsia" w:ascii="宋体" w:hAnsi="宋体" w:cs="宋体"/>
                <w:color w:val="000000"/>
                <w:kern w:val="0"/>
                <w:szCs w:val="21"/>
              </w:rPr>
              <w:t>1</w:t>
            </w:r>
          </w:p>
        </w:tc>
        <w:tc>
          <w:tcPr>
            <w:tcW w:w="404" w:type="pct"/>
            <w:noWrap/>
            <w:vAlign w:val="center"/>
          </w:tcPr>
          <w:p>
            <w:pPr>
              <w:spacing w:before="156" w:after="156"/>
              <w:jc w:val="center"/>
              <w:rPr>
                <w:rFonts w:ascii="宋体" w:hAnsi="宋体" w:cs="宋体"/>
                <w:color w:val="000000"/>
                <w:szCs w:val="21"/>
              </w:rPr>
            </w:pPr>
            <w:r>
              <w:rPr>
                <w:rFonts w:hint="eastAsia" w:ascii="宋体" w:hAnsi="宋体" w:cs="宋体"/>
                <w:color w:val="000000"/>
                <w:kern w:val="0"/>
                <w:szCs w:val="21"/>
              </w:rPr>
              <w:t>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247" w:type="pct"/>
            <w:gridSpan w:val="2"/>
            <w:noWrap/>
            <w:vAlign w:val="center"/>
          </w:tcPr>
          <w:p>
            <w:pPr>
              <w:spacing w:before="156" w:after="156"/>
              <w:jc w:val="center"/>
              <w:rPr>
                <w:rFonts w:ascii="宋体" w:hAnsi="宋体" w:cs="宋体"/>
                <w:color w:val="000000"/>
                <w:kern w:val="0"/>
                <w:szCs w:val="21"/>
                <w:highlight w:val="yellow"/>
                <w:lang w:bidi="ar"/>
              </w:rPr>
            </w:pPr>
            <w:r>
              <w:rPr>
                <w:rFonts w:hint="eastAsia" w:ascii="宋体" w:hAnsi="宋体" w:cs="宋体"/>
                <w:color w:val="000000"/>
                <w:szCs w:val="21"/>
              </w:rPr>
              <w:t>3</w:t>
            </w:r>
            <w:r>
              <w:rPr>
                <w:rFonts w:ascii="宋体" w:hAnsi="宋体" w:cs="宋体"/>
                <w:color w:val="000000"/>
                <w:szCs w:val="21"/>
              </w:rPr>
              <w:t>8</w:t>
            </w:r>
          </w:p>
        </w:tc>
        <w:tc>
          <w:tcPr>
            <w:tcW w:w="1171" w:type="pct"/>
            <w:gridSpan w:val="2"/>
            <w:noWrap/>
            <w:vAlign w:val="center"/>
          </w:tcPr>
          <w:p>
            <w:pPr>
              <w:spacing w:before="156" w:after="156"/>
              <w:rPr>
                <w:rFonts w:ascii="宋体" w:hAnsi="宋体" w:cs="宋体"/>
                <w:color w:val="000000"/>
                <w:kern w:val="0"/>
                <w:szCs w:val="21"/>
                <w:highlight w:val="yellow"/>
                <w:lang w:bidi="ar"/>
              </w:rPr>
            </w:pPr>
            <w:r>
              <w:rPr>
                <w:rFonts w:hint="eastAsia" w:ascii="宋体" w:hAnsi="宋体" w:cs="宋体"/>
                <w:color w:val="000000"/>
                <w:kern w:val="0"/>
                <w:szCs w:val="21"/>
              </w:rPr>
              <w:t>安装调试</w:t>
            </w:r>
          </w:p>
        </w:tc>
        <w:tc>
          <w:tcPr>
            <w:tcW w:w="2845" w:type="pct"/>
            <w:vAlign w:val="center"/>
          </w:tcPr>
          <w:p>
            <w:pPr>
              <w:spacing w:before="156" w:after="156"/>
              <w:jc w:val="left"/>
              <w:rPr>
                <w:rFonts w:ascii="宋体" w:hAnsi="宋体" w:cs="宋体"/>
                <w:color w:val="000000"/>
                <w:kern w:val="0"/>
                <w:szCs w:val="21"/>
                <w:lang w:bidi="ar"/>
              </w:rPr>
            </w:pPr>
            <w:r>
              <w:rPr>
                <w:rFonts w:hint="eastAsia" w:ascii="宋体" w:hAnsi="宋体" w:cs="宋体"/>
                <w:color w:val="000000"/>
                <w:kern w:val="0"/>
                <w:szCs w:val="21"/>
              </w:rPr>
              <w:t>负责虚拟演播系统，平台服务器，非编服务器，双屏提词器，回监电视，音响，调音台，4K摄像机，监视器，灯光等设备的整体安装及调试，连通，能够使学校正常使用。</w:t>
            </w:r>
          </w:p>
        </w:tc>
        <w:tc>
          <w:tcPr>
            <w:tcW w:w="332" w:type="pct"/>
            <w:noWrap/>
            <w:vAlign w:val="center"/>
          </w:tcPr>
          <w:p>
            <w:pPr>
              <w:spacing w:before="156" w:after="156"/>
              <w:jc w:val="center"/>
              <w:rPr>
                <w:rFonts w:ascii="宋体" w:hAnsi="宋体" w:cs="宋体"/>
                <w:color w:val="000000"/>
                <w:kern w:val="0"/>
                <w:szCs w:val="21"/>
                <w:lang w:bidi="ar"/>
              </w:rPr>
            </w:pPr>
            <w:r>
              <w:rPr>
                <w:rFonts w:hint="eastAsia" w:ascii="宋体" w:hAnsi="宋体" w:cs="宋体"/>
                <w:color w:val="000000"/>
                <w:kern w:val="0"/>
                <w:szCs w:val="21"/>
              </w:rPr>
              <w:t>1</w:t>
            </w:r>
          </w:p>
        </w:tc>
        <w:tc>
          <w:tcPr>
            <w:tcW w:w="404" w:type="pct"/>
            <w:noWrap/>
            <w:vAlign w:val="center"/>
          </w:tcPr>
          <w:p>
            <w:pPr>
              <w:spacing w:before="156" w:after="156"/>
              <w:jc w:val="center"/>
              <w:rPr>
                <w:rFonts w:ascii="宋体" w:hAnsi="宋体" w:cs="宋体"/>
                <w:color w:val="000000"/>
                <w:kern w:val="0"/>
                <w:szCs w:val="21"/>
                <w:lang w:bidi="ar"/>
              </w:rPr>
            </w:pPr>
            <w:r>
              <w:rPr>
                <w:rFonts w:hint="eastAsia" w:ascii="宋体" w:hAnsi="宋体" w:cs="宋体"/>
                <w:color w:val="000000"/>
                <w:kern w:val="0"/>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247" w:type="pct"/>
            <w:gridSpan w:val="2"/>
            <w:noWrap/>
            <w:vAlign w:val="center"/>
          </w:tcPr>
          <w:p>
            <w:pPr>
              <w:spacing w:before="156" w:after="156"/>
              <w:jc w:val="center"/>
              <w:rPr>
                <w:rFonts w:ascii="宋体" w:hAnsi="宋体" w:cs="宋体"/>
                <w:color w:val="000000"/>
                <w:szCs w:val="21"/>
                <w:highlight w:val="yellow"/>
              </w:rPr>
            </w:pPr>
            <w:r>
              <w:rPr>
                <w:rFonts w:hint="eastAsia" w:ascii="宋体" w:hAnsi="宋体" w:cs="宋体"/>
                <w:color w:val="000000"/>
                <w:szCs w:val="21"/>
              </w:rPr>
              <w:t>3</w:t>
            </w:r>
            <w:r>
              <w:rPr>
                <w:rFonts w:ascii="宋体" w:hAnsi="宋体" w:cs="宋体"/>
                <w:color w:val="000000"/>
                <w:szCs w:val="21"/>
              </w:rPr>
              <w:t>9</w:t>
            </w:r>
          </w:p>
        </w:tc>
        <w:tc>
          <w:tcPr>
            <w:tcW w:w="1171" w:type="pct"/>
            <w:gridSpan w:val="2"/>
            <w:noWrap/>
            <w:vAlign w:val="center"/>
          </w:tcPr>
          <w:p>
            <w:pPr>
              <w:spacing w:before="156" w:after="156"/>
              <w:rPr>
                <w:rFonts w:ascii="宋体" w:hAnsi="宋体" w:cs="宋体"/>
                <w:kern w:val="0"/>
                <w:szCs w:val="21"/>
                <w:highlight w:val="yellow"/>
              </w:rPr>
            </w:pPr>
            <w:r>
              <w:rPr>
                <w:rFonts w:hint="eastAsia" w:ascii="宋体" w:hAnsi="宋体" w:cs="宋体"/>
                <w:kern w:val="0"/>
                <w:szCs w:val="21"/>
              </w:rPr>
              <w:t>垃圾清理</w:t>
            </w:r>
          </w:p>
        </w:tc>
        <w:tc>
          <w:tcPr>
            <w:tcW w:w="2845" w:type="pct"/>
            <w:vAlign w:val="center"/>
          </w:tcPr>
          <w:p>
            <w:pPr>
              <w:spacing w:before="156" w:after="156"/>
              <w:jc w:val="left"/>
              <w:rPr>
                <w:rFonts w:ascii="宋体" w:hAnsi="宋体"/>
                <w:szCs w:val="21"/>
              </w:rPr>
            </w:pPr>
            <w:r>
              <w:rPr>
                <w:rFonts w:hint="eastAsia" w:ascii="宋体" w:hAnsi="宋体"/>
                <w:szCs w:val="21"/>
              </w:rPr>
              <w:t>施工垃圾运离现场，打扫现场卫生。</w:t>
            </w:r>
          </w:p>
        </w:tc>
        <w:tc>
          <w:tcPr>
            <w:tcW w:w="332" w:type="pct"/>
            <w:noWrap/>
            <w:vAlign w:val="center"/>
          </w:tcPr>
          <w:p>
            <w:pPr>
              <w:spacing w:before="156" w:after="156"/>
              <w:jc w:val="center"/>
              <w:rPr>
                <w:rFonts w:ascii="宋体" w:hAnsi="宋体" w:cs="宋体"/>
                <w:kern w:val="0"/>
                <w:szCs w:val="21"/>
              </w:rPr>
            </w:pPr>
            <w:r>
              <w:rPr>
                <w:rFonts w:hint="eastAsia" w:ascii="宋体" w:hAnsi="宋体" w:cs="宋体"/>
                <w:kern w:val="0"/>
                <w:szCs w:val="21"/>
              </w:rPr>
              <w:t>1</w:t>
            </w:r>
          </w:p>
        </w:tc>
        <w:tc>
          <w:tcPr>
            <w:tcW w:w="404" w:type="pct"/>
            <w:noWrap/>
            <w:vAlign w:val="center"/>
          </w:tcPr>
          <w:p>
            <w:pPr>
              <w:spacing w:before="156" w:after="156"/>
              <w:jc w:val="center"/>
              <w:rPr>
                <w:rFonts w:ascii="宋体" w:hAnsi="宋体" w:cs="宋体"/>
                <w:kern w:val="0"/>
                <w:szCs w:val="21"/>
              </w:rPr>
            </w:pPr>
            <w:r>
              <w:rPr>
                <w:rFonts w:hint="eastAsia" w:ascii="宋体" w:hAnsi="宋体" w:cs="宋体"/>
                <w:kern w:val="0"/>
                <w:szCs w:val="21"/>
              </w:rPr>
              <w:t>项</w:t>
            </w:r>
          </w:p>
        </w:tc>
      </w:tr>
    </w:tbl>
    <w:p>
      <w:pPr>
        <w:rPr>
          <w:b/>
          <w:szCs w:val="21"/>
        </w:rPr>
      </w:pPr>
    </w:p>
    <w:p>
      <w:pPr>
        <w:rPr>
          <w:b/>
          <w:szCs w:val="21"/>
        </w:rPr>
      </w:pPr>
    </w:p>
    <w:p>
      <w:pPr>
        <w:pStyle w:val="5"/>
        <w:spacing w:before="120" w:beforeLines="50" w:after="120" w:afterLines="50" w:line="360" w:lineRule="auto"/>
        <w:rPr>
          <w:rFonts w:ascii="新宋体" w:hAnsi="新宋体" w:eastAsia="新宋体"/>
          <w:sz w:val="21"/>
          <w:szCs w:val="21"/>
        </w:rPr>
      </w:pPr>
      <w:r>
        <w:rPr>
          <w:rFonts w:hint="eastAsia" w:ascii="新宋体" w:hAnsi="新宋体" w:eastAsia="新宋体"/>
          <w:sz w:val="21"/>
          <w:szCs w:val="21"/>
        </w:rPr>
        <w:t>五、检测报告</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3260"/>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jc w:val="center"/>
              <w:rPr>
                <w:rFonts w:ascii="新宋体" w:hAnsi="新宋体" w:eastAsia="新宋体"/>
                <w:b/>
                <w:szCs w:val="21"/>
              </w:rPr>
            </w:pPr>
            <w:r>
              <w:rPr>
                <w:rFonts w:hint="eastAsia" w:ascii="新宋体" w:hAnsi="新宋体" w:eastAsia="新宋体"/>
                <w:b/>
                <w:szCs w:val="21"/>
              </w:rPr>
              <w:t>序号</w:t>
            </w:r>
          </w:p>
        </w:tc>
        <w:tc>
          <w:tcPr>
            <w:tcW w:w="1701" w:type="dxa"/>
          </w:tcPr>
          <w:p>
            <w:pPr>
              <w:spacing w:before="120" w:after="120" w:line="360" w:lineRule="auto"/>
              <w:jc w:val="center"/>
              <w:rPr>
                <w:rFonts w:ascii="新宋体" w:hAnsi="新宋体" w:eastAsia="新宋体"/>
                <w:b/>
                <w:szCs w:val="21"/>
              </w:rPr>
            </w:pPr>
            <w:r>
              <w:rPr>
                <w:rFonts w:hint="eastAsia" w:ascii="新宋体" w:hAnsi="新宋体" w:eastAsia="新宋体"/>
                <w:b/>
                <w:szCs w:val="21"/>
              </w:rPr>
              <w:t>货物名称</w:t>
            </w:r>
          </w:p>
        </w:tc>
        <w:tc>
          <w:tcPr>
            <w:tcW w:w="3260" w:type="dxa"/>
          </w:tcPr>
          <w:p>
            <w:pPr>
              <w:spacing w:before="120" w:after="120" w:line="360" w:lineRule="auto"/>
              <w:jc w:val="center"/>
              <w:rPr>
                <w:rFonts w:ascii="新宋体" w:hAnsi="新宋体" w:eastAsia="新宋体"/>
                <w:b/>
                <w:szCs w:val="21"/>
              </w:rPr>
            </w:pPr>
            <w:r>
              <w:rPr>
                <w:rFonts w:hint="eastAsia" w:ascii="新宋体" w:hAnsi="新宋体" w:eastAsia="新宋体"/>
                <w:b/>
                <w:szCs w:val="21"/>
              </w:rPr>
              <w:t>检测机构要求</w:t>
            </w:r>
          </w:p>
        </w:tc>
        <w:tc>
          <w:tcPr>
            <w:tcW w:w="3027" w:type="dxa"/>
          </w:tcPr>
          <w:p>
            <w:pPr>
              <w:spacing w:before="120" w:after="120" w:line="360" w:lineRule="auto"/>
              <w:jc w:val="center"/>
              <w:rPr>
                <w:rFonts w:ascii="新宋体" w:hAnsi="新宋体" w:eastAsia="新宋体"/>
                <w:b/>
                <w:szCs w:val="21"/>
              </w:rPr>
            </w:pPr>
            <w:r>
              <w:rPr>
                <w:rFonts w:hint="eastAsia" w:ascii="新宋体" w:hAnsi="新宋体" w:eastAsia="新宋体"/>
                <w:b/>
                <w:szCs w:val="21"/>
              </w:rPr>
              <w:t>检测指标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hint="eastAsia" w:ascii="新宋体" w:hAnsi="新宋体" w:eastAsia="新宋体"/>
                <w:szCs w:val="21"/>
              </w:rPr>
              <w:t>1</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虚拟演播室系统软件</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国家广电总局检测报告为准</w:t>
            </w:r>
          </w:p>
        </w:tc>
        <w:tc>
          <w:tcPr>
            <w:tcW w:w="3027" w:type="dxa"/>
          </w:tcPr>
          <w:p>
            <w:pPr>
              <w:spacing w:before="120" w:after="120" w:line="360" w:lineRule="auto"/>
              <w:jc w:val="center"/>
              <w:rPr>
                <w:rFonts w:ascii="新宋体" w:hAnsi="新宋体" w:eastAsia="新宋体"/>
                <w:szCs w:val="21"/>
              </w:rPr>
            </w:pPr>
            <w:r>
              <w:rPr>
                <w:rFonts w:ascii="新宋体" w:hAnsi="新宋体" w:eastAsia="新宋体"/>
                <w:szCs w:val="21"/>
              </w:rPr>
              <w:t>详见</w:t>
            </w:r>
            <w:r>
              <w:rPr>
                <w:rFonts w:hint="eastAsia" w:ascii="新宋体" w:hAnsi="新宋体" w:eastAsia="新宋体"/>
                <w:szCs w:val="21"/>
              </w:rPr>
              <w:t>具体技术</w:t>
            </w:r>
            <w:r>
              <w:rPr>
                <w:rFonts w:ascii="新宋体" w:hAnsi="新宋体" w:eastAsia="新宋体"/>
                <w:szCs w:val="21"/>
              </w:rPr>
              <w:t>需求</w:t>
            </w:r>
            <w:r>
              <w:rPr>
                <w:rFonts w:hint="eastAsia" w:ascii="新宋体" w:hAnsi="新宋体" w:eastAsia="新宋体"/>
                <w:szCs w:val="21"/>
              </w:rPr>
              <w:t>“产品参数”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710" w:type="dxa"/>
          </w:tcPr>
          <w:p>
            <w:pPr>
              <w:spacing w:before="120" w:after="120" w:line="360" w:lineRule="auto"/>
              <w:rPr>
                <w:rFonts w:ascii="新宋体" w:hAnsi="新宋体" w:eastAsia="新宋体"/>
                <w:szCs w:val="21"/>
              </w:rPr>
            </w:pPr>
            <w:r>
              <w:rPr>
                <w:rFonts w:hint="eastAsia" w:ascii="新宋体" w:hAnsi="新宋体" w:eastAsia="新宋体"/>
                <w:szCs w:val="21"/>
              </w:rPr>
              <w:t>2</w:t>
            </w:r>
          </w:p>
        </w:tc>
        <w:tc>
          <w:tcPr>
            <w:tcW w:w="1701" w:type="dxa"/>
          </w:tcPr>
          <w:p>
            <w:pPr>
              <w:spacing w:before="120" w:after="120" w:line="360" w:lineRule="auto"/>
              <w:jc w:val="left"/>
              <w:rPr>
                <w:rFonts w:ascii="新宋体" w:hAnsi="新宋体" w:eastAsia="新宋体"/>
                <w:szCs w:val="21"/>
              </w:rPr>
            </w:pPr>
            <w:r>
              <w:rPr>
                <w:rFonts w:hint="eastAsia" w:ascii="新宋体" w:hAnsi="新宋体" w:eastAsia="新宋体"/>
                <w:szCs w:val="21"/>
              </w:rPr>
              <w:t>动画设计器</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国家广电总局检测报告为准</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710" w:type="dxa"/>
          </w:tcPr>
          <w:p>
            <w:pPr>
              <w:spacing w:before="120" w:after="120"/>
              <w:rPr>
                <w:rFonts w:ascii="新宋体" w:hAnsi="新宋体" w:eastAsia="新宋体"/>
                <w:szCs w:val="21"/>
              </w:rPr>
            </w:pPr>
            <w:r>
              <w:rPr>
                <w:rFonts w:hint="eastAsia" w:ascii="新宋体" w:hAnsi="新宋体" w:eastAsia="新宋体"/>
                <w:szCs w:val="21"/>
              </w:rPr>
              <w:t>3</w:t>
            </w:r>
          </w:p>
        </w:tc>
        <w:tc>
          <w:tcPr>
            <w:tcW w:w="1701" w:type="dxa"/>
          </w:tcPr>
          <w:p>
            <w:pPr>
              <w:spacing w:before="120" w:after="120"/>
              <w:jc w:val="left"/>
              <w:rPr>
                <w:rFonts w:ascii="新宋体" w:hAnsi="新宋体" w:eastAsia="新宋体"/>
                <w:szCs w:val="21"/>
              </w:rPr>
            </w:pPr>
            <w:r>
              <w:rPr>
                <w:rFonts w:hint="eastAsia" w:ascii="新宋体" w:hAnsi="新宋体" w:eastAsia="新宋体"/>
                <w:szCs w:val="21"/>
              </w:rPr>
              <w:t>非编服务器</w:t>
            </w:r>
          </w:p>
        </w:tc>
        <w:tc>
          <w:tcPr>
            <w:tcW w:w="3260" w:type="dxa"/>
          </w:tcPr>
          <w:p>
            <w:pPr>
              <w:spacing w:before="120" w:after="120"/>
              <w:rPr>
                <w:rFonts w:ascii="新宋体" w:hAnsi="新宋体" w:eastAsia="新宋体"/>
                <w:szCs w:val="21"/>
              </w:rPr>
            </w:pPr>
            <w:r>
              <w:rPr>
                <w:rFonts w:hint="eastAsia" w:ascii="新宋体" w:hAnsi="新宋体" w:eastAsia="新宋体"/>
                <w:szCs w:val="21"/>
              </w:rPr>
              <w:t>国家广电总局检测报告为准</w:t>
            </w:r>
          </w:p>
        </w:tc>
        <w:tc>
          <w:tcPr>
            <w:tcW w:w="3027" w:type="dxa"/>
          </w:tcPr>
          <w:p>
            <w:pPr>
              <w:spacing w:before="120" w:after="120"/>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4</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主扩音箱</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符合CNAS认证检测报告复印件</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5</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主扩功放</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提供符合CNAS认证检测报告复印件</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6</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调音台</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供符合CNAS认证检测报告复印件</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7</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无线领夹话筒 （一拖二）</w:t>
            </w:r>
          </w:p>
        </w:tc>
        <w:tc>
          <w:tcPr>
            <w:tcW w:w="3260" w:type="dxa"/>
          </w:tcPr>
          <w:p>
            <w:pPr>
              <w:spacing w:before="120" w:after="120"/>
              <w:rPr>
                <w:rFonts w:ascii="新宋体" w:hAnsi="新宋体" w:eastAsia="新宋体"/>
                <w:szCs w:val="21"/>
              </w:rPr>
            </w:pPr>
            <w:r>
              <w:rPr>
                <w:rFonts w:hint="eastAsia" w:ascii="新宋体" w:hAnsi="新宋体" w:eastAsia="新宋体"/>
                <w:szCs w:val="21"/>
              </w:rPr>
              <w:t>提供符合CNAS认证第三方检测机构出具的《国际电工委员会防尘防水等级标准》检测；</w:t>
            </w:r>
          </w:p>
          <w:p>
            <w:pPr>
              <w:pStyle w:val="18"/>
              <w:rPr>
                <w:rFonts w:ascii="新宋体" w:hAnsi="新宋体" w:eastAsia="新宋体"/>
                <w:b w:val="0"/>
                <w:bCs w:val="0"/>
                <w:sz w:val="21"/>
                <w:szCs w:val="21"/>
              </w:rPr>
            </w:pPr>
            <w:r>
              <w:rPr>
                <w:rFonts w:hint="eastAsia" w:ascii="新宋体" w:hAnsi="新宋体" w:eastAsia="新宋体"/>
                <w:b w:val="0"/>
                <w:bCs w:val="0"/>
                <w:sz w:val="21"/>
                <w:szCs w:val="21"/>
              </w:rPr>
              <w:t>提供符合CNAS认证检测报告复印件</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8</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智能电源管理系统</w:t>
            </w:r>
          </w:p>
        </w:tc>
        <w:tc>
          <w:tcPr>
            <w:tcW w:w="3260" w:type="dxa"/>
          </w:tcPr>
          <w:p>
            <w:pPr>
              <w:spacing w:before="120" w:after="120"/>
              <w:rPr>
                <w:rFonts w:ascii="新宋体" w:hAnsi="新宋体" w:eastAsia="新宋体"/>
                <w:szCs w:val="21"/>
              </w:rPr>
            </w:pPr>
            <w:r>
              <w:rPr>
                <w:rFonts w:hint="eastAsia" w:ascii="新宋体" w:hAnsi="新宋体" w:eastAsia="新宋体"/>
                <w:szCs w:val="21"/>
              </w:rPr>
              <w:t>提供第三方检测报告证明；</w:t>
            </w:r>
          </w:p>
          <w:p>
            <w:pPr>
              <w:pStyle w:val="18"/>
              <w:rPr>
                <w:rFonts w:ascii="新宋体" w:hAnsi="新宋体" w:eastAsia="新宋体"/>
                <w:b w:val="0"/>
                <w:bCs w:val="0"/>
                <w:sz w:val="21"/>
                <w:szCs w:val="21"/>
              </w:rPr>
            </w:pPr>
            <w:r>
              <w:rPr>
                <w:rFonts w:hint="eastAsia" w:ascii="新宋体" w:hAnsi="新宋体" w:eastAsia="新宋体"/>
                <w:b w:val="0"/>
                <w:bCs w:val="0"/>
                <w:sz w:val="21"/>
                <w:szCs w:val="21"/>
              </w:rPr>
              <w:t>提供符合CNAS认证检测报告复印件</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9</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智能电源管理系统软件</w:t>
            </w:r>
          </w:p>
        </w:tc>
        <w:tc>
          <w:tcPr>
            <w:tcW w:w="3260" w:type="dxa"/>
          </w:tcPr>
          <w:p>
            <w:pPr>
              <w:spacing w:before="120" w:after="120" w:line="360" w:lineRule="auto"/>
              <w:rPr>
                <w:rFonts w:ascii="新宋体" w:hAnsi="新宋体" w:eastAsia="新宋体"/>
                <w:szCs w:val="21"/>
              </w:rPr>
            </w:pPr>
            <w:r>
              <w:rPr>
                <w:rFonts w:hint="eastAsia" w:ascii="新宋体" w:hAnsi="新宋体" w:eastAsia="新宋体"/>
                <w:szCs w:val="21"/>
              </w:rPr>
              <w:t>提供CNAS认可第三方检测机构软件检测报告</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spacing w:before="120" w:after="120" w:line="360" w:lineRule="auto"/>
              <w:rPr>
                <w:rFonts w:ascii="新宋体" w:hAnsi="新宋体" w:eastAsia="新宋体"/>
                <w:szCs w:val="21"/>
              </w:rPr>
            </w:pPr>
            <w:r>
              <w:rPr>
                <w:rFonts w:ascii="新宋体" w:hAnsi="新宋体" w:eastAsia="新宋体"/>
                <w:szCs w:val="21"/>
              </w:rPr>
              <w:t>10</w:t>
            </w:r>
          </w:p>
        </w:tc>
        <w:tc>
          <w:tcPr>
            <w:tcW w:w="1701" w:type="dxa"/>
          </w:tcPr>
          <w:p>
            <w:pPr>
              <w:spacing w:before="120" w:after="120" w:line="360" w:lineRule="auto"/>
              <w:rPr>
                <w:rFonts w:ascii="新宋体" w:hAnsi="新宋体" w:eastAsia="新宋体"/>
                <w:szCs w:val="21"/>
              </w:rPr>
            </w:pPr>
            <w:r>
              <w:rPr>
                <w:rFonts w:hint="eastAsia" w:ascii="新宋体" w:hAnsi="新宋体" w:eastAsia="新宋体"/>
                <w:szCs w:val="21"/>
              </w:rPr>
              <w:t>LED教室灯</w:t>
            </w:r>
          </w:p>
        </w:tc>
        <w:tc>
          <w:tcPr>
            <w:tcW w:w="3260" w:type="dxa"/>
          </w:tcPr>
          <w:p>
            <w:pPr>
              <w:spacing w:before="120" w:after="120"/>
              <w:rPr>
                <w:rFonts w:ascii="新宋体" w:hAnsi="新宋体" w:eastAsia="新宋体"/>
                <w:szCs w:val="21"/>
              </w:rPr>
            </w:pPr>
            <w:r>
              <w:rPr>
                <w:rFonts w:hint="eastAsia" w:ascii="新宋体" w:hAnsi="新宋体" w:eastAsia="新宋体"/>
                <w:szCs w:val="21"/>
              </w:rPr>
              <w:t>有CMA及CNAS标志的检测报告复印件；</w:t>
            </w:r>
          </w:p>
          <w:p>
            <w:pPr>
              <w:pStyle w:val="18"/>
              <w:rPr>
                <w:rFonts w:ascii="新宋体" w:hAnsi="新宋体" w:eastAsia="新宋体"/>
                <w:b w:val="0"/>
                <w:bCs w:val="0"/>
                <w:sz w:val="21"/>
                <w:szCs w:val="21"/>
              </w:rPr>
            </w:pPr>
            <w:r>
              <w:rPr>
                <w:rFonts w:hint="eastAsia" w:ascii="新宋体" w:hAnsi="新宋体" w:eastAsia="新宋体"/>
                <w:b w:val="0"/>
                <w:bCs w:val="0"/>
                <w:sz w:val="21"/>
                <w:szCs w:val="21"/>
              </w:rPr>
              <w:t>国家法定认证机构出具的认证证书</w:t>
            </w:r>
          </w:p>
        </w:tc>
        <w:tc>
          <w:tcPr>
            <w:tcW w:w="3027" w:type="dxa"/>
          </w:tcPr>
          <w:p>
            <w:pPr>
              <w:spacing w:before="120" w:after="120" w:line="360" w:lineRule="auto"/>
              <w:jc w:val="center"/>
              <w:rPr>
                <w:rFonts w:ascii="新宋体" w:hAnsi="新宋体" w:eastAsia="新宋体"/>
                <w:szCs w:val="21"/>
              </w:rPr>
            </w:pPr>
            <w:r>
              <w:rPr>
                <w:rFonts w:hint="eastAsia" w:ascii="新宋体" w:hAnsi="新宋体" w:eastAsia="新宋体"/>
                <w:szCs w:val="21"/>
              </w:rPr>
              <w:t>详见具体技术需求“产品参数”</w:t>
            </w:r>
          </w:p>
        </w:tc>
      </w:tr>
    </w:tbl>
    <w:p>
      <w:pPr>
        <w:spacing w:line="360" w:lineRule="auto"/>
        <w:rPr>
          <w:rFonts w:ascii="新宋体" w:hAnsi="新宋体" w:eastAsia="新宋体"/>
          <w:szCs w:val="21"/>
        </w:rPr>
      </w:pPr>
    </w:p>
    <w:p>
      <w:pPr>
        <w:spacing w:line="360" w:lineRule="auto"/>
        <w:rPr>
          <w:rFonts w:ascii="新宋体" w:hAnsi="新宋体" w:eastAsia="新宋体"/>
          <w:szCs w:val="21"/>
        </w:rPr>
      </w:pPr>
      <w:r>
        <w:rPr>
          <w:rFonts w:hint="eastAsia" w:ascii="新宋体" w:hAnsi="新宋体" w:eastAsia="新宋体"/>
          <w:szCs w:val="21"/>
        </w:rPr>
        <w:t>备注：</w:t>
      </w:r>
    </w:p>
    <w:p>
      <w:pPr>
        <w:spacing w:line="360" w:lineRule="auto"/>
        <w:rPr>
          <w:rFonts w:ascii="新宋体" w:hAnsi="新宋体" w:eastAsia="新宋体"/>
          <w:szCs w:val="21"/>
        </w:rPr>
      </w:pPr>
      <w:r>
        <w:rPr>
          <w:rFonts w:hint="eastAsia" w:ascii="新宋体" w:hAnsi="新宋体" w:eastAsia="新宋体"/>
          <w:b/>
          <w:szCs w:val="21"/>
        </w:rPr>
        <w:t>1、</w:t>
      </w:r>
      <w:r>
        <w:rPr>
          <w:rFonts w:hint="eastAsia" w:ascii="新宋体" w:hAnsi="新宋体" w:eastAsia="新宋体"/>
          <w:szCs w:val="21"/>
        </w:rPr>
        <w:t>投标文件应按要求提供相应检测报告。</w:t>
      </w:r>
    </w:p>
    <w:p>
      <w:pPr>
        <w:spacing w:line="360" w:lineRule="auto"/>
        <w:rPr>
          <w:rFonts w:ascii="新宋体" w:hAnsi="新宋体" w:eastAsia="新宋体"/>
          <w:szCs w:val="21"/>
        </w:rPr>
      </w:pPr>
      <w:r>
        <w:rPr>
          <w:rFonts w:hint="eastAsia" w:ascii="新宋体" w:hAnsi="新宋体" w:eastAsia="新宋体"/>
          <w:b/>
          <w:szCs w:val="21"/>
        </w:rPr>
        <w:t>2、</w:t>
      </w:r>
      <w:r>
        <w:rPr>
          <w:rFonts w:hint="eastAsia" w:ascii="新宋体" w:hAnsi="新宋体" w:eastAsia="新宋体"/>
          <w:szCs w:val="21"/>
        </w:rPr>
        <w:t>检测报告（均为原件扫描件）的提供要求：</w:t>
      </w:r>
    </w:p>
    <w:p>
      <w:pPr>
        <w:spacing w:line="360" w:lineRule="auto"/>
        <w:rPr>
          <w:rFonts w:ascii="新宋体" w:hAnsi="新宋体" w:eastAsia="新宋体"/>
          <w:szCs w:val="21"/>
        </w:rPr>
      </w:pPr>
      <w:r>
        <w:rPr>
          <w:rFonts w:hint="eastAsia" w:ascii="新宋体" w:hAnsi="新宋体" w:eastAsia="新宋体"/>
          <w:szCs w:val="21"/>
        </w:rPr>
        <w:t>（1）检测报告内容中若涉及外文说明，必须同时提供对应中文翻译说明，评标依据以中文翻译内容为准，外文说明仅供参考；检测报告尺寸和清晰度应该能够在电脑上被阅读、识别和判断；</w:t>
      </w:r>
    </w:p>
    <w:p>
      <w:pPr>
        <w:spacing w:line="360" w:lineRule="auto"/>
        <w:rPr>
          <w:rFonts w:ascii="新宋体" w:hAnsi="新宋体" w:eastAsia="新宋体"/>
          <w:szCs w:val="21"/>
        </w:rPr>
      </w:pPr>
      <w:r>
        <w:rPr>
          <w:rFonts w:hint="eastAsia" w:ascii="新宋体" w:hAnsi="新宋体" w:eastAsia="新宋体"/>
          <w:szCs w:val="21"/>
        </w:rPr>
        <w:t>（2）我国政府机构出具的产品检测报告应为报告正面、背面和附件标注的全部具体内容；产品检验报告的尺寸和清晰度应该能够在电脑上被阅读、识别和判断。</w:t>
      </w:r>
    </w:p>
    <w:p>
      <w:pPr>
        <w:rPr>
          <w:sz w:val="24"/>
        </w:rPr>
      </w:pPr>
    </w:p>
    <w:p>
      <w:pPr>
        <w:pStyle w:val="5"/>
        <w:spacing w:before="120" w:beforeLines="50" w:after="120" w:afterLines="50"/>
        <w:rPr>
          <w:sz w:val="28"/>
          <w:szCs w:val="28"/>
        </w:rPr>
      </w:pPr>
      <w:r>
        <w:rPr>
          <w:rFonts w:hint="eastAsia"/>
          <w:sz w:val="28"/>
          <w:szCs w:val="28"/>
        </w:rPr>
        <w:t>六、商务需求</w:t>
      </w:r>
    </w:p>
    <w:p>
      <w:pPr>
        <w:spacing w:line="360" w:lineRule="auto"/>
        <w:ind w:firstLine="422" w:firstLineChars="200"/>
        <w:rPr>
          <w:rFonts w:ascii="新宋体" w:hAnsi="新宋体" w:eastAsia="新宋体"/>
          <w:b/>
          <w:szCs w:val="21"/>
        </w:rPr>
      </w:pPr>
      <w:r>
        <w:rPr>
          <w:rFonts w:hint="eastAsia" w:ascii="新宋体" w:hAnsi="新宋体" w:eastAsia="新宋体"/>
          <w:b/>
          <w:szCs w:val="21"/>
        </w:rPr>
        <w:t>说明：1、带“</w:t>
      </w:r>
      <w:r>
        <w:rPr>
          <w:rFonts w:hint="eastAsia" w:ascii="新宋体" w:hAnsi="新宋体" w:eastAsia="新宋体" w:cs="宋体"/>
          <w:b/>
          <w:szCs w:val="21"/>
        </w:rPr>
        <w:t>★</w:t>
      </w:r>
      <w:r>
        <w:rPr>
          <w:rFonts w:hint="eastAsia" w:ascii="新宋体" w:hAnsi="新宋体" w:eastAsia="新宋体"/>
          <w:b/>
          <w:szCs w:val="21"/>
        </w:rPr>
        <w:t>”指标项为实质性条款，如出现负偏离，将被视为未实质性满足招标文件要求作投标无效处理。</w:t>
      </w:r>
    </w:p>
    <w:p>
      <w:pPr>
        <w:spacing w:line="360" w:lineRule="auto"/>
        <w:ind w:firstLine="422" w:firstLineChars="200"/>
        <w:rPr>
          <w:rFonts w:ascii="新宋体" w:hAnsi="新宋体" w:eastAsia="新宋体"/>
          <w:szCs w:val="21"/>
        </w:rPr>
      </w:pPr>
      <w:r>
        <w:rPr>
          <w:rFonts w:hint="eastAsia" w:ascii="新宋体" w:hAnsi="新宋体" w:eastAsia="新宋体"/>
          <w:b/>
          <w:szCs w:val="21"/>
        </w:rPr>
        <w:t>2、评分时，如对一项招标商务需求（以划分框为准，一个划分框是作为一项招标商务需求）中的内容存在两处（或以上）负偏离的，在评分时只作一项负偏离扣分。</w:t>
      </w:r>
    </w:p>
    <w:tbl>
      <w:tblPr>
        <w:tblStyle w:val="43"/>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序号</w:t>
            </w:r>
          </w:p>
        </w:tc>
        <w:tc>
          <w:tcPr>
            <w:tcW w:w="1620" w:type="dxa"/>
            <w:vAlign w:val="center"/>
          </w:tcPr>
          <w:p>
            <w:pPr>
              <w:jc w:val="center"/>
              <w:rPr>
                <w:rFonts w:ascii="新宋体" w:hAnsi="新宋体" w:eastAsia="新宋体"/>
                <w:b/>
                <w:szCs w:val="21"/>
              </w:rPr>
            </w:pPr>
            <w:r>
              <w:rPr>
                <w:rFonts w:hint="eastAsia" w:ascii="新宋体" w:hAnsi="新宋体" w:eastAsia="新宋体"/>
                <w:b/>
                <w:szCs w:val="21"/>
              </w:rPr>
              <w:t>目录</w:t>
            </w:r>
          </w:p>
        </w:tc>
        <w:tc>
          <w:tcPr>
            <w:tcW w:w="5940" w:type="dxa"/>
            <w:vAlign w:val="center"/>
          </w:tcPr>
          <w:p>
            <w:pPr>
              <w:jc w:val="center"/>
              <w:rPr>
                <w:rFonts w:ascii="新宋体" w:hAnsi="新宋体" w:eastAsia="新宋体"/>
                <w:b/>
                <w:szCs w:val="21"/>
              </w:rPr>
            </w:pPr>
            <w:r>
              <w:rPr>
                <w:rFonts w:hint="eastAsia" w:ascii="新宋体" w:hAnsi="新宋体" w:eastAsia="新宋体"/>
                <w:b/>
                <w:szCs w:val="21"/>
              </w:rPr>
              <w:t>招标商务需求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rFonts w:ascii="新宋体" w:hAnsi="新宋体" w:eastAsia="新宋体"/>
                <w:b/>
                <w:szCs w:val="21"/>
              </w:rPr>
            </w:pPr>
            <w:r>
              <w:rPr>
                <w:rFonts w:hint="eastAsia" w:ascii="新宋体" w:hAnsi="新宋体" w:eastAsia="新宋体"/>
                <w:b/>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1</w:t>
            </w:r>
          </w:p>
        </w:tc>
        <w:tc>
          <w:tcPr>
            <w:tcW w:w="1620" w:type="dxa"/>
          </w:tcPr>
          <w:p>
            <w:pPr>
              <w:rPr>
                <w:rFonts w:ascii="新宋体" w:hAnsi="新宋体" w:eastAsia="新宋体"/>
                <w:szCs w:val="21"/>
              </w:rPr>
            </w:pPr>
            <w:r>
              <w:rPr>
                <w:rFonts w:hint="eastAsia" w:ascii="新宋体" w:hAnsi="新宋体" w:eastAsia="新宋体"/>
                <w:szCs w:val="21"/>
              </w:rPr>
              <w:t>维修响应及故障解决时间</w:t>
            </w:r>
          </w:p>
        </w:tc>
        <w:tc>
          <w:tcPr>
            <w:tcW w:w="5940" w:type="dxa"/>
          </w:tcPr>
          <w:p>
            <w:pPr>
              <w:rPr>
                <w:rFonts w:ascii="新宋体" w:hAnsi="新宋体" w:eastAsia="新宋体"/>
                <w:b/>
                <w:szCs w:val="21"/>
              </w:rPr>
            </w:pPr>
            <w:r>
              <w:rPr>
                <w:rFonts w:hint="eastAsia" w:ascii="新宋体" w:hAnsi="新宋体" w:eastAsia="新宋体"/>
                <w:bCs/>
                <w:szCs w:val="21"/>
              </w:rPr>
              <w:t>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vAlign w:val="center"/>
          </w:tcPr>
          <w:p>
            <w:pPr>
              <w:jc w:val="center"/>
              <w:rPr>
                <w:rFonts w:ascii="新宋体" w:hAnsi="新宋体" w:eastAsia="新宋体"/>
                <w:szCs w:val="21"/>
              </w:rPr>
            </w:pPr>
            <w:r>
              <w:rPr>
                <w:rFonts w:hint="eastAsia" w:ascii="新宋体" w:hAnsi="新宋体" w:eastAsia="新宋体"/>
                <w:szCs w:val="21"/>
              </w:rPr>
              <w:t>2</w:t>
            </w:r>
          </w:p>
        </w:tc>
        <w:tc>
          <w:tcPr>
            <w:tcW w:w="1620" w:type="dxa"/>
          </w:tcPr>
          <w:p>
            <w:pPr>
              <w:rPr>
                <w:rFonts w:ascii="新宋体" w:hAnsi="新宋体" w:eastAsia="新宋体"/>
                <w:szCs w:val="21"/>
              </w:rPr>
            </w:pPr>
            <w:r>
              <w:rPr>
                <w:rFonts w:hint="eastAsia" w:ascii="新宋体" w:hAnsi="新宋体" w:eastAsia="新宋体"/>
                <w:szCs w:val="21"/>
              </w:rPr>
              <w:t>关于免费保修期</w:t>
            </w:r>
          </w:p>
        </w:tc>
        <w:tc>
          <w:tcPr>
            <w:tcW w:w="5940" w:type="dxa"/>
          </w:tcPr>
          <w:p>
            <w:pPr>
              <w:rPr>
                <w:rFonts w:ascii="新宋体" w:hAnsi="新宋体" w:eastAsia="新宋体"/>
                <w:b/>
                <w:szCs w:val="21"/>
              </w:rPr>
            </w:pPr>
            <w:r>
              <w:rPr>
                <w:rFonts w:ascii="新宋体" w:hAnsi="新宋体" w:eastAsia="新宋体"/>
                <w:bCs/>
                <w:szCs w:val="21"/>
              </w:rPr>
              <w:t>1.1</w:t>
            </w:r>
            <w:r>
              <w:rPr>
                <w:rFonts w:hint="eastAsia" w:ascii="新宋体" w:hAnsi="新宋体" w:eastAsia="新宋体"/>
                <w:bCs/>
                <w:szCs w:val="21"/>
              </w:rPr>
              <w:t>货物免费保修期</w:t>
            </w:r>
            <w:r>
              <w:rPr>
                <w:rFonts w:hint="eastAsia" w:ascii="新宋体" w:hAnsi="新宋体" w:eastAsia="新宋体"/>
                <w:bCs/>
                <w:szCs w:val="21"/>
                <w:u w:val="single"/>
                <w:lang w:val="en-US" w:eastAsia="zh-CN"/>
              </w:rPr>
              <w:t>3</w:t>
            </w:r>
            <w:r>
              <w:rPr>
                <w:rFonts w:hint="eastAsia" w:ascii="新宋体" w:hAnsi="新宋体" w:eastAsia="新宋体"/>
                <w:bCs/>
                <w:szCs w:val="21"/>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0" w:type="dxa"/>
            <w:vAlign w:val="center"/>
          </w:tcPr>
          <w:p>
            <w:pPr>
              <w:jc w:val="center"/>
              <w:rPr>
                <w:rFonts w:ascii="新宋体" w:hAnsi="新宋体" w:eastAsia="新宋体"/>
                <w:b/>
                <w:szCs w:val="21"/>
              </w:rPr>
            </w:pPr>
            <w:r>
              <w:rPr>
                <w:rFonts w:hint="eastAsia" w:ascii="新宋体" w:hAnsi="新宋体" w:eastAsia="新宋体"/>
                <w:szCs w:val="21"/>
              </w:rPr>
              <w:t>3</w:t>
            </w:r>
          </w:p>
        </w:tc>
        <w:tc>
          <w:tcPr>
            <w:tcW w:w="1620" w:type="dxa"/>
            <w:vAlign w:val="center"/>
          </w:tcPr>
          <w:p>
            <w:pPr>
              <w:rPr>
                <w:rFonts w:ascii="新宋体" w:hAnsi="新宋体" w:eastAsia="新宋体"/>
                <w:b/>
                <w:szCs w:val="21"/>
              </w:rPr>
            </w:pPr>
            <w:r>
              <w:rPr>
                <w:rFonts w:hint="eastAsia" w:ascii="新宋体" w:hAnsi="新宋体" w:eastAsia="新宋体"/>
                <w:szCs w:val="21"/>
              </w:rPr>
              <w:t>其他</w:t>
            </w:r>
          </w:p>
        </w:tc>
        <w:tc>
          <w:tcPr>
            <w:tcW w:w="5940" w:type="dxa"/>
            <w:vAlign w:val="center"/>
          </w:tcPr>
          <w:p>
            <w:pPr>
              <w:rPr>
                <w:rFonts w:ascii="新宋体" w:hAnsi="新宋体" w:eastAsia="新宋体"/>
                <w:b/>
                <w:szCs w:val="21"/>
              </w:rPr>
            </w:pPr>
            <w:r>
              <w:rPr>
                <w:rFonts w:hint="eastAsia" w:ascii="新宋体" w:hAnsi="新宋体" w:eastAsia="新宋体"/>
                <w:bCs/>
                <w:szCs w:val="21"/>
              </w:rPr>
              <w:t>★要求中标方对本项目所采购的各项货物和货物集成提供3年质保期（有注明的除外）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rFonts w:ascii="新宋体" w:hAnsi="新宋体" w:eastAsia="新宋体"/>
                <w:b/>
                <w:szCs w:val="21"/>
              </w:rPr>
            </w:pPr>
            <w:r>
              <w:rPr>
                <w:rFonts w:hint="eastAsia" w:ascii="新宋体" w:hAnsi="新宋体" w:eastAsia="新宋体"/>
                <w:b/>
                <w:szCs w:val="21"/>
              </w:rPr>
              <w:t>（二）免费保修期外售后服务要求（可选）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1</w:t>
            </w:r>
          </w:p>
        </w:tc>
        <w:tc>
          <w:tcPr>
            <w:tcW w:w="1620" w:type="dxa"/>
          </w:tcPr>
          <w:p>
            <w:pPr>
              <w:rPr>
                <w:rFonts w:ascii="新宋体" w:hAnsi="新宋体" w:eastAsia="新宋体"/>
                <w:b/>
                <w:szCs w:val="21"/>
              </w:rPr>
            </w:pPr>
          </w:p>
        </w:tc>
        <w:tc>
          <w:tcPr>
            <w:tcW w:w="5940" w:type="dxa"/>
          </w:tcPr>
          <w:p>
            <w:pPr>
              <w:rPr>
                <w:rFonts w:ascii="新宋体" w:hAnsi="新宋体" w:eastAsia="新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2</w:t>
            </w:r>
          </w:p>
        </w:tc>
        <w:tc>
          <w:tcPr>
            <w:tcW w:w="1620" w:type="dxa"/>
          </w:tcPr>
          <w:p>
            <w:pPr>
              <w:rPr>
                <w:rFonts w:ascii="新宋体" w:hAnsi="新宋体" w:eastAsia="新宋体"/>
                <w:b/>
                <w:szCs w:val="21"/>
              </w:rPr>
            </w:pPr>
          </w:p>
        </w:tc>
        <w:tc>
          <w:tcPr>
            <w:tcW w:w="5940" w:type="dxa"/>
          </w:tcPr>
          <w:p>
            <w:pPr>
              <w:rPr>
                <w:rFonts w:ascii="新宋体" w:hAnsi="新宋体" w:eastAsia="新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w:t>
            </w:r>
          </w:p>
        </w:tc>
        <w:tc>
          <w:tcPr>
            <w:tcW w:w="1620" w:type="dxa"/>
          </w:tcPr>
          <w:p>
            <w:pPr>
              <w:rPr>
                <w:rFonts w:ascii="新宋体" w:hAnsi="新宋体" w:eastAsia="新宋体"/>
                <w:b/>
                <w:szCs w:val="21"/>
              </w:rPr>
            </w:pPr>
          </w:p>
        </w:tc>
        <w:tc>
          <w:tcPr>
            <w:tcW w:w="5940" w:type="dxa"/>
          </w:tcPr>
          <w:p>
            <w:pPr>
              <w:rPr>
                <w:rFonts w:ascii="新宋体" w:hAnsi="新宋体" w:eastAsia="新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20" w:type="dxa"/>
            <w:gridSpan w:val="3"/>
          </w:tcPr>
          <w:p>
            <w:pPr>
              <w:rPr>
                <w:rFonts w:ascii="新宋体" w:hAnsi="新宋体" w:eastAsia="新宋体"/>
                <w:b/>
                <w:szCs w:val="21"/>
              </w:rPr>
            </w:pPr>
            <w:r>
              <w:rPr>
                <w:rFonts w:hint="eastAsia" w:ascii="新宋体" w:hAnsi="新宋体" w:eastAsia="新宋体"/>
                <w:b/>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60" w:type="dxa"/>
            <w:vMerge w:val="restart"/>
            <w:vAlign w:val="center"/>
          </w:tcPr>
          <w:p>
            <w:pPr>
              <w:jc w:val="center"/>
              <w:rPr>
                <w:rFonts w:ascii="新宋体" w:hAnsi="新宋体" w:eastAsia="新宋体"/>
                <w:b/>
                <w:szCs w:val="21"/>
              </w:rPr>
            </w:pPr>
            <w:r>
              <w:rPr>
                <w:rFonts w:hint="eastAsia" w:ascii="新宋体" w:hAnsi="新宋体" w:eastAsia="新宋体"/>
                <w:b/>
                <w:szCs w:val="21"/>
              </w:rPr>
              <w:t>1</w:t>
            </w:r>
          </w:p>
        </w:tc>
        <w:tc>
          <w:tcPr>
            <w:tcW w:w="1620" w:type="dxa"/>
            <w:vMerge w:val="restart"/>
            <w:vAlign w:val="center"/>
          </w:tcPr>
          <w:p>
            <w:pPr>
              <w:jc w:val="center"/>
              <w:rPr>
                <w:rFonts w:ascii="新宋体" w:hAnsi="新宋体" w:eastAsia="新宋体"/>
                <w:szCs w:val="21"/>
              </w:rPr>
            </w:pPr>
            <w:r>
              <w:rPr>
                <w:rFonts w:hint="eastAsia" w:ascii="新宋体" w:hAnsi="新宋体" w:eastAsia="新宋体"/>
                <w:szCs w:val="21"/>
              </w:rPr>
              <w:t>关于交货</w:t>
            </w:r>
          </w:p>
        </w:tc>
        <w:tc>
          <w:tcPr>
            <w:tcW w:w="5940" w:type="dxa"/>
          </w:tcPr>
          <w:p>
            <w:pPr>
              <w:rPr>
                <w:rFonts w:ascii="新宋体" w:hAnsi="新宋体" w:eastAsia="新宋体"/>
                <w:bCs/>
                <w:szCs w:val="21"/>
              </w:rPr>
            </w:pPr>
            <w:r>
              <w:rPr>
                <w:rFonts w:hint="eastAsia" w:ascii="新宋体" w:hAnsi="新宋体" w:eastAsia="新宋体"/>
                <w:bCs/>
                <w:szCs w:val="21"/>
              </w:rPr>
              <w:t>1.1交货地点：深圳市南山区前海学校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60" w:type="dxa"/>
            <w:vMerge w:val="continue"/>
            <w:vAlign w:val="center"/>
          </w:tcPr>
          <w:p>
            <w:pPr>
              <w:jc w:val="center"/>
              <w:rPr>
                <w:rFonts w:ascii="新宋体" w:hAnsi="新宋体" w:eastAsia="新宋体"/>
                <w:b/>
                <w:szCs w:val="21"/>
              </w:rPr>
            </w:pPr>
          </w:p>
        </w:tc>
        <w:tc>
          <w:tcPr>
            <w:tcW w:w="1620" w:type="dxa"/>
            <w:vMerge w:val="continue"/>
            <w:vAlign w:val="center"/>
          </w:tcPr>
          <w:p>
            <w:pPr>
              <w:jc w:val="center"/>
              <w:rPr>
                <w:rFonts w:ascii="新宋体" w:hAnsi="新宋体" w:eastAsia="新宋体"/>
                <w:szCs w:val="21"/>
              </w:rPr>
            </w:pPr>
          </w:p>
        </w:tc>
        <w:tc>
          <w:tcPr>
            <w:tcW w:w="5940" w:type="dxa"/>
          </w:tcPr>
          <w:p>
            <w:pPr>
              <w:rPr>
                <w:rFonts w:ascii="新宋体" w:hAnsi="新宋体" w:eastAsia="新宋体"/>
                <w:bCs/>
                <w:szCs w:val="21"/>
              </w:rPr>
            </w:pPr>
            <w:r>
              <w:rPr>
                <w:rFonts w:hint="eastAsia" w:ascii="新宋体" w:hAnsi="新宋体" w:eastAsia="新宋体"/>
                <w:bCs/>
                <w:szCs w:val="21"/>
              </w:rPr>
              <w:t>1.2投标人必须承担的设备运输、安装调试、验收检测和提供设备操作说明书、图纸等其他类似的义务。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60" w:type="dxa"/>
            <w:vMerge w:val="continue"/>
            <w:vAlign w:val="center"/>
          </w:tcPr>
          <w:p>
            <w:pPr>
              <w:jc w:val="center"/>
              <w:rPr>
                <w:rFonts w:ascii="新宋体" w:hAnsi="新宋体" w:eastAsia="新宋体"/>
                <w:b/>
                <w:szCs w:val="21"/>
              </w:rPr>
            </w:pPr>
          </w:p>
        </w:tc>
        <w:tc>
          <w:tcPr>
            <w:tcW w:w="1620" w:type="dxa"/>
            <w:vMerge w:val="continue"/>
            <w:vAlign w:val="center"/>
          </w:tcPr>
          <w:p>
            <w:pPr>
              <w:jc w:val="center"/>
              <w:rPr>
                <w:rFonts w:ascii="新宋体" w:hAnsi="新宋体" w:eastAsia="新宋体"/>
                <w:szCs w:val="21"/>
              </w:rPr>
            </w:pPr>
          </w:p>
        </w:tc>
        <w:tc>
          <w:tcPr>
            <w:tcW w:w="5940" w:type="dxa"/>
          </w:tcPr>
          <w:p>
            <w:pPr>
              <w:rPr>
                <w:rFonts w:ascii="新宋体" w:hAnsi="新宋体" w:eastAsia="新宋体"/>
                <w:bCs/>
                <w:szCs w:val="21"/>
              </w:rPr>
            </w:pPr>
            <w:r>
              <w:rPr>
                <w:rFonts w:hint="eastAsia" w:ascii="新宋体" w:hAnsi="新宋体" w:eastAsia="新宋体"/>
                <w:bCs/>
                <w:szCs w:val="21"/>
              </w:rPr>
              <w:t>1.3在进场施工日起30个日历日内完工，进场施工时间由采购人确定。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pPr>
              <w:jc w:val="center"/>
              <w:rPr>
                <w:rFonts w:ascii="新宋体" w:hAnsi="新宋体" w:eastAsia="新宋体"/>
                <w:b/>
                <w:szCs w:val="21"/>
              </w:rPr>
            </w:pPr>
            <w:r>
              <w:rPr>
                <w:rFonts w:hint="eastAsia" w:ascii="新宋体" w:hAnsi="新宋体" w:eastAsia="新宋体"/>
                <w:b/>
                <w:szCs w:val="21"/>
              </w:rPr>
              <w:t>2</w:t>
            </w:r>
          </w:p>
        </w:tc>
        <w:tc>
          <w:tcPr>
            <w:tcW w:w="1620" w:type="dxa"/>
            <w:vMerge w:val="restart"/>
            <w:vAlign w:val="center"/>
          </w:tcPr>
          <w:p>
            <w:pPr>
              <w:jc w:val="center"/>
              <w:rPr>
                <w:rFonts w:ascii="新宋体" w:hAnsi="新宋体" w:eastAsia="新宋体"/>
                <w:szCs w:val="21"/>
              </w:rPr>
            </w:pPr>
            <w:r>
              <w:rPr>
                <w:rFonts w:hint="eastAsia" w:ascii="新宋体" w:hAnsi="新宋体" w:eastAsia="新宋体"/>
                <w:szCs w:val="21"/>
              </w:rPr>
              <w:t>关于验收</w:t>
            </w:r>
          </w:p>
        </w:tc>
        <w:tc>
          <w:tcPr>
            <w:tcW w:w="5940" w:type="dxa"/>
          </w:tcPr>
          <w:p>
            <w:pPr>
              <w:spacing w:line="340" w:lineRule="exact"/>
              <w:rPr>
                <w:rFonts w:ascii="新宋体" w:hAnsi="新宋体" w:eastAsia="新宋体"/>
                <w:bCs/>
                <w:szCs w:val="21"/>
              </w:rPr>
            </w:pPr>
            <w:r>
              <w:rPr>
                <w:rFonts w:hint="eastAsia" w:ascii="新宋体" w:hAnsi="新宋体" w:eastAsia="新宋体"/>
                <w:bCs/>
                <w:szCs w:val="21"/>
              </w:rPr>
              <w:t>2.1投标人货物经过双方检验认可后，签署验收报告，产品保修期自验收合格之日起算，由投标人提供产品保修文件。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新宋体" w:hAnsi="新宋体" w:eastAsia="新宋体"/>
                <w:b/>
                <w:szCs w:val="21"/>
              </w:rPr>
            </w:pPr>
          </w:p>
        </w:tc>
        <w:tc>
          <w:tcPr>
            <w:tcW w:w="1620" w:type="dxa"/>
            <w:vMerge w:val="continue"/>
          </w:tcPr>
          <w:p>
            <w:pPr>
              <w:rPr>
                <w:rFonts w:ascii="新宋体" w:hAnsi="新宋体" w:eastAsia="新宋体"/>
                <w:b/>
                <w:szCs w:val="21"/>
              </w:rPr>
            </w:pPr>
          </w:p>
        </w:tc>
        <w:tc>
          <w:tcPr>
            <w:tcW w:w="5940" w:type="dxa"/>
          </w:tcPr>
          <w:p>
            <w:pPr>
              <w:spacing w:line="340" w:lineRule="exact"/>
              <w:rPr>
                <w:rFonts w:ascii="新宋体" w:hAnsi="新宋体" w:eastAsia="新宋体"/>
                <w:bCs/>
                <w:szCs w:val="21"/>
              </w:rPr>
            </w:pPr>
            <w:r>
              <w:rPr>
                <w:rFonts w:hint="eastAsia" w:ascii="新宋体" w:hAnsi="新宋体" w:eastAsia="新宋体"/>
                <w:bCs/>
                <w:szCs w:val="21"/>
              </w:rPr>
              <w:t>2.2当满足以下条件时，采购人才向中标人签发货物验收报告：</w:t>
            </w:r>
          </w:p>
          <w:p>
            <w:pPr>
              <w:tabs>
                <w:tab w:val="left" w:pos="1260"/>
              </w:tabs>
              <w:spacing w:line="340" w:lineRule="exact"/>
              <w:rPr>
                <w:rFonts w:ascii="新宋体" w:hAnsi="新宋体" w:eastAsia="新宋体"/>
                <w:bCs/>
                <w:szCs w:val="21"/>
              </w:rPr>
            </w:pPr>
            <w:r>
              <w:rPr>
                <w:rFonts w:ascii="新宋体" w:hAnsi="新宋体" w:eastAsia="新宋体"/>
                <w:bCs/>
                <w:szCs w:val="21"/>
              </w:rPr>
              <w:t>a</w:t>
            </w:r>
            <w:r>
              <w:rPr>
                <w:rFonts w:hint="eastAsia" w:ascii="新宋体" w:hAnsi="新宋体" w:eastAsia="新宋体"/>
                <w:bCs/>
                <w:szCs w:val="21"/>
              </w:rPr>
              <w:t>、中标人已按照合同规定提供了全部产品及完整的技术资料。</w:t>
            </w:r>
          </w:p>
          <w:p>
            <w:pPr>
              <w:tabs>
                <w:tab w:val="left" w:pos="1260"/>
              </w:tabs>
              <w:spacing w:line="340" w:lineRule="exact"/>
              <w:rPr>
                <w:rFonts w:ascii="新宋体" w:hAnsi="新宋体" w:eastAsia="新宋体"/>
                <w:bCs/>
                <w:szCs w:val="21"/>
              </w:rPr>
            </w:pPr>
            <w:r>
              <w:rPr>
                <w:rFonts w:ascii="新宋体" w:hAnsi="新宋体" w:eastAsia="新宋体"/>
                <w:bCs/>
                <w:szCs w:val="21"/>
              </w:rPr>
              <w:t>b</w:t>
            </w:r>
            <w:r>
              <w:rPr>
                <w:rFonts w:hint="eastAsia" w:ascii="新宋体" w:hAnsi="新宋体" w:eastAsia="新宋体"/>
                <w:bCs/>
                <w:szCs w:val="21"/>
              </w:rPr>
              <w:t>、货物符合招标文件技术规格书的要求，性能满足要求。</w:t>
            </w:r>
          </w:p>
          <w:p>
            <w:pPr>
              <w:tabs>
                <w:tab w:val="left" w:pos="1260"/>
              </w:tabs>
              <w:spacing w:line="340" w:lineRule="exact"/>
              <w:rPr>
                <w:rFonts w:ascii="新宋体" w:hAnsi="新宋体" w:eastAsia="新宋体"/>
                <w:bCs/>
                <w:szCs w:val="21"/>
              </w:rPr>
            </w:pPr>
            <w:r>
              <w:rPr>
                <w:rFonts w:ascii="新宋体" w:hAnsi="新宋体" w:eastAsia="新宋体"/>
                <w:bCs/>
                <w:szCs w:val="21"/>
              </w:rPr>
              <w:t>c</w:t>
            </w:r>
            <w:r>
              <w:rPr>
                <w:rFonts w:hint="eastAsia" w:ascii="新宋体" w:hAnsi="新宋体" w:eastAsia="新宋体"/>
                <w:bCs/>
                <w:szCs w:val="21"/>
              </w:rPr>
              <w:t>、货物具备产品合格证。</w:t>
            </w:r>
          </w:p>
          <w:p>
            <w:pPr>
              <w:tabs>
                <w:tab w:val="left" w:pos="1260"/>
              </w:tabs>
              <w:spacing w:line="340" w:lineRule="exact"/>
              <w:rPr>
                <w:rFonts w:ascii="新宋体" w:hAnsi="新宋体" w:eastAsia="新宋体"/>
                <w:bCs/>
                <w:szCs w:val="21"/>
              </w:rPr>
            </w:pPr>
            <w:r>
              <w:rPr>
                <w:rFonts w:hint="eastAsia" w:ascii="新宋体" w:hAnsi="新宋体" w:eastAsia="新宋体"/>
                <w:bCs/>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新宋体" w:hAnsi="新宋体" w:eastAsia="新宋体"/>
                <w:b/>
                <w:szCs w:val="21"/>
              </w:rPr>
            </w:pPr>
          </w:p>
        </w:tc>
        <w:tc>
          <w:tcPr>
            <w:tcW w:w="1620" w:type="dxa"/>
            <w:vMerge w:val="continue"/>
          </w:tcPr>
          <w:p>
            <w:pPr>
              <w:rPr>
                <w:rFonts w:ascii="新宋体" w:hAnsi="新宋体" w:eastAsia="新宋体"/>
                <w:b/>
                <w:szCs w:val="21"/>
              </w:rPr>
            </w:pPr>
          </w:p>
        </w:tc>
        <w:tc>
          <w:tcPr>
            <w:tcW w:w="5940" w:type="dxa"/>
          </w:tcPr>
          <w:p>
            <w:pPr>
              <w:rPr>
                <w:rFonts w:ascii="新宋体" w:hAnsi="新宋体" w:eastAsia="新宋体"/>
                <w:b/>
                <w:szCs w:val="21"/>
              </w:rPr>
            </w:pPr>
            <w:r>
              <w:rPr>
                <w:rFonts w:hint="eastAsia" w:ascii="新宋体" w:hAnsi="新宋体" w:eastAsia="新宋体"/>
                <w:bCs/>
                <w:szCs w:val="21"/>
              </w:rPr>
              <w:t>2.3由采购人组织监理公司和中标单位共同验收，验收报告报区教育信息中心备案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restart"/>
            <w:vAlign w:val="center"/>
          </w:tcPr>
          <w:p>
            <w:pPr>
              <w:jc w:val="center"/>
              <w:rPr>
                <w:rFonts w:ascii="新宋体" w:hAnsi="新宋体" w:eastAsia="新宋体"/>
                <w:szCs w:val="21"/>
              </w:rPr>
            </w:pPr>
            <w:r>
              <w:rPr>
                <w:rFonts w:hint="eastAsia" w:ascii="新宋体" w:hAnsi="新宋体" w:eastAsia="新宋体"/>
                <w:b/>
                <w:szCs w:val="21"/>
              </w:rPr>
              <w:t>3</w:t>
            </w:r>
          </w:p>
        </w:tc>
        <w:tc>
          <w:tcPr>
            <w:tcW w:w="1620" w:type="dxa"/>
            <w:vMerge w:val="restart"/>
          </w:tcPr>
          <w:p>
            <w:pPr>
              <w:jc w:val="center"/>
              <w:rPr>
                <w:rFonts w:ascii="新宋体" w:hAnsi="新宋体" w:eastAsia="新宋体"/>
                <w:b/>
                <w:szCs w:val="21"/>
              </w:rPr>
            </w:pPr>
            <w:r>
              <w:rPr>
                <w:rFonts w:hint="eastAsia" w:ascii="新宋体" w:hAnsi="新宋体" w:eastAsia="新宋体"/>
                <w:szCs w:val="21"/>
              </w:rPr>
              <w:t>关于违约</w:t>
            </w:r>
          </w:p>
        </w:tc>
        <w:tc>
          <w:tcPr>
            <w:tcW w:w="5940" w:type="dxa"/>
          </w:tcPr>
          <w:p>
            <w:pPr>
              <w:rPr>
                <w:rFonts w:ascii="新宋体" w:hAnsi="新宋体" w:eastAsia="新宋体"/>
                <w:b/>
                <w:szCs w:val="21"/>
              </w:rPr>
            </w:pPr>
            <w:r>
              <w:rPr>
                <w:rFonts w:hint="eastAsia" w:ascii="新宋体" w:hAnsi="新宋体" w:eastAsia="新宋体"/>
                <w:b/>
                <w:szCs w:val="21"/>
              </w:rPr>
              <w:t>3.1中标人不能交货的，需偿付不能交货部分货款的</w:t>
            </w:r>
            <w:r>
              <w:rPr>
                <w:rFonts w:hint="eastAsia" w:ascii="新宋体" w:hAnsi="新宋体" w:eastAsia="新宋体"/>
                <w:b/>
                <w:szCs w:val="21"/>
                <w:u w:val="single"/>
              </w:rPr>
              <w:t xml:space="preserve">    </w:t>
            </w:r>
            <w:r>
              <w:rPr>
                <w:rFonts w:hint="eastAsia" w:ascii="新宋体" w:hAnsi="新宋体" w:eastAsia="新宋体"/>
                <w:b/>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新宋体" w:hAnsi="新宋体" w:eastAsia="新宋体"/>
                <w:b/>
                <w:szCs w:val="21"/>
              </w:rPr>
            </w:pPr>
          </w:p>
        </w:tc>
        <w:tc>
          <w:tcPr>
            <w:tcW w:w="1620" w:type="dxa"/>
            <w:vMerge w:val="continue"/>
          </w:tcPr>
          <w:p>
            <w:pPr>
              <w:jc w:val="center"/>
              <w:rPr>
                <w:rFonts w:ascii="新宋体" w:hAnsi="新宋体" w:eastAsia="新宋体"/>
                <w:szCs w:val="21"/>
              </w:rPr>
            </w:pPr>
          </w:p>
        </w:tc>
        <w:tc>
          <w:tcPr>
            <w:tcW w:w="5940" w:type="dxa"/>
          </w:tcPr>
          <w:p>
            <w:pPr>
              <w:rPr>
                <w:rFonts w:ascii="新宋体" w:hAnsi="新宋体" w:eastAsia="新宋体"/>
                <w:b/>
                <w:color w:val="FF0000"/>
                <w:szCs w:val="21"/>
              </w:rPr>
            </w:pPr>
            <w:r>
              <w:rPr>
                <w:rFonts w:hint="eastAsia" w:ascii="新宋体" w:hAnsi="新宋体" w:eastAsia="新宋体"/>
                <w:b/>
                <w:color w:val="FF0000"/>
                <w:szCs w:val="21"/>
              </w:rPr>
              <w:t>3.2中标人逾期交货的，将被没收履约保证金并按主管部门相关规定处理。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新宋体" w:hAnsi="新宋体" w:eastAsia="新宋体"/>
                <w:b/>
                <w:szCs w:val="21"/>
              </w:rPr>
            </w:pPr>
          </w:p>
        </w:tc>
        <w:tc>
          <w:tcPr>
            <w:tcW w:w="1620" w:type="dxa"/>
            <w:vMerge w:val="continue"/>
          </w:tcPr>
          <w:p>
            <w:pPr>
              <w:jc w:val="center"/>
              <w:rPr>
                <w:rFonts w:ascii="新宋体" w:hAnsi="新宋体" w:eastAsia="新宋体"/>
                <w:szCs w:val="21"/>
              </w:rPr>
            </w:pPr>
          </w:p>
        </w:tc>
        <w:tc>
          <w:tcPr>
            <w:tcW w:w="5940" w:type="dxa"/>
          </w:tcPr>
          <w:p>
            <w:pPr>
              <w:rPr>
                <w:rFonts w:ascii="新宋体" w:hAnsi="新宋体" w:eastAsia="新宋体"/>
                <w:b/>
                <w:color w:val="FF0000"/>
                <w:szCs w:val="21"/>
              </w:rPr>
            </w:pPr>
            <w:r>
              <w:rPr>
                <w:rFonts w:hint="eastAsia" w:ascii="新宋体" w:hAnsi="新宋体" w:eastAsia="新宋体"/>
                <w:b/>
                <w:color w:val="FF0000"/>
                <w:szCs w:val="21"/>
              </w:rPr>
              <w:t>3.3中标人所交付产品、工程或服务不符合其投标承诺的，或在投标阶段为了中标而盲目虚假承诺、低价恶性竞争，在履约阶段则通过偷工减料、以次充好而获取利润的，将被没收履约保证金，并被深圳市政府采购中心评为履约等级“差”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Merge w:val="continue"/>
            <w:vAlign w:val="center"/>
          </w:tcPr>
          <w:p>
            <w:pPr>
              <w:jc w:val="center"/>
              <w:rPr>
                <w:rFonts w:ascii="新宋体" w:hAnsi="新宋体" w:eastAsia="新宋体"/>
                <w:b/>
                <w:szCs w:val="21"/>
              </w:rPr>
            </w:pPr>
          </w:p>
        </w:tc>
        <w:tc>
          <w:tcPr>
            <w:tcW w:w="1620" w:type="dxa"/>
            <w:vMerge w:val="continue"/>
          </w:tcPr>
          <w:p>
            <w:pPr>
              <w:jc w:val="center"/>
              <w:rPr>
                <w:rFonts w:ascii="新宋体" w:hAnsi="新宋体" w:eastAsia="新宋体"/>
                <w:szCs w:val="21"/>
              </w:rPr>
            </w:pPr>
          </w:p>
        </w:tc>
        <w:tc>
          <w:tcPr>
            <w:tcW w:w="5940" w:type="dxa"/>
          </w:tcPr>
          <w:p>
            <w:pPr>
              <w:rPr>
                <w:rFonts w:ascii="新宋体" w:hAnsi="新宋体" w:eastAsia="新宋体"/>
                <w:b/>
                <w:color w:val="FF0000"/>
                <w:szCs w:val="21"/>
              </w:rPr>
            </w:pPr>
            <w:r>
              <w:rPr>
                <w:rFonts w:hint="eastAsia" w:ascii="新宋体" w:hAnsi="新宋体" w:eastAsia="新宋体"/>
                <w:b/>
                <w:color w:val="FF000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szCs w:val="21"/>
              </w:rPr>
            </w:pPr>
            <w:r>
              <w:rPr>
                <w:rFonts w:hint="eastAsia" w:ascii="新宋体" w:hAnsi="新宋体" w:eastAsia="新宋体"/>
                <w:szCs w:val="21"/>
              </w:rPr>
              <w:t>4</w:t>
            </w:r>
          </w:p>
        </w:tc>
        <w:tc>
          <w:tcPr>
            <w:tcW w:w="1620" w:type="dxa"/>
          </w:tcPr>
          <w:p>
            <w:pPr>
              <w:rPr>
                <w:rFonts w:ascii="新宋体" w:hAnsi="新宋体" w:eastAsia="新宋体"/>
                <w:b/>
                <w:szCs w:val="21"/>
              </w:rPr>
            </w:pPr>
            <w:r>
              <w:rPr>
                <w:rFonts w:hint="eastAsia" w:ascii="新宋体" w:hAnsi="新宋体" w:eastAsia="新宋体"/>
                <w:b/>
                <w:szCs w:val="21"/>
              </w:rPr>
              <w:t>关于付款</w:t>
            </w:r>
          </w:p>
        </w:tc>
        <w:tc>
          <w:tcPr>
            <w:tcW w:w="5940" w:type="dxa"/>
          </w:tcPr>
          <w:p>
            <w:pPr>
              <w:spacing w:line="276" w:lineRule="auto"/>
              <w:rPr>
                <w:rFonts w:ascii="新宋体" w:hAnsi="新宋体" w:eastAsia="新宋体"/>
                <w:b/>
                <w:szCs w:val="21"/>
              </w:rPr>
            </w:pPr>
            <w:r>
              <w:rPr>
                <w:rFonts w:hint="eastAsia" w:ascii="新宋体" w:hAnsi="新宋体" w:eastAsia="新宋体"/>
                <w:b/>
                <w:szCs w:val="21"/>
              </w:rPr>
              <w:t>本项目完工并经全面验收合格后，用户方向监理方支付工程结算总价2%的监理费。项目完成并经初验合格后，即付项目款总额的50%，全面验收合格后，即付项目款总额的50%，；如果项目达到终验标准，也可直接进行全面验收，全面验收合格后，支付项目款总额的100%，支付要求及时限以财政部门的规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szCs w:val="21"/>
              </w:rPr>
            </w:pPr>
            <w:r>
              <w:rPr>
                <w:rFonts w:hint="eastAsia" w:ascii="新宋体" w:hAnsi="新宋体" w:eastAsia="新宋体"/>
                <w:szCs w:val="21"/>
              </w:rPr>
              <w:t>5</w:t>
            </w:r>
          </w:p>
        </w:tc>
        <w:tc>
          <w:tcPr>
            <w:tcW w:w="1620" w:type="dxa"/>
          </w:tcPr>
          <w:p>
            <w:pPr>
              <w:jc w:val="center"/>
              <w:rPr>
                <w:rFonts w:ascii="新宋体" w:hAnsi="新宋体" w:eastAsia="新宋体"/>
                <w:b/>
                <w:szCs w:val="21"/>
              </w:rPr>
            </w:pPr>
            <w:r>
              <w:rPr>
                <w:rFonts w:hint="eastAsia" w:ascii="新宋体" w:hAnsi="新宋体" w:eastAsia="新宋体"/>
                <w:b/>
                <w:szCs w:val="21"/>
              </w:rPr>
              <w:t>报价要求</w:t>
            </w:r>
          </w:p>
        </w:tc>
        <w:tc>
          <w:tcPr>
            <w:tcW w:w="5940" w:type="dxa"/>
          </w:tcPr>
          <w:p>
            <w:pPr>
              <w:spacing w:line="276" w:lineRule="auto"/>
              <w:rPr>
                <w:rFonts w:ascii="新宋体" w:hAnsi="新宋体" w:eastAsia="新宋体"/>
                <w:b/>
                <w:szCs w:val="21"/>
              </w:rPr>
            </w:pPr>
            <w:r>
              <w:rPr>
                <w:rFonts w:hint="eastAsia" w:ascii="新宋体" w:hAnsi="新宋体" w:eastAsia="新宋体"/>
                <w:b/>
                <w:szCs w:val="21"/>
              </w:rPr>
              <w:t>投标总价必须是完成该项目的一切费用总和，包括投标费、设备费、运输费、装卸费、保险费、技术培训费、设备安装费、调试费、国家规定的各项税费等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60" w:type="dxa"/>
            <w:vAlign w:val="center"/>
          </w:tcPr>
          <w:p>
            <w:pPr>
              <w:jc w:val="center"/>
              <w:rPr>
                <w:rFonts w:ascii="新宋体" w:hAnsi="新宋体" w:eastAsia="新宋体"/>
                <w:b/>
                <w:szCs w:val="21"/>
              </w:rPr>
            </w:pPr>
            <w:r>
              <w:rPr>
                <w:rFonts w:hint="eastAsia" w:ascii="新宋体" w:hAnsi="新宋体" w:eastAsia="新宋体"/>
                <w:b/>
                <w:szCs w:val="21"/>
              </w:rPr>
              <w:t>……</w:t>
            </w:r>
          </w:p>
        </w:tc>
        <w:tc>
          <w:tcPr>
            <w:tcW w:w="1620" w:type="dxa"/>
          </w:tcPr>
          <w:p>
            <w:pPr>
              <w:rPr>
                <w:rFonts w:ascii="新宋体" w:hAnsi="新宋体" w:eastAsia="新宋体"/>
                <w:b/>
                <w:szCs w:val="21"/>
              </w:rPr>
            </w:pPr>
          </w:p>
        </w:tc>
        <w:tc>
          <w:tcPr>
            <w:tcW w:w="5940" w:type="dxa"/>
          </w:tcPr>
          <w:p>
            <w:pPr>
              <w:rPr>
                <w:rFonts w:ascii="新宋体" w:hAnsi="新宋体" w:eastAsia="新宋体"/>
                <w:b/>
                <w:szCs w:val="21"/>
              </w:rPr>
            </w:pPr>
          </w:p>
        </w:tc>
      </w:tr>
    </w:tbl>
    <w:p>
      <w:pPr>
        <w:spacing w:before="120" w:beforeLines="50" w:after="120" w:afterLines="50" w:line="360" w:lineRule="auto"/>
        <w:ind w:firstLine="420" w:firstLineChars="200"/>
        <w:jc w:val="left"/>
        <w:rPr>
          <w:rFonts w:ascii="新宋体" w:hAnsi="新宋体" w:eastAsia="新宋体"/>
          <w:szCs w:val="21"/>
        </w:rPr>
      </w:pPr>
      <w:r>
        <w:rPr>
          <w:rFonts w:hint="eastAsia" w:ascii="新宋体" w:hAnsi="新宋体" w:eastAsia="新宋体"/>
          <w:szCs w:val="21"/>
        </w:rPr>
        <w:t>其它要求：</w:t>
      </w:r>
    </w:p>
    <w:p>
      <w:pPr>
        <w:spacing w:before="120" w:beforeLines="50" w:after="120" w:afterLines="50" w:line="360" w:lineRule="auto"/>
        <w:rPr>
          <w:rFonts w:ascii="新宋体" w:hAnsi="新宋体" w:eastAsia="新宋体" w:cs="仿宋_GB2312"/>
          <w:szCs w:val="21"/>
        </w:rPr>
      </w:pPr>
      <w:r>
        <w:rPr>
          <w:rFonts w:hint="eastAsia" w:ascii="新宋体" w:hAnsi="新宋体" w:eastAsia="新宋体"/>
          <w:szCs w:val="21"/>
        </w:rPr>
        <w:t xml:space="preserve">  </w:t>
      </w:r>
      <w:r>
        <w:rPr>
          <w:rFonts w:hint="eastAsia" w:ascii="新宋体" w:hAnsi="新宋体" w:eastAsia="新宋体" w:cs="仿宋_GB2312"/>
          <w:szCs w:val="21"/>
        </w:rPr>
        <w:t xml:space="preserve"> ★1.单价1000元（含）以上或小计金额5000元（含）以上的所有设备、线材必须指明品牌、型号，否则投标无效（特别注明的除外；不能指明的，须标明理由）。</w:t>
      </w:r>
    </w:p>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★2.中标供应商在签订合同时应提供投标文件打印稿贰份，并加盖公章（一份交给监理公司，一份交给学校），同时提供投标文件的OFFICE文档。</w:t>
      </w:r>
    </w:p>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★3. 上报初验报告、终验报告时，除了表格中写明的材料外，还需要验收记录表、产品三证（指产品合格证、供货凭证（含产品授权或生产厂家证明）、产品检测证明（含第三方有资质检测机构出具的含有设备核心参数的有效检测报告、软件产品的软件测试报告和软件著作权证书）、已备案的三方合同及附件（局内招标项目提供三方合同及附件）；家具（含课桌椅）还需提供有害物质限量检测报告（现场抽样）；功能室在提交终验报告时还需提供室内环境污染检测报告。</w:t>
      </w:r>
      <w:r>
        <w:rPr>
          <w:rFonts w:hint="eastAsia" w:ascii="新宋体" w:hAnsi="新宋体" w:eastAsia="新宋体" w:cs="仿宋_GB2312"/>
          <w:b/>
          <w:color w:val="FF0000"/>
          <w:szCs w:val="21"/>
        </w:rPr>
        <w:t>相应检测费用由中标商支付。</w:t>
      </w:r>
    </w:p>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★4.投标商必须确保中标后提供的货物为正规渠道供货，不存在违反国家法律、法规的情况。</w:t>
      </w:r>
    </w:p>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★5.特别条款：对于单纯家具（含课桌椅）项目、含家具或装修的功能室项目在验收时还需提供以下材料</w:t>
      </w:r>
      <w:r>
        <w:rPr>
          <w:rFonts w:hint="eastAsia" w:ascii="新宋体" w:hAnsi="新宋体" w:eastAsia="新宋体" w:cs="仿宋_GB2312"/>
          <w:b/>
          <w:szCs w:val="21"/>
        </w:rPr>
        <w:t>（相关费用由中标人承担）</w:t>
      </w:r>
      <w:r>
        <w:rPr>
          <w:rFonts w:hint="eastAsia" w:ascii="新宋体" w:hAnsi="新宋体" w:eastAsia="新宋体" w:cs="仿宋_GB2312"/>
          <w:szCs w:val="21"/>
        </w:rPr>
        <w:t>：</w:t>
      </w:r>
    </w:p>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（1）家具（含课桌椅）类货物应提供有害物质检测报告</w:t>
      </w:r>
    </w:p>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根据深圳经济特区技术规范《家具成品及原辅材料中有害物质限量》（SZJG52-2016）的规定，需根据现场抽样并对以下项目进行检验且合格：</w:t>
      </w:r>
    </w:p>
    <w:tbl>
      <w:tblPr>
        <w:tblStyle w:val="43"/>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59"/>
        <w:gridCol w:w="2694"/>
        <w:gridCol w:w="1701"/>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blHeader/>
          <w:jc w:val="center"/>
        </w:trPr>
        <w:tc>
          <w:tcPr>
            <w:tcW w:w="866" w:type="dxa"/>
            <w:vAlign w:val="center"/>
          </w:tcPr>
          <w:p>
            <w:pPr>
              <w:snapToGrid w:val="0"/>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序号</w:t>
            </w:r>
          </w:p>
        </w:tc>
        <w:tc>
          <w:tcPr>
            <w:tcW w:w="1559" w:type="dxa"/>
            <w:vAlign w:val="center"/>
          </w:tcPr>
          <w:p>
            <w:pPr>
              <w:snapToGrid w:val="0"/>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检验项目</w:t>
            </w:r>
          </w:p>
        </w:tc>
        <w:tc>
          <w:tcPr>
            <w:tcW w:w="2694" w:type="dxa"/>
            <w:vAlign w:val="center"/>
          </w:tcPr>
          <w:p>
            <w:pPr>
              <w:snapToGrid w:val="0"/>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依据法律法规或标准条款</w:t>
            </w:r>
          </w:p>
        </w:tc>
        <w:tc>
          <w:tcPr>
            <w:tcW w:w="1701" w:type="dxa"/>
            <w:vAlign w:val="center"/>
          </w:tcPr>
          <w:p>
            <w:pPr>
              <w:snapToGrid w:val="0"/>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强制性/推荐性</w:t>
            </w:r>
          </w:p>
        </w:tc>
        <w:tc>
          <w:tcPr>
            <w:tcW w:w="1806" w:type="dxa"/>
            <w:vAlign w:val="center"/>
          </w:tcPr>
          <w:p>
            <w:pPr>
              <w:snapToGrid w:val="0"/>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tcPr>
          <w:p>
            <w:pPr>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1</w:t>
            </w:r>
          </w:p>
        </w:tc>
        <w:tc>
          <w:tcPr>
            <w:tcW w:w="1559"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甲醛释放量</w:t>
            </w:r>
          </w:p>
        </w:tc>
        <w:tc>
          <w:tcPr>
            <w:tcW w:w="2694"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w:t>
            </w:r>
          </w:p>
        </w:tc>
        <w:tc>
          <w:tcPr>
            <w:tcW w:w="1701"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强制性</w:t>
            </w:r>
          </w:p>
        </w:tc>
        <w:tc>
          <w:tcPr>
            <w:tcW w:w="1806"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tcPr>
          <w:p>
            <w:pPr>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2</w:t>
            </w:r>
          </w:p>
        </w:tc>
        <w:tc>
          <w:tcPr>
            <w:tcW w:w="1559"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苯释放量</w:t>
            </w:r>
          </w:p>
        </w:tc>
        <w:tc>
          <w:tcPr>
            <w:tcW w:w="2694"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w:t>
            </w:r>
          </w:p>
        </w:tc>
        <w:tc>
          <w:tcPr>
            <w:tcW w:w="1701"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强制性</w:t>
            </w:r>
          </w:p>
        </w:tc>
        <w:tc>
          <w:tcPr>
            <w:tcW w:w="1806"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tcPr>
          <w:p>
            <w:pPr>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3</w:t>
            </w:r>
          </w:p>
        </w:tc>
        <w:tc>
          <w:tcPr>
            <w:tcW w:w="1559"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甲苯释放量</w:t>
            </w:r>
          </w:p>
        </w:tc>
        <w:tc>
          <w:tcPr>
            <w:tcW w:w="2694"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w:t>
            </w:r>
          </w:p>
        </w:tc>
        <w:tc>
          <w:tcPr>
            <w:tcW w:w="1701"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强制性</w:t>
            </w:r>
          </w:p>
        </w:tc>
        <w:tc>
          <w:tcPr>
            <w:tcW w:w="1806"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tcPr>
          <w:p>
            <w:pPr>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4</w:t>
            </w:r>
          </w:p>
        </w:tc>
        <w:tc>
          <w:tcPr>
            <w:tcW w:w="1559"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二甲苯释放量</w:t>
            </w:r>
          </w:p>
        </w:tc>
        <w:tc>
          <w:tcPr>
            <w:tcW w:w="2694"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w:t>
            </w:r>
          </w:p>
        </w:tc>
        <w:tc>
          <w:tcPr>
            <w:tcW w:w="1701"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强制性</w:t>
            </w:r>
          </w:p>
        </w:tc>
        <w:tc>
          <w:tcPr>
            <w:tcW w:w="1806"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tcPr>
          <w:p>
            <w:pPr>
              <w:spacing w:before="120" w:beforeLines="50" w:after="120" w:afterLines="50" w:line="360" w:lineRule="auto"/>
              <w:jc w:val="center"/>
              <w:rPr>
                <w:rFonts w:ascii="新宋体" w:hAnsi="新宋体" w:eastAsia="新宋体" w:cs="仿宋_GB2312"/>
                <w:szCs w:val="21"/>
              </w:rPr>
            </w:pPr>
            <w:r>
              <w:rPr>
                <w:rFonts w:hint="eastAsia" w:ascii="新宋体" w:hAnsi="新宋体" w:eastAsia="新宋体" w:cs="仿宋_GB2312"/>
                <w:szCs w:val="21"/>
              </w:rPr>
              <w:t>5</w:t>
            </w:r>
          </w:p>
        </w:tc>
        <w:tc>
          <w:tcPr>
            <w:tcW w:w="1559"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总挥发性有机化合物（TVOC）释放量</w:t>
            </w:r>
          </w:p>
        </w:tc>
        <w:tc>
          <w:tcPr>
            <w:tcW w:w="2694"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w:t>
            </w:r>
          </w:p>
        </w:tc>
        <w:tc>
          <w:tcPr>
            <w:tcW w:w="1701"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强制性</w:t>
            </w:r>
          </w:p>
        </w:tc>
        <w:tc>
          <w:tcPr>
            <w:tcW w:w="1806" w:type="dxa"/>
            <w:vAlign w:val="center"/>
          </w:tcPr>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SZJG52-2016 GB/T31106-2014</w:t>
            </w:r>
          </w:p>
        </w:tc>
      </w:tr>
    </w:tbl>
    <w:p>
      <w:pPr>
        <w:spacing w:before="120" w:beforeLines="50" w:after="120" w:afterLines="50" w:line="360" w:lineRule="auto"/>
        <w:ind w:firstLine="420" w:firstLineChars="200"/>
        <w:rPr>
          <w:rFonts w:ascii="新宋体" w:hAnsi="新宋体" w:eastAsia="新宋体" w:cs="仿宋_GB2312"/>
          <w:szCs w:val="21"/>
        </w:rPr>
      </w:pPr>
      <w:r>
        <w:rPr>
          <w:rFonts w:hint="eastAsia" w:ascii="新宋体" w:hAnsi="新宋体" w:eastAsia="新宋体" w:cs="仿宋_GB2312"/>
          <w:szCs w:val="21"/>
        </w:rPr>
        <w:t>（2）含家具或装修的功能室应当</w:t>
      </w:r>
      <w:r>
        <w:rPr>
          <w:rFonts w:hint="eastAsia" w:ascii="新宋体" w:hAnsi="新宋体" w:eastAsia="新宋体" w:cs="仿宋_GB2312"/>
          <w:b/>
          <w:szCs w:val="21"/>
        </w:rPr>
        <w:t>另行</w:t>
      </w:r>
      <w:r>
        <w:rPr>
          <w:rFonts w:hint="eastAsia" w:ascii="新宋体" w:hAnsi="新宋体" w:eastAsia="新宋体" w:cs="仿宋_GB2312"/>
          <w:szCs w:val="21"/>
        </w:rPr>
        <w:t>提供室内环境污染检测报告</w:t>
      </w:r>
    </w:p>
    <w:p>
      <w:pPr>
        <w:spacing w:before="120" w:beforeLines="50" w:after="120" w:afterLines="50" w:line="360" w:lineRule="auto"/>
        <w:rPr>
          <w:rFonts w:ascii="新宋体" w:hAnsi="新宋体" w:eastAsia="新宋体" w:cs="仿宋_GB2312"/>
          <w:szCs w:val="21"/>
        </w:rPr>
      </w:pPr>
      <w:r>
        <w:rPr>
          <w:rFonts w:hint="eastAsia" w:ascii="新宋体" w:hAnsi="新宋体" w:eastAsia="新宋体" w:cs="仿宋_GB2312"/>
          <w:szCs w:val="21"/>
        </w:rPr>
        <w:t>按照国家《室内空气质量标准》（GB/T 18883-2002）中的标准进行检测并合格（至少包括以下五项，如有更新则以最新标准为准）：</w:t>
      </w:r>
    </w:p>
    <w:tbl>
      <w:tblPr>
        <w:tblStyle w:val="43"/>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593"/>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blHeader/>
          <w:jc w:val="center"/>
        </w:trPr>
        <w:tc>
          <w:tcPr>
            <w:tcW w:w="784" w:type="dxa"/>
            <w:vAlign w:val="center"/>
          </w:tcPr>
          <w:p>
            <w:pPr>
              <w:snapToGrid w:val="0"/>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序号</w:t>
            </w:r>
          </w:p>
        </w:tc>
        <w:tc>
          <w:tcPr>
            <w:tcW w:w="3593" w:type="dxa"/>
            <w:vAlign w:val="center"/>
          </w:tcPr>
          <w:p>
            <w:pPr>
              <w:snapToGrid w:val="0"/>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检验项目</w:t>
            </w:r>
          </w:p>
        </w:tc>
        <w:tc>
          <w:tcPr>
            <w:tcW w:w="4370" w:type="dxa"/>
            <w:vAlign w:val="center"/>
          </w:tcPr>
          <w:p>
            <w:pPr>
              <w:snapToGrid w:val="0"/>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4" w:type="dxa"/>
          </w:tcPr>
          <w:p>
            <w:pPr>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1</w:t>
            </w:r>
          </w:p>
        </w:tc>
        <w:tc>
          <w:tcPr>
            <w:tcW w:w="3593"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甲醛</w:t>
            </w:r>
          </w:p>
        </w:tc>
        <w:tc>
          <w:tcPr>
            <w:tcW w:w="4370"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GB/T 18883-2002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4" w:type="dxa"/>
          </w:tcPr>
          <w:p>
            <w:pPr>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2</w:t>
            </w:r>
          </w:p>
        </w:tc>
        <w:tc>
          <w:tcPr>
            <w:tcW w:w="3593"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苯</w:t>
            </w:r>
          </w:p>
        </w:tc>
        <w:tc>
          <w:tcPr>
            <w:tcW w:w="4370"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GB/T 18883-2002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4" w:type="dxa"/>
          </w:tcPr>
          <w:p>
            <w:pPr>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3</w:t>
            </w:r>
          </w:p>
        </w:tc>
        <w:tc>
          <w:tcPr>
            <w:tcW w:w="3593"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甲苯</w:t>
            </w:r>
          </w:p>
        </w:tc>
        <w:tc>
          <w:tcPr>
            <w:tcW w:w="4370"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GB/T 18883-2002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4" w:type="dxa"/>
          </w:tcPr>
          <w:p>
            <w:pPr>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4</w:t>
            </w:r>
          </w:p>
        </w:tc>
        <w:tc>
          <w:tcPr>
            <w:tcW w:w="3593"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二甲苯</w:t>
            </w:r>
          </w:p>
        </w:tc>
        <w:tc>
          <w:tcPr>
            <w:tcW w:w="4370"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GB/T 18883-2002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4" w:type="dxa"/>
          </w:tcPr>
          <w:p>
            <w:pPr>
              <w:spacing w:before="120" w:beforeLines="50" w:after="120" w:afterLines="50"/>
              <w:jc w:val="center"/>
              <w:rPr>
                <w:rFonts w:ascii="新宋体" w:hAnsi="新宋体" w:eastAsia="新宋体" w:cs="仿宋_GB2312"/>
                <w:szCs w:val="21"/>
              </w:rPr>
            </w:pPr>
            <w:r>
              <w:rPr>
                <w:rFonts w:hint="eastAsia" w:ascii="新宋体" w:hAnsi="新宋体" w:eastAsia="新宋体" w:cs="仿宋_GB2312"/>
                <w:szCs w:val="21"/>
              </w:rPr>
              <w:t>5</w:t>
            </w:r>
          </w:p>
        </w:tc>
        <w:tc>
          <w:tcPr>
            <w:tcW w:w="3593"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总挥发性有机化合物（TVOC）</w:t>
            </w:r>
          </w:p>
        </w:tc>
        <w:tc>
          <w:tcPr>
            <w:tcW w:w="4370" w:type="dxa"/>
            <w:vAlign w:val="center"/>
          </w:tcPr>
          <w:p>
            <w:pPr>
              <w:spacing w:before="120" w:beforeLines="50" w:after="120" w:afterLines="50"/>
              <w:rPr>
                <w:rFonts w:ascii="新宋体" w:hAnsi="新宋体" w:eastAsia="新宋体" w:cs="仿宋_GB2312"/>
                <w:szCs w:val="21"/>
              </w:rPr>
            </w:pPr>
            <w:r>
              <w:rPr>
                <w:rFonts w:hint="eastAsia" w:ascii="新宋体" w:hAnsi="新宋体" w:eastAsia="新宋体" w:cs="仿宋_GB2312"/>
                <w:szCs w:val="21"/>
              </w:rPr>
              <w:t>GB/T 18883-2002</w:t>
            </w:r>
          </w:p>
        </w:tc>
      </w:tr>
    </w:tbl>
    <w:p>
      <w:pPr>
        <w:spacing w:before="120" w:beforeLines="50" w:after="120" w:afterLines="50" w:line="360" w:lineRule="auto"/>
        <w:ind w:firstLine="420" w:firstLineChars="200"/>
        <w:jc w:val="left"/>
        <w:rPr>
          <w:rFonts w:ascii="仿宋_GB2312" w:hAnsi="仿宋_GB2312" w:eastAsia="仿宋_GB2312" w:cs="仿宋_GB2312"/>
          <w:sz w:val="28"/>
          <w:szCs w:val="28"/>
        </w:rPr>
      </w:pPr>
      <w:r>
        <w:rPr>
          <w:rFonts w:hint="eastAsia" w:ascii="新宋体" w:hAnsi="新宋体" w:eastAsia="新宋体" w:cs="仿宋_GB2312"/>
          <w:szCs w:val="21"/>
        </w:rPr>
        <w:t>10、现场勘测（如需）:</w:t>
      </w:r>
      <w:r>
        <w:rPr>
          <w:rFonts w:hint="eastAsia" w:ascii="新宋体" w:hAnsi="新宋体" w:eastAsia="新宋体" w:cs="仿宋_GB2312"/>
          <w:kern w:val="0"/>
          <w:szCs w:val="21"/>
        </w:rPr>
        <w:t>建议进行现场踏勘，以明确施工场地情况并准确了解相关工程量等</w:t>
      </w:r>
      <w:r>
        <w:rPr>
          <w:rFonts w:hint="eastAsia" w:ascii="新宋体" w:hAnsi="新宋体" w:eastAsia="新宋体" w:cs="仿宋_GB2312"/>
          <w:szCs w:val="21"/>
        </w:rPr>
        <w:t>，否则中标后必须完成且不得变更增加费用。</w:t>
      </w:r>
    </w:p>
    <w:p>
      <w:pPr>
        <w:pStyle w:val="5"/>
        <w:spacing w:before="120" w:beforeLines="50" w:after="120" w:afterLines="50" w:line="360" w:lineRule="auto"/>
        <w:rPr>
          <w:rFonts w:ascii="新宋体" w:hAnsi="新宋体" w:eastAsia="新宋体"/>
          <w:sz w:val="21"/>
          <w:szCs w:val="21"/>
        </w:rPr>
      </w:pPr>
      <w:r>
        <w:rPr>
          <w:rFonts w:hint="eastAsia" w:ascii="新宋体" w:hAnsi="新宋体" w:eastAsia="新宋体"/>
          <w:sz w:val="21"/>
          <w:szCs w:val="21"/>
        </w:rPr>
        <w:t>七、政策导向</w:t>
      </w:r>
    </w:p>
    <w:p>
      <w:pPr>
        <w:spacing w:line="360" w:lineRule="auto"/>
        <w:ind w:firstLine="315" w:firstLineChars="150"/>
        <w:rPr>
          <w:rFonts w:ascii="新宋体" w:hAnsi="新宋体" w:eastAsia="新宋体"/>
          <w:bCs/>
          <w:szCs w:val="21"/>
        </w:rPr>
      </w:pPr>
      <w:r>
        <w:rPr>
          <w:rFonts w:hint="eastAsia" w:ascii="新宋体" w:hAnsi="新宋体" w:eastAsia="新宋体"/>
          <w:bCs/>
          <w:szCs w:val="21"/>
        </w:rPr>
        <w:t>1、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pPr>
        <w:spacing w:line="360" w:lineRule="auto"/>
        <w:ind w:firstLine="405"/>
        <w:rPr>
          <w:rFonts w:ascii="新宋体" w:hAnsi="新宋体" w:eastAsia="新宋体"/>
          <w:szCs w:val="21"/>
        </w:rPr>
      </w:pPr>
      <w:r>
        <w:rPr>
          <w:rFonts w:hint="eastAsia" w:ascii="新宋体" w:hAnsi="新宋体" w:eastAsia="新宋体"/>
          <w:color w:val="000000"/>
          <w:szCs w:val="21"/>
          <w:shd w:val="clear" w:color="auto" w:fill="FFFFFF"/>
        </w:rPr>
        <w:t>2、</w:t>
      </w:r>
      <w:r>
        <w:rPr>
          <w:rFonts w:hint="eastAsia" w:ascii="新宋体" w:hAnsi="新宋体" w:eastAsia="新宋体"/>
          <w:szCs w:val="21"/>
        </w:rPr>
        <w:t>根据《深圳市人民政府关于印发深圳市贯彻落实守信联合激励和失信联合惩戒制度实施方案的通知》（深府〔2017〕57号）、《深圳市政府采购供应商诚信管理暂行办法》（深财规〔2017〕8号）以及《深圳市财政委员会关于印发&lt;深圳市政府采购供应商诚信管理暂行办法操作细则&gt;的通知》的要求，对列入失信“黑名单”的供应商限制参与政府采购。</w:t>
      </w:r>
    </w:p>
    <w:p>
      <w:pPr>
        <w:spacing w:line="360" w:lineRule="auto"/>
        <w:ind w:firstLine="405"/>
        <w:rPr>
          <w:rFonts w:ascii="新宋体" w:hAnsi="新宋体" w:eastAsia="新宋体"/>
          <w:szCs w:val="21"/>
        </w:rPr>
      </w:pPr>
      <w:r>
        <w:rPr>
          <w:rFonts w:hint="eastAsia" w:ascii="新宋体" w:hAnsi="新宋体" w:eastAsia="新宋体"/>
          <w:szCs w:val="21"/>
        </w:rPr>
        <w:t>3、“信用中国”、“中国政府采购网”以及“深圳市政府采购监管网”为供应商信用信息的查询渠道，相关信息以中标通知书发出前的查询结果为准。</w:t>
      </w:r>
    </w:p>
    <w:p>
      <w:pPr>
        <w:spacing w:line="360" w:lineRule="auto"/>
        <w:ind w:firstLine="405"/>
        <w:rPr>
          <w:rFonts w:ascii="新宋体" w:hAnsi="新宋体" w:eastAsia="新宋体"/>
          <w:szCs w:val="21"/>
        </w:rPr>
      </w:pPr>
    </w:p>
    <w:p>
      <w:pPr>
        <w:spacing w:line="360" w:lineRule="auto"/>
        <w:ind w:firstLine="405"/>
        <w:rPr>
          <w:rFonts w:ascii="新宋体" w:hAnsi="新宋体" w:eastAsia="新宋体"/>
          <w:szCs w:val="21"/>
        </w:rPr>
      </w:pPr>
    </w:p>
    <w:p>
      <w:pPr>
        <w:spacing w:line="360" w:lineRule="auto"/>
        <w:ind w:firstLine="405"/>
        <w:rPr>
          <w:rFonts w:ascii="新宋体" w:hAnsi="新宋体" w:eastAsia="新宋体"/>
          <w:szCs w:val="21"/>
        </w:rPr>
      </w:pPr>
    </w:p>
    <w:p>
      <w:pPr>
        <w:spacing w:line="360" w:lineRule="auto"/>
        <w:ind w:firstLine="405"/>
        <w:rPr>
          <w:rFonts w:ascii="新宋体" w:hAnsi="新宋体" w:eastAsia="新宋体"/>
          <w:szCs w:val="21"/>
        </w:rPr>
      </w:pPr>
    </w:p>
    <w:p>
      <w:pPr>
        <w:spacing w:line="360" w:lineRule="auto"/>
        <w:ind w:firstLine="405"/>
        <w:rPr>
          <w:rFonts w:ascii="新宋体" w:hAnsi="新宋体" w:eastAsia="新宋体"/>
          <w:szCs w:val="21"/>
        </w:rPr>
      </w:pPr>
    </w:p>
    <w:p>
      <w:pPr>
        <w:pStyle w:val="5"/>
        <w:spacing w:line="360" w:lineRule="auto"/>
        <w:rPr>
          <w:rFonts w:ascii="新宋体" w:hAnsi="新宋体" w:eastAsia="新宋体"/>
          <w:kern w:val="2"/>
          <w:sz w:val="21"/>
          <w:szCs w:val="21"/>
        </w:rPr>
      </w:pPr>
      <w:r>
        <w:rPr>
          <w:rFonts w:hint="eastAsia" w:ascii="新宋体" w:hAnsi="新宋体" w:eastAsia="新宋体"/>
          <w:kern w:val="2"/>
          <w:sz w:val="21"/>
          <w:szCs w:val="21"/>
        </w:rPr>
        <w:t>第三章</w:t>
      </w:r>
      <w:r>
        <w:rPr>
          <w:rFonts w:ascii="新宋体" w:hAnsi="新宋体" w:eastAsia="新宋体"/>
          <w:kern w:val="2"/>
          <w:sz w:val="21"/>
          <w:szCs w:val="21"/>
        </w:rPr>
        <w:t xml:space="preserve"> </w:t>
      </w:r>
      <w:r>
        <w:rPr>
          <w:rFonts w:hint="eastAsia" w:ascii="新宋体" w:hAnsi="新宋体" w:eastAsia="新宋体"/>
          <w:kern w:val="2"/>
          <w:sz w:val="21"/>
          <w:szCs w:val="21"/>
        </w:rPr>
        <w:t xml:space="preserve"> 投标文件格式、附件</w:t>
      </w:r>
    </w:p>
    <w:p>
      <w:pPr>
        <w:spacing w:line="360" w:lineRule="auto"/>
        <w:rPr>
          <w:rStyle w:val="58"/>
          <w:rFonts w:ascii="新宋体" w:hAnsi="新宋体" w:eastAsia="新宋体"/>
          <w:sz w:val="21"/>
          <w:szCs w:val="21"/>
        </w:rPr>
      </w:pPr>
      <w:r>
        <w:rPr>
          <w:rStyle w:val="58"/>
          <w:rFonts w:hint="eastAsia" w:ascii="新宋体" w:hAnsi="新宋体" w:eastAsia="新宋体"/>
          <w:sz w:val="21"/>
          <w:szCs w:val="21"/>
        </w:rPr>
        <w:t>特别提醒：</w:t>
      </w:r>
    </w:p>
    <w:p>
      <w:pPr>
        <w:spacing w:line="360" w:lineRule="auto"/>
        <w:ind w:firstLine="420" w:firstLineChars="200"/>
        <w:rPr>
          <w:rFonts w:ascii="新宋体" w:hAnsi="新宋体" w:eastAsia="新宋体"/>
          <w:szCs w:val="21"/>
        </w:rPr>
      </w:pPr>
      <w:r>
        <w:rPr>
          <w:rFonts w:hint="eastAsia" w:ascii="新宋体" w:hAnsi="新宋体" w:eastAsia="新宋体"/>
          <w:szCs w:val="21"/>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spacing w:line="360" w:lineRule="auto"/>
        <w:rPr>
          <w:rFonts w:ascii="新宋体" w:hAnsi="新宋体" w:eastAsia="新宋体"/>
          <w:szCs w:val="21"/>
        </w:rPr>
      </w:pPr>
      <w:r>
        <w:rPr>
          <w:rFonts w:hint="eastAsia" w:ascii="新宋体" w:hAnsi="新宋体" w:eastAsia="新宋体"/>
          <w:szCs w:val="21"/>
        </w:rPr>
        <w:t xml:space="preserve">    投标文件正文（信息公开部分）必须编制于“投标书目录”部分，投标文件附件（非信息公开部分）必须编制于“投标书附件”部分，如下图所示。</w:t>
      </w:r>
    </w:p>
    <w:p>
      <w:pPr>
        <w:widowControl/>
        <w:jc w:val="left"/>
        <w:rPr>
          <w:rFonts w:ascii="宋体" w:hAnsi="宋体" w:cs="宋体"/>
          <w:kern w:val="0"/>
          <w:sz w:val="24"/>
        </w:rPr>
      </w:pPr>
      <w:r>
        <w:rPr>
          <w:rFonts w:ascii="宋体" w:hAnsi="宋体" w:cs="宋体"/>
          <w:kern w:val="0"/>
          <w:sz w:val="24"/>
        </w:rPr>
        <w:drawing>
          <wp:inline distT="0" distB="0" distL="0" distR="0">
            <wp:extent cx="4933950" cy="5172075"/>
            <wp:effectExtent l="19050" t="0" r="0" b="0"/>
            <wp:docPr id="11" name="图片 11" descr="C:\Users\Administrator\Documents\Tencent Files\9571728\Image\C2C\F9)3IDR8GS@SBU}%$MKJ1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Tencent Files\9571728\Image\C2C\F9)3IDR8GS@SBU}%$MKJ18W.jpg"/>
                    <pic:cNvPicPr>
                      <a:picLocks noChangeAspect="1" noChangeArrowheads="1"/>
                    </pic:cNvPicPr>
                  </pic:nvPicPr>
                  <pic:blipFill>
                    <a:blip r:embed="rId8" cstate="print"/>
                    <a:srcRect/>
                    <a:stretch>
                      <a:fillRect/>
                    </a:stretch>
                  </pic:blipFill>
                  <pic:spPr>
                    <a:xfrm>
                      <a:off x="0" y="0"/>
                      <a:ext cx="4933950" cy="5172075"/>
                    </a:xfrm>
                    <a:prstGeom prst="rect">
                      <a:avLst/>
                    </a:prstGeom>
                    <a:noFill/>
                    <a:ln w="9525">
                      <a:noFill/>
                      <a:miter lim="800000"/>
                      <a:headEnd/>
                      <a:tailEnd/>
                    </a:ln>
                  </pic:spPr>
                </pic:pic>
              </a:graphicData>
            </a:graphic>
          </wp:inline>
        </w:drawing>
      </w:r>
    </w:p>
    <w:p>
      <w:pPr>
        <w:rPr>
          <w:rFonts w:ascii="仿宋_GB2312" w:eastAsia="仿宋_GB2312"/>
          <w:sz w:val="24"/>
        </w:rPr>
      </w:pPr>
    </w:p>
    <w:p>
      <w:pPr>
        <w:jc w:val="center"/>
        <w:rPr>
          <w:rFonts w:ascii="仿宋_GB2312" w:eastAsia="仿宋_GB2312"/>
          <w:sz w:val="24"/>
        </w:rPr>
      </w:pPr>
    </w:p>
    <w:p>
      <w:pPr>
        <w:spacing w:line="360" w:lineRule="auto"/>
        <w:ind w:firstLine="420" w:firstLineChars="200"/>
        <w:rPr>
          <w:rFonts w:ascii="新宋体" w:hAnsi="新宋体" w:eastAsia="新宋体"/>
          <w:szCs w:val="21"/>
        </w:rPr>
      </w:pPr>
      <w:r>
        <w:rPr>
          <w:rFonts w:hint="eastAsia" w:ascii="新宋体" w:hAnsi="新宋体" w:eastAsia="新宋体"/>
          <w:szCs w:val="21"/>
        </w:rPr>
        <w:t>我中心公布投标文件正文（信息公开部分）时为计算机截取信息自动公布，如投标人误将涉及个人隐私的信息放入投标文件正文，相关后果由投标人自负；如投标人将必须放于投标文件正文（信息公开部分）的内容放入投标文件附件（非信息公开部分）以回避信息公开，将作投标无效处理。</w:t>
      </w:r>
    </w:p>
    <w:p>
      <w:pPr>
        <w:spacing w:line="360" w:lineRule="auto"/>
        <w:ind w:firstLine="422" w:firstLineChars="200"/>
        <w:rPr>
          <w:rFonts w:ascii="新宋体" w:hAnsi="新宋体" w:eastAsia="新宋体"/>
          <w:b/>
          <w:szCs w:val="21"/>
        </w:rPr>
      </w:pPr>
    </w:p>
    <w:p>
      <w:pPr>
        <w:spacing w:line="360" w:lineRule="auto"/>
        <w:ind w:firstLine="420" w:firstLineChars="200"/>
        <w:rPr>
          <w:rFonts w:ascii="新宋体" w:hAnsi="新宋体" w:eastAsia="新宋体"/>
          <w:szCs w:val="21"/>
        </w:rPr>
      </w:pPr>
      <w:r>
        <w:rPr>
          <w:rFonts w:hint="eastAsia" w:ascii="新宋体" w:hAnsi="新宋体" w:eastAsia="新宋体"/>
          <w:szCs w:val="21"/>
        </w:rPr>
        <w:t>各投标供应商：</w:t>
      </w:r>
    </w:p>
    <w:p>
      <w:pPr>
        <w:spacing w:line="360" w:lineRule="auto"/>
        <w:ind w:firstLine="420" w:firstLineChars="200"/>
        <w:rPr>
          <w:rFonts w:ascii="新宋体" w:hAnsi="新宋体" w:eastAsia="新宋体"/>
          <w:szCs w:val="21"/>
        </w:rPr>
      </w:pPr>
      <w:r>
        <w:rPr>
          <w:rFonts w:hint="eastAsia" w:ascii="新宋体" w:hAnsi="新宋体" w:eastAsia="新宋体"/>
          <w:szCs w:val="21"/>
        </w:rPr>
        <w:t>根据《中华人民共和国政府采购法》及《深圳经济特区政府采购条例》有关规定，为增强各供应商诚信守法、公平竞争意识，规范各供应商投标行为，有效遏制投标供应商在政府采购活动中的串标围标、造假等不诚信行为，促进我市政府采购市场诚信体系建设，确保我市政府采购工作公开、公平和公正，深圳市政府采购中心将依法依规对如下投标信息予以公示，望各投标供应商给予配合，履行好自身的权益和义务。</w:t>
      </w:r>
    </w:p>
    <w:p>
      <w:pPr>
        <w:spacing w:line="360" w:lineRule="auto"/>
        <w:ind w:firstLine="420" w:firstLineChars="200"/>
        <w:rPr>
          <w:rFonts w:ascii="新宋体" w:hAnsi="新宋体" w:eastAsia="新宋体"/>
          <w:szCs w:val="21"/>
        </w:rPr>
      </w:pPr>
      <w:r>
        <w:rPr>
          <w:rFonts w:hint="eastAsia" w:ascii="新宋体" w:hAnsi="新宋体" w:eastAsia="新宋体"/>
          <w:szCs w:val="21"/>
        </w:rPr>
        <w:t>1．公示的内容。营业执照、资质证书、项目业绩、履约验收报告及评价、社保证明、设备发票、职称、各种证件（身份证除外）、货物的规格型号及配置参数等。</w:t>
      </w:r>
    </w:p>
    <w:p>
      <w:pPr>
        <w:spacing w:line="360" w:lineRule="auto"/>
        <w:ind w:firstLine="420" w:firstLineChars="200"/>
        <w:rPr>
          <w:rFonts w:ascii="新宋体" w:hAnsi="新宋体" w:eastAsia="新宋体"/>
          <w:szCs w:val="21"/>
        </w:rPr>
      </w:pPr>
      <w:r>
        <w:rPr>
          <w:rFonts w:hint="eastAsia" w:ascii="新宋体" w:hAnsi="新宋体" w:eastAsia="新宋体"/>
          <w:szCs w:val="21"/>
        </w:rPr>
        <w:t>2．公示时间。从2014年9月10日起，所有新公告的政府采购项目的投标供应商的投标文件都进行公示。公示时间有两次，具体是：</w:t>
      </w:r>
    </w:p>
    <w:p>
      <w:pPr>
        <w:spacing w:line="360" w:lineRule="auto"/>
        <w:ind w:firstLine="420" w:firstLineChars="200"/>
        <w:rPr>
          <w:rFonts w:ascii="新宋体" w:hAnsi="新宋体" w:eastAsia="新宋体"/>
          <w:szCs w:val="21"/>
        </w:rPr>
      </w:pPr>
      <w:r>
        <w:rPr>
          <w:rFonts w:hint="eastAsia" w:ascii="新宋体" w:hAnsi="新宋体" w:eastAsia="新宋体"/>
          <w:szCs w:val="21"/>
        </w:rPr>
        <w:t>第一次公示时间：评标环节。当项目开标评审开始后，所有投标供应商的投标文件有关信息将随开标一览表向所有参与的投标供应商进行公开；</w:t>
      </w:r>
    </w:p>
    <w:p>
      <w:pPr>
        <w:spacing w:line="360" w:lineRule="auto"/>
        <w:ind w:firstLine="420" w:firstLineChars="200"/>
        <w:rPr>
          <w:rFonts w:ascii="新宋体" w:hAnsi="新宋体" w:eastAsia="新宋体"/>
          <w:szCs w:val="21"/>
        </w:rPr>
      </w:pPr>
      <w:r>
        <w:rPr>
          <w:rFonts w:hint="eastAsia" w:ascii="新宋体" w:hAnsi="新宋体" w:eastAsia="新宋体"/>
          <w:szCs w:val="21"/>
        </w:rPr>
        <w:t>第二次公示时间：中标结果公布环节。当发布中标结果时，同时向社会公布参加该政府采购项目的投标供应商（包括中标和未中标供应商）的投标文件。</w:t>
      </w:r>
    </w:p>
    <w:p>
      <w:pPr>
        <w:spacing w:line="360" w:lineRule="auto"/>
        <w:ind w:firstLine="420" w:firstLineChars="200"/>
        <w:rPr>
          <w:rFonts w:ascii="新宋体" w:hAnsi="新宋体" w:eastAsia="新宋体"/>
          <w:szCs w:val="21"/>
        </w:rPr>
      </w:pPr>
      <w:r>
        <w:rPr>
          <w:rFonts w:hint="eastAsia" w:ascii="新宋体" w:hAnsi="新宋体" w:eastAsia="新宋体"/>
          <w:szCs w:val="21"/>
        </w:rPr>
        <w:t>3．履行职责并及时指出有造假的行为。各投标人有权对公示内容进行监督，在第一次信息公开后的90分钟内，向中心反馈质疑和举报有造假行为的供应商，具体操作：</w:t>
      </w:r>
    </w:p>
    <w:p>
      <w:pPr>
        <w:spacing w:line="360" w:lineRule="auto"/>
        <w:ind w:firstLine="420" w:firstLineChars="200"/>
        <w:rPr>
          <w:rFonts w:ascii="新宋体" w:hAnsi="新宋体" w:eastAsia="新宋体"/>
          <w:szCs w:val="21"/>
        </w:rPr>
      </w:pPr>
      <w:r>
        <w:rPr>
          <w:rFonts w:hint="eastAsia" w:ascii="新宋体" w:hAnsi="新宋体" w:eastAsia="新宋体"/>
          <w:szCs w:val="21"/>
        </w:rPr>
        <w:t>点击“我要举报”按键，系统即显示所有投标人相关内容，选择有造假的供应商，在公示内容上点击。该内容下框会有“√”显示，当选择完后，确认提交至市政府采购中心辅助评标系统。评标委员会将于开标后的90分钟后打开该系统，如显示有被举报的供应商，评标委员会即启动取证环节的相关工作，当取证完成，经确认该投标人有造假，则该供应商投标无效，同时将依规定予以处罚。反之，如该项目无任何举报信息，评标继续进行。</w:t>
      </w:r>
    </w:p>
    <w:p>
      <w:pPr>
        <w:spacing w:line="360" w:lineRule="auto"/>
        <w:ind w:firstLine="420" w:firstLineChars="200"/>
        <w:rPr>
          <w:rFonts w:ascii="新宋体" w:hAnsi="新宋体" w:eastAsia="新宋体"/>
          <w:szCs w:val="21"/>
        </w:rPr>
      </w:pPr>
    </w:p>
    <w:p>
      <w:pPr>
        <w:spacing w:line="360" w:lineRule="auto"/>
        <w:ind w:firstLine="420" w:firstLineChars="200"/>
        <w:rPr>
          <w:rFonts w:ascii="新宋体" w:hAnsi="新宋体" w:eastAsia="新宋体"/>
          <w:szCs w:val="21"/>
        </w:rPr>
      </w:pPr>
      <w:r>
        <w:rPr>
          <w:rFonts w:hint="eastAsia" w:ascii="新宋体" w:hAnsi="新宋体" w:eastAsia="新宋体"/>
          <w:szCs w:val="21"/>
        </w:rPr>
        <w:t>本项目各投标供应商，应在开标后始终保持本项目联系人手机畅通。当开标时间超过90分钟后，市政府采购中心将视举报信息反馈情况会与您通话（所有通话内容将会录音），如有要求提交公示内容正本（原件）的，务必在通话后的120分钟内送达至市政府采购中心，以便评委现场查验。如不按时送达或拒送原件的，您的投标将视为投标响应不足，评标委员会将终止对该企业的标书评审，投标文件将视为弃标，评标中止；如查验确为造假，则投标无效，并视情况再作进一步处理。</w:t>
      </w:r>
    </w:p>
    <w:p>
      <w:pPr>
        <w:spacing w:line="360" w:lineRule="auto"/>
        <w:ind w:firstLine="420" w:firstLineChars="200"/>
        <w:rPr>
          <w:rFonts w:ascii="新宋体" w:hAnsi="新宋体" w:eastAsia="新宋体"/>
          <w:szCs w:val="21"/>
        </w:rPr>
      </w:pPr>
      <w:r>
        <w:rPr>
          <w:rFonts w:hint="eastAsia" w:ascii="新宋体" w:hAnsi="新宋体" w:eastAsia="新宋体"/>
          <w:szCs w:val="21"/>
        </w:rPr>
        <w:t>第二次中标供应商信息公示的质疑，按现规定和做法执行。</w:t>
      </w:r>
    </w:p>
    <w:p>
      <w:pPr>
        <w:spacing w:line="360" w:lineRule="auto"/>
        <w:ind w:firstLine="420" w:firstLineChars="200"/>
        <w:rPr>
          <w:rFonts w:ascii="新宋体" w:hAnsi="新宋体" w:eastAsia="新宋体"/>
          <w:szCs w:val="21"/>
        </w:rPr>
      </w:pPr>
      <w:r>
        <w:rPr>
          <w:rFonts w:hint="eastAsia" w:ascii="新宋体" w:hAnsi="新宋体" w:eastAsia="新宋体"/>
          <w:szCs w:val="21"/>
        </w:rPr>
        <w:t>望各供应商要珍惜本次投标机会，诚实、守信、依法、依规投标。</w:t>
      </w: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Style w:val="58"/>
          <w:rFonts w:ascii="新宋体" w:hAnsi="新宋体" w:eastAsia="新宋体"/>
          <w:sz w:val="21"/>
          <w:szCs w:val="21"/>
        </w:rPr>
      </w:pPr>
      <w:r>
        <w:rPr>
          <w:rStyle w:val="58"/>
          <w:rFonts w:hint="eastAsia" w:ascii="新宋体" w:hAnsi="新宋体" w:eastAsia="新宋体"/>
          <w:sz w:val="21"/>
          <w:szCs w:val="21"/>
        </w:rPr>
        <w:t>投标文件组成：</w:t>
      </w:r>
    </w:p>
    <w:p>
      <w:pPr>
        <w:spacing w:line="360" w:lineRule="auto"/>
        <w:ind w:firstLine="1050" w:firstLineChars="500"/>
        <w:rPr>
          <w:rFonts w:ascii="新宋体" w:hAnsi="新宋体" w:eastAsia="新宋体"/>
          <w:szCs w:val="21"/>
        </w:rPr>
      </w:pPr>
      <w:r>
        <w:rPr>
          <w:rFonts w:hint="eastAsia" w:ascii="新宋体" w:hAnsi="新宋体" w:eastAsia="新宋体"/>
          <w:szCs w:val="21"/>
        </w:rPr>
        <w:t>1.投标文件正文</w:t>
      </w:r>
      <w:r>
        <w:rPr>
          <w:rFonts w:hint="eastAsia" w:ascii="新宋体" w:hAnsi="新宋体" w:eastAsia="新宋体"/>
          <w:b/>
          <w:color w:val="FF0000"/>
          <w:szCs w:val="21"/>
        </w:rPr>
        <w:t>（信息公开部分）</w:t>
      </w:r>
      <w:r>
        <w:rPr>
          <w:rFonts w:hint="eastAsia" w:ascii="新宋体" w:hAnsi="新宋体" w:eastAsia="新宋体"/>
          <w:szCs w:val="21"/>
        </w:rPr>
        <w:t>，主要包括以下内容：</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（1）投标函</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（2）政府采购投标及履约承诺函</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（3）分项报价清单</w:t>
      </w:r>
    </w:p>
    <w:p>
      <w:pPr>
        <w:spacing w:line="360" w:lineRule="auto"/>
        <w:ind w:left="2692" w:leftChars="1017" w:hanging="556" w:hangingChars="265"/>
        <w:rPr>
          <w:rFonts w:ascii="新宋体" w:hAnsi="新宋体" w:eastAsia="新宋体"/>
          <w:szCs w:val="21"/>
        </w:rPr>
      </w:pPr>
      <w:r>
        <w:rPr>
          <w:rFonts w:hint="eastAsia" w:ascii="新宋体" w:hAnsi="新宋体" w:eastAsia="新宋体"/>
          <w:szCs w:val="21"/>
        </w:rPr>
        <w:t>（4）投标人情况介绍</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（5）货物说明一览表</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（6）技术规格偏离表</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（7）商务需求偏离表</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（8）投标人认为需要加以说明的其他内容</w:t>
      </w:r>
    </w:p>
    <w:p>
      <w:pPr>
        <w:spacing w:line="360" w:lineRule="auto"/>
        <w:ind w:left="718" w:leftChars="342" w:firstLine="1417" w:firstLineChars="675"/>
        <w:rPr>
          <w:rFonts w:ascii="新宋体" w:hAnsi="新宋体" w:eastAsia="新宋体"/>
          <w:szCs w:val="21"/>
        </w:rPr>
      </w:pPr>
    </w:p>
    <w:p>
      <w:pPr>
        <w:spacing w:line="360" w:lineRule="auto"/>
        <w:ind w:firstLine="1050" w:firstLineChars="500"/>
        <w:rPr>
          <w:rFonts w:ascii="新宋体" w:hAnsi="新宋体" w:eastAsia="新宋体"/>
          <w:szCs w:val="21"/>
        </w:rPr>
      </w:pPr>
      <w:r>
        <w:rPr>
          <w:rFonts w:hint="eastAsia" w:ascii="新宋体" w:hAnsi="新宋体" w:eastAsia="新宋体"/>
          <w:szCs w:val="21"/>
        </w:rPr>
        <w:t>2.投标文件附件</w:t>
      </w:r>
      <w:r>
        <w:rPr>
          <w:rFonts w:hint="eastAsia" w:ascii="新宋体" w:hAnsi="新宋体" w:eastAsia="新宋体"/>
          <w:b/>
          <w:color w:val="FF0000"/>
          <w:szCs w:val="21"/>
        </w:rPr>
        <w:t>（信息不公开部分）</w:t>
      </w:r>
      <w:r>
        <w:rPr>
          <w:rFonts w:hint="eastAsia" w:ascii="新宋体" w:hAnsi="新宋体" w:eastAsia="新宋体"/>
          <w:szCs w:val="21"/>
        </w:rPr>
        <w:t>：主要包括以下内容：</w:t>
      </w:r>
    </w:p>
    <w:p>
      <w:pPr>
        <w:spacing w:line="360" w:lineRule="auto"/>
        <w:ind w:firstLine="2100" w:firstLineChars="1000"/>
        <w:rPr>
          <w:rFonts w:ascii="新宋体" w:hAnsi="新宋体" w:eastAsia="新宋体"/>
          <w:szCs w:val="21"/>
        </w:rPr>
      </w:pPr>
      <w:r>
        <w:rPr>
          <w:rFonts w:hint="eastAsia" w:ascii="新宋体" w:hAnsi="新宋体" w:eastAsia="新宋体"/>
          <w:szCs w:val="21"/>
        </w:rPr>
        <w:t>（1）法定代表人证明书</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（2）投标文件签署授权委托书</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（3）实质性条款响应情况表</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（4）项目实施方案</w:t>
      </w:r>
    </w:p>
    <w:p>
      <w:pPr>
        <w:spacing w:line="360" w:lineRule="auto"/>
        <w:ind w:left="718" w:leftChars="342" w:firstLine="1417" w:firstLineChars="675"/>
        <w:rPr>
          <w:rFonts w:ascii="新宋体" w:hAnsi="新宋体" w:eastAsia="新宋体"/>
          <w:szCs w:val="21"/>
        </w:rPr>
      </w:pPr>
      <w:r>
        <w:rPr>
          <w:rFonts w:hint="eastAsia" w:ascii="新宋体" w:hAnsi="新宋体" w:eastAsia="新宋体"/>
          <w:szCs w:val="21"/>
        </w:rPr>
        <w:t>（5）售后服务方案</w:t>
      </w:r>
    </w:p>
    <w:p>
      <w:pPr>
        <w:ind w:left="718" w:leftChars="342" w:firstLine="1417" w:firstLineChars="675"/>
        <w:rPr>
          <w:szCs w:val="21"/>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spacing w:line="360" w:lineRule="auto"/>
        <w:jc w:val="center"/>
        <w:outlineLvl w:val="1"/>
        <w:rPr>
          <w:rFonts w:ascii="新宋体" w:hAnsi="新宋体" w:eastAsia="新宋体"/>
          <w:b/>
          <w:color w:val="FF0000"/>
          <w:szCs w:val="21"/>
        </w:rPr>
      </w:pPr>
      <w:r>
        <w:rPr>
          <w:rFonts w:hint="eastAsia" w:ascii="新宋体" w:hAnsi="新宋体" w:eastAsia="新宋体"/>
          <w:b/>
          <w:color w:val="FF0000"/>
          <w:szCs w:val="21"/>
        </w:rPr>
        <w:t>温馨提示</w:t>
      </w:r>
    </w:p>
    <w:p>
      <w:pPr>
        <w:spacing w:line="360" w:lineRule="auto"/>
        <w:rPr>
          <w:rFonts w:ascii="新宋体" w:hAnsi="新宋体" w:eastAsia="新宋体"/>
          <w:szCs w:val="21"/>
        </w:rPr>
      </w:pP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投标文件中存在以下情况的，将会导致投标无效：</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1.未按投标人资格要求提供有效的营业执照或事业单位法人证扫描件、《政府采购投标及履约承诺函》声明、进口产品由设备制造商或授权的中国总代理签署的合法有效的保修维修承诺函、其他资格证明资料等；</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2.拒绝进口项目或允许部分进口项目的拒绝进口部分选用了进口产品；</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3.投标报价不符合要求，包括但不限于：投标总价或项目报价表中单个采购预算条目报价超过对应的财政预算限额、投标文件报价出现前后不一致且按照法定程序进行修正后投标人不确认的；</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4. 具体技术要求、商务需求偏离表中带“★”要求未填写偏离情况或说明、填写为负偏离、填写为正偏离但与评审委员会判定不一致，《技术规格偏离表》《商务需求偏离表》填写的“投标技术响应”与《具体技术要求》《商务需求》的“招标技术要求”“招标商务条款”存在填写不全的情况；</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 xml:space="preserve">5. 投标文件正文（信息公开部分）内容缺漏，包括但不限于：《投标函》中未填写项目编号或名称、《政府采购投标及履约承诺函》未署名投标人名称； </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6. 投标文件附件（信息不公开部分）内容缺漏，包括但不限于：未提供完整的法定代表人证明书（含法定代表人身份证正反两面扫描件）、投标文件签署授权委托书（含授权委托代理人身份证正反两面扫描件）；</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7.投标文件正文（信息公开部分）内容未放置于投标文件信息公开部分；</w:t>
      </w:r>
    </w:p>
    <w:p>
      <w:pPr>
        <w:spacing w:line="360" w:lineRule="auto"/>
        <w:ind w:firstLine="420" w:firstLineChars="200"/>
        <w:rPr>
          <w:rFonts w:ascii="新宋体" w:hAnsi="新宋体" w:eastAsia="新宋体"/>
          <w:color w:val="FF0000"/>
          <w:szCs w:val="21"/>
        </w:rPr>
      </w:pPr>
      <w:r>
        <w:rPr>
          <w:rFonts w:hint="eastAsia" w:ascii="新宋体" w:hAnsi="新宋体" w:eastAsia="新宋体"/>
          <w:color w:val="FF0000"/>
          <w:szCs w:val="21"/>
        </w:rPr>
        <w:t>8. 构成投标文件的暗标标书的任何地方出现投标人公司名称、人员姓名和投标人特有的标志及图案，具体包括投标人公司全称、简称、外文名称、特有logo及人员姓名；</w:t>
      </w: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spacing w:line="360" w:lineRule="auto"/>
        <w:jc w:val="center"/>
        <w:rPr>
          <w:rFonts w:ascii="新宋体" w:hAnsi="新宋体" w:eastAsia="新宋体"/>
          <w:b w:val="0"/>
          <w:sz w:val="21"/>
          <w:szCs w:val="21"/>
        </w:rPr>
      </w:pPr>
      <w:r>
        <w:rPr>
          <w:rFonts w:hint="eastAsia" w:ascii="新宋体" w:hAnsi="新宋体" w:eastAsia="新宋体"/>
          <w:b w:val="0"/>
          <w:sz w:val="21"/>
          <w:szCs w:val="21"/>
        </w:rPr>
        <w:t>一、投标函</w:t>
      </w:r>
    </w:p>
    <w:p>
      <w:pPr>
        <w:spacing w:line="360" w:lineRule="auto"/>
        <w:rPr>
          <w:rFonts w:ascii="新宋体" w:hAnsi="新宋体" w:eastAsia="新宋体"/>
          <w:color w:val="FF0000"/>
          <w:szCs w:val="21"/>
        </w:rPr>
      </w:pPr>
      <w:r>
        <w:rPr>
          <w:rFonts w:hint="eastAsia" w:ascii="新宋体" w:hAnsi="新宋体" w:eastAsia="新宋体"/>
          <w:color w:val="FF0000"/>
          <w:szCs w:val="21"/>
        </w:rPr>
        <w:t>致：</w:t>
      </w:r>
      <w:r>
        <w:rPr>
          <w:rFonts w:hint="eastAsia" w:ascii="新宋体" w:hAnsi="新宋体" w:eastAsia="新宋体"/>
          <w:color w:val="FF0000"/>
          <w:szCs w:val="21"/>
          <w:u w:val="single"/>
        </w:rPr>
        <w:t xml:space="preserve">  </w:t>
      </w:r>
      <w:r>
        <w:rPr>
          <w:rFonts w:hint="eastAsia" w:ascii="新宋体" w:hAnsi="新宋体" w:eastAsia="新宋体" w:cs="宋体"/>
          <w:kern w:val="0"/>
          <w:szCs w:val="21"/>
          <w:u w:val="single"/>
        </w:rPr>
        <w:t>深圳市瑞凝信招标咨询有限公司</w:t>
      </w:r>
      <w:r>
        <w:rPr>
          <w:rFonts w:hint="eastAsia" w:ascii="新宋体" w:hAnsi="新宋体" w:eastAsia="新宋体"/>
          <w:color w:val="FF0000"/>
          <w:szCs w:val="21"/>
          <w:u w:val="single"/>
        </w:rPr>
        <w:t xml:space="preserve">  </w:t>
      </w:r>
    </w:p>
    <w:p>
      <w:pPr>
        <w:spacing w:after="120" w:afterLines="50" w:line="360" w:lineRule="auto"/>
        <w:ind w:firstLine="420" w:firstLineChars="200"/>
        <w:rPr>
          <w:rFonts w:ascii="新宋体" w:hAnsi="新宋体" w:eastAsia="新宋体"/>
          <w:szCs w:val="21"/>
        </w:rPr>
      </w:pPr>
      <w:r>
        <w:rPr>
          <w:rFonts w:hint="eastAsia" w:ascii="新宋体" w:hAnsi="新宋体" w:eastAsia="新宋体"/>
          <w:szCs w:val="21"/>
        </w:rPr>
        <w:t>1、根据已收到贵方的招标编号</w:t>
      </w:r>
      <w:r>
        <w:rPr>
          <w:rFonts w:hint="eastAsia" w:ascii="新宋体" w:hAnsi="新宋体" w:eastAsia="新宋体"/>
          <w:color w:val="FF0000"/>
          <w:szCs w:val="21"/>
        </w:rPr>
        <w:t>为</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的</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项目</w:t>
      </w:r>
      <w:r>
        <w:rPr>
          <w:rFonts w:hint="eastAsia" w:ascii="新宋体" w:hAnsi="新宋体" w:eastAsia="新宋体"/>
          <w:szCs w:val="21"/>
        </w:rPr>
        <w:t>的招标文件，遵照《深圳经济特区政府采购条例》和《深圳网上政府采购管理暂行办法》等有关规定，我单位经研究上述招标文件的专用条款及通用条款后，我方愿以投标书编制软件中《开标一览表》中填写的投标报价并按招标文件要求承包上述项目并修补其任何缺陷。</w:t>
      </w:r>
    </w:p>
    <w:p>
      <w:pPr>
        <w:spacing w:after="120" w:afterLines="50" w:line="360" w:lineRule="auto"/>
        <w:ind w:firstLine="420" w:firstLineChars="200"/>
        <w:rPr>
          <w:rFonts w:ascii="新宋体" w:hAnsi="新宋体" w:eastAsia="新宋体"/>
          <w:szCs w:val="21"/>
        </w:rPr>
      </w:pPr>
      <w:r>
        <w:rPr>
          <w:rFonts w:ascii="新宋体" w:hAnsi="新宋体" w:eastAsia="新宋体"/>
          <w:szCs w:val="21"/>
        </w:rPr>
        <w:t>2</w:t>
      </w:r>
      <w:r>
        <w:rPr>
          <w:rFonts w:hint="eastAsia" w:ascii="新宋体" w:hAnsi="新宋体" w:eastAsia="新宋体"/>
          <w:szCs w:val="21"/>
        </w:rPr>
        <w:t>、我方已认真核实了投标文件的全部资料，所有资料均为真实资料。我方对投标文件中全部投标资料的真实性负责，如被证实我方的投标文件中存在虚假资料的，则视为我方隐瞒真实情况、提供虚假资料，我方愿意接受主管部门作出的行政处罚。</w:t>
      </w:r>
    </w:p>
    <w:p>
      <w:pPr>
        <w:spacing w:after="120" w:afterLines="50" w:line="360" w:lineRule="auto"/>
        <w:ind w:firstLine="420" w:firstLineChars="200"/>
        <w:rPr>
          <w:rFonts w:ascii="新宋体" w:hAnsi="新宋体" w:eastAsia="新宋体"/>
          <w:szCs w:val="21"/>
        </w:rPr>
      </w:pPr>
      <w:r>
        <w:rPr>
          <w:rFonts w:hint="eastAsia" w:ascii="新宋体" w:hAnsi="新宋体" w:eastAsia="新宋体"/>
          <w:szCs w:val="21"/>
        </w:rPr>
        <w:t>3、如果我方中标，我方将按照规定提交上述总价</w:t>
      </w:r>
      <w:r>
        <w:rPr>
          <w:rFonts w:hint="eastAsia" w:ascii="新宋体" w:hAnsi="新宋体" w:eastAsia="新宋体"/>
          <w:szCs w:val="21"/>
          <w:u w:val="single"/>
        </w:rPr>
        <w:t xml:space="preserve">      </w:t>
      </w:r>
      <w:r>
        <w:rPr>
          <w:rFonts w:hint="eastAsia" w:ascii="新宋体" w:hAnsi="新宋体" w:eastAsia="新宋体"/>
          <w:szCs w:val="21"/>
        </w:rPr>
        <w:t>％（或</w:t>
      </w:r>
      <w:r>
        <w:rPr>
          <w:rFonts w:hint="eastAsia" w:ascii="新宋体" w:hAnsi="新宋体" w:eastAsia="新宋体"/>
          <w:szCs w:val="21"/>
          <w:u w:val="single"/>
        </w:rPr>
        <w:t xml:space="preserve">   </w:t>
      </w:r>
      <w:r>
        <w:rPr>
          <w:rFonts w:hint="eastAsia" w:ascii="新宋体" w:hAnsi="新宋体" w:eastAsia="新宋体"/>
          <w:szCs w:val="21"/>
        </w:rPr>
        <w:t>万元）作为履约担保。</w:t>
      </w:r>
    </w:p>
    <w:p>
      <w:pPr>
        <w:spacing w:after="120" w:afterLines="50" w:line="360" w:lineRule="auto"/>
        <w:ind w:firstLine="411" w:firstLineChars="196"/>
        <w:rPr>
          <w:rFonts w:ascii="新宋体" w:hAnsi="新宋体" w:eastAsia="新宋体"/>
          <w:szCs w:val="21"/>
        </w:rPr>
      </w:pPr>
      <w:r>
        <w:rPr>
          <w:rFonts w:hint="eastAsia" w:ascii="新宋体" w:hAnsi="新宋体" w:eastAsia="新宋体"/>
          <w:szCs w:val="21"/>
        </w:rPr>
        <w:t>4、我方同意所递交的投标文件在“对通用条款的补充内容”中的投标有效期内有效，在此期间内我方的投标有可能中标，我方将受此约束。</w:t>
      </w:r>
    </w:p>
    <w:p>
      <w:pPr>
        <w:spacing w:after="120" w:afterLines="50" w:line="360" w:lineRule="auto"/>
        <w:ind w:firstLine="411" w:firstLineChars="196"/>
        <w:rPr>
          <w:rFonts w:ascii="新宋体" w:hAnsi="新宋体" w:eastAsia="新宋体"/>
          <w:szCs w:val="21"/>
        </w:rPr>
      </w:pPr>
      <w:r>
        <w:rPr>
          <w:rFonts w:hint="eastAsia" w:ascii="新宋体" w:hAnsi="新宋体" w:eastAsia="新宋体"/>
          <w:szCs w:val="21"/>
        </w:rPr>
        <w:t>5、除非另外达成协议并生效，贵方的中标通知书和本投标文件将构成约束我们双方的合同。</w:t>
      </w:r>
    </w:p>
    <w:p>
      <w:pPr>
        <w:spacing w:after="120" w:afterLines="50" w:line="360" w:lineRule="auto"/>
        <w:ind w:firstLine="411" w:firstLineChars="196"/>
        <w:rPr>
          <w:rFonts w:ascii="新宋体" w:hAnsi="新宋体" w:eastAsia="新宋体"/>
          <w:szCs w:val="21"/>
        </w:rPr>
      </w:pPr>
      <w:r>
        <w:rPr>
          <w:rFonts w:hint="eastAsia" w:ascii="新宋体" w:hAnsi="新宋体" w:eastAsia="新宋体"/>
          <w:szCs w:val="21"/>
        </w:rPr>
        <w:t>6、我方理解贵方将不受必须接受你们所收到的最低标价或其它任何投标文件的约束。</w:t>
      </w:r>
    </w:p>
    <w:p>
      <w:pPr>
        <w:spacing w:line="360" w:lineRule="auto"/>
        <w:ind w:left="540" w:leftChars="257"/>
        <w:rPr>
          <w:rFonts w:ascii="新宋体" w:hAnsi="新宋体" w:eastAsia="新宋体"/>
          <w:szCs w:val="21"/>
          <w:u w:val="single"/>
        </w:rPr>
      </w:pPr>
      <w:r>
        <w:rPr>
          <w:rFonts w:hint="eastAsia" w:ascii="新宋体" w:hAnsi="新宋体" w:eastAsia="新宋体"/>
          <w:color w:val="FF0000"/>
          <w:szCs w:val="21"/>
        </w:rPr>
        <w:t>投标人：</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 xml:space="preserve"> </w:t>
      </w:r>
      <w:r>
        <w:rPr>
          <w:rFonts w:hint="eastAsia" w:ascii="新宋体" w:hAnsi="新宋体" w:eastAsia="新宋体"/>
          <w:szCs w:val="21"/>
        </w:rPr>
        <w:t xml:space="preserve">   单位地址：</w:t>
      </w:r>
      <w:r>
        <w:rPr>
          <w:rFonts w:hint="eastAsia" w:ascii="新宋体" w:hAnsi="新宋体" w:eastAsia="新宋体"/>
          <w:szCs w:val="21"/>
          <w:u w:val="single"/>
        </w:rPr>
        <w:t xml:space="preserve">               </w:t>
      </w:r>
    </w:p>
    <w:p>
      <w:pPr>
        <w:spacing w:line="360" w:lineRule="auto"/>
        <w:ind w:left="540" w:leftChars="257"/>
        <w:rPr>
          <w:rFonts w:ascii="新宋体" w:hAnsi="新宋体" w:eastAsia="新宋体"/>
          <w:szCs w:val="21"/>
          <w:u w:val="single"/>
        </w:rPr>
      </w:pPr>
      <w:r>
        <w:rPr>
          <w:rFonts w:hint="eastAsia" w:ascii="新宋体" w:hAnsi="新宋体" w:eastAsia="新宋体"/>
          <w:color w:val="FF0000"/>
          <w:szCs w:val="21"/>
        </w:rPr>
        <w:t>法定代表人或其委托代理人：</w:t>
      </w:r>
      <w:r>
        <w:rPr>
          <w:rFonts w:hint="eastAsia" w:ascii="新宋体" w:hAnsi="新宋体" w:eastAsia="新宋体"/>
          <w:color w:val="FF0000"/>
          <w:szCs w:val="21"/>
          <w:u w:val="single"/>
        </w:rPr>
        <w:t xml:space="preserve">                   </w:t>
      </w:r>
    </w:p>
    <w:p>
      <w:pPr>
        <w:spacing w:line="360" w:lineRule="auto"/>
        <w:ind w:left="540" w:leftChars="257"/>
        <w:rPr>
          <w:rFonts w:ascii="新宋体" w:hAnsi="新宋体" w:eastAsia="新宋体"/>
          <w:szCs w:val="21"/>
          <w:u w:val="single"/>
        </w:rPr>
      </w:pPr>
      <w:r>
        <w:rPr>
          <w:rFonts w:hint="eastAsia" w:ascii="新宋体" w:hAnsi="新宋体" w:eastAsia="新宋体"/>
          <w:szCs w:val="21"/>
        </w:rPr>
        <w:t>邮政编码：</w:t>
      </w:r>
      <w:r>
        <w:rPr>
          <w:rFonts w:hint="eastAsia" w:ascii="新宋体" w:hAnsi="新宋体" w:eastAsia="新宋体"/>
          <w:szCs w:val="21"/>
          <w:u w:val="single"/>
        </w:rPr>
        <w:t xml:space="preserve">          </w:t>
      </w:r>
      <w:r>
        <w:rPr>
          <w:rFonts w:hint="eastAsia" w:ascii="新宋体" w:hAnsi="新宋体" w:eastAsia="新宋体"/>
          <w:szCs w:val="21"/>
        </w:rPr>
        <w:t xml:space="preserve">  电话：</w:t>
      </w:r>
      <w:r>
        <w:rPr>
          <w:rFonts w:hint="eastAsia" w:ascii="新宋体" w:hAnsi="新宋体" w:eastAsia="新宋体"/>
          <w:szCs w:val="21"/>
          <w:u w:val="single"/>
        </w:rPr>
        <w:t xml:space="preserve">          </w:t>
      </w:r>
      <w:r>
        <w:rPr>
          <w:rFonts w:hint="eastAsia" w:ascii="新宋体" w:hAnsi="新宋体" w:eastAsia="新宋体"/>
          <w:szCs w:val="21"/>
        </w:rPr>
        <w:t xml:space="preserve">  传真：</w:t>
      </w:r>
      <w:r>
        <w:rPr>
          <w:rFonts w:hint="eastAsia" w:ascii="新宋体" w:hAnsi="新宋体" w:eastAsia="新宋体"/>
          <w:szCs w:val="21"/>
          <w:u w:val="single"/>
        </w:rPr>
        <w:t xml:space="preserve">            </w:t>
      </w:r>
    </w:p>
    <w:p>
      <w:pPr>
        <w:spacing w:line="360" w:lineRule="auto"/>
        <w:ind w:left="540" w:leftChars="257"/>
        <w:rPr>
          <w:rFonts w:ascii="新宋体" w:hAnsi="新宋体" w:eastAsia="新宋体"/>
          <w:szCs w:val="21"/>
        </w:rPr>
      </w:pPr>
      <w:r>
        <w:rPr>
          <w:rFonts w:hint="eastAsia" w:ascii="新宋体" w:hAnsi="新宋体" w:eastAsia="新宋体"/>
          <w:szCs w:val="21"/>
        </w:rPr>
        <w:t>开户银行名称：</w:t>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rPr>
        <w:tab/>
      </w:r>
      <w:r>
        <w:rPr>
          <w:rFonts w:hint="eastAsia" w:ascii="新宋体" w:hAnsi="新宋体" w:eastAsia="新宋体"/>
          <w:szCs w:val="21"/>
        </w:rPr>
        <w:t>开户银行帐号：</w:t>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p>
    <w:p>
      <w:pPr>
        <w:spacing w:line="360" w:lineRule="auto"/>
        <w:ind w:left="540" w:leftChars="257"/>
        <w:rPr>
          <w:rFonts w:ascii="新宋体" w:hAnsi="新宋体" w:eastAsia="新宋体"/>
          <w:szCs w:val="21"/>
        </w:rPr>
      </w:pPr>
      <w:r>
        <w:rPr>
          <w:rFonts w:hint="eastAsia" w:ascii="新宋体" w:hAnsi="新宋体" w:eastAsia="新宋体"/>
          <w:szCs w:val="21"/>
        </w:rPr>
        <w:t>开户银行地址：</w:t>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rPr>
        <w:tab/>
      </w:r>
      <w:r>
        <w:rPr>
          <w:rFonts w:hint="eastAsia" w:ascii="新宋体" w:hAnsi="新宋体" w:eastAsia="新宋体"/>
          <w:szCs w:val="21"/>
        </w:rPr>
        <w:t>开户银行电话：</w:t>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r>
        <w:rPr>
          <w:rFonts w:hint="eastAsia" w:ascii="新宋体" w:hAnsi="新宋体" w:eastAsia="新宋体"/>
          <w:szCs w:val="21"/>
          <w:u w:val="single"/>
        </w:rPr>
        <w:tab/>
      </w:r>
    </w:p>
    <w:p>
      <w:pPr>
        <w:spacing w:line="360" w:lineRule="auto"/>
        <w:ind w:firstLine="539" w:firstLineChars="257"/>
        <w:rPr>
          <w:sz w:val="24"/>
        </w:rPr>
      </w:pPr>
      <w:r>
        <w:rPr>
          <w:rFonts w:hint="eastAsia" w:ascii="新宋体" w:hAnsi="新宋体" w:eastAsia="新宋体"/>
          <w:color w:val="FF0000"/>
          <w:szCs w:val="21"/>
        </w:rPr>
        <w:t>日期：</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年</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月</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 xml:space="preserve">日 </w:t>
      </w:r>
      <w:r>
        <w:rPr>
          <w:rFonts w:hint="eastAsia" w:ascii="新宋体" w:hAnsi="新宋体" w:eastAsia="新宋体"/>
          <w:szCs w:val="21"/>
        </w:rPr>
        <w:t xml:space="preserve">                              </w:t>
      </w:r>
      <w:r>
        <w:rPr>
          <w:rFonts w:hint="eastAsia"/>
          <w:sz w:val="24"/>
        </w:rPr>
        <w:t xml:space="preserve"> </w:t>
      </w: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rPr>
          <w:rFonts w:ascii="黑体" w:hAnsi="宋体" w:eastAsia="黑体"/>
        </w:rPr>
      </w:pPr>
    </w:p>
    <w:p>
      <w:pPr>
        <w:pStyle w:val="3"/>
        <w:jc w:val="center"/>
        <w:rPr>
          <w:rFonts w:ascii="黑体" w:eastAsia="黑体"/>
          <w:b w:val="0"/>
          <w:sz w:val="24"/>
        </w:rPr>
      </w:pPr>
      <w:r>
        <w:rPr>
          <w:rFonts w:hint="eastAsia" w:ascii="黑体" w:eastAsia="黑体"/>
          <w:b w:val="0"/>
          <w:sz w:val="24"/>
        </w:rPr>
        <w:t>二、</w:t>
      </w:r>
      <w:r>
        <w:rPr>
          <w:rFonts w:hint="eastAsia"/>
          <w:szCs w:val="21"/>
        </w:rPr>
        <w:t>政府采购投标及履约承诺函</w:t>
      </w:r>
    </w:p>
    <w:p>
      <w:pPr>
        <w:spacing w:line="360" w:lineRule="auto"/>
        <w:rPr>
          <w:rFonts w:ascii="新宋体" w:hAnsi="新宋体" w:eastAsia="新宋体"/>
          <w:color w:val="FF0000"/>
          <w:szCs w:val="21"/>
        </w:rPr>
      </w:pPr>
      <w:r>
        <w:rPr>
          <w:rFonts w:hint="eastAsia" w:ascii="新宋体" w:hAnsi="新宋体" w:eastAsia="新宋体"/>
          <w:color w:val="FF0000"/>
          <w:szCs w:val="21"/>
        </w:rPr>
        <w:t>致：</w:t>
      </w:r>
      <w:r>
        <w:rPr>
          <w:rFonts w:hint="eastAsia" w:ascii="新宋体" w:hAnsi="新宋体" w:eastAsia="新宋体" w:cs="宋体"/>
          <w:kern w:val="0"/>
          <w:szCs w:val="18"/>
        </w:rPr>
        <w:t>深圳市瑞凝信招标咨询有限公司</w:t>
      </w:r>
    </w:p>
    <w:p>
      <w:pPr>
        <w:spacing w:line="360" w:lineRule="auto"/>
        <w:ind w:right="-815" w:firstLine="420" w:firstLineChars="200"/>
        <w:rPr>
          <w:rFonts w:ascii="新宋体" w:hAnsi="新宋体" w:eastAsia="新宋体"/>
          <w:szCs w:val="21"/>
        </w:rPr>
      </w:pPr>
      <w:r>
        <w:rPr>
          <w:rFonts w:hint="eastAsia" w:ascii="新宋体" w:hAnsi="新宋体" w:eastAsia="新宋体"/>
          <w:szCs w:val="21"/>
        </w:rPr>
        <w:t>我公司承诺：</w:t>
      </w:r>
    </w:p>
    <w:p>
      <w:pPr>
        <w:spacing w:line="360" w:lineRule="auto"/>
        <w:ind w:firstLine="420" w:firstLineChars="200"/>
        <w:rPr>
          <w:rFonts w:ascii="新宋体" w:hAnsi="新宋体" w:eastAsia="新宋体"/>
          <w:szCs w:val="21"/>
        </w:rPr>
      </w:pPr>
      <w:r>
        <w:rPr>
          <w:rFonts w:hint="eastAsia" w:ascii="新宋体" w:hAnsi="新宋体" w:eastAsia="新宋体"/>
          <w:szCs w:val="21"/>
        </w:rPr>
        <w:t>1.我公司本招标项目所提供的货物或服务未侵犯知识产权。</w:t>
      </w:r>
    </w:p>
    <w:p>
      <w:pPr>
        <w:spacing w:line="360" w:lineRule="auto"/>
        <w:ind w:firstLine="420" w:firstLineChars="200"/>
        <w:rPr>
          <w:rFonts w:ascii="新宋体" w:hAnsi="新宋体" w:eastAsia="新宋体"/>
          <w:szCs w:val="21"/>
        </w:rPr>
      </w:pPr>
      <w:r>
        <w:rPr>
          <w:rFonts w:hint="eastAsia" w:ascii="新宋体" w:hAnsi="新宋体" w:eastAsia="新宋体"/>
          <w:szCs w:val="21"/>
        </w:rPr>
        <w:t>2.我公司参与本项目投标前三年内，在经营活动中没有重大违法记录。</w:t>
      </w:r>
    </w:p>
    <w:p>
      <w:pPr>
        <w:spacing w:line="360" w:lineRule="auto"/>
        <w:ind w:firstLine="420" w:firstLineChars="200"/>
        <w:rPr>
          <w:rFonts w:ascii="新宋体" w:hAnsi="新宋体" w:eastAsia="新宋体"/>
          <w:szCs w:val="21"/>
        </w:rPr>
      </w:pPr>
      <w:r>
        <w:rPr>
          <w:rFonts w:hint="eastAsia" w:ascii="新宋体" w:hAnsi="新宋体" w:eastAsia="新宋体"/>
          <w:szCs w:val="21"/>
        </w:rPr>
        <w:t>3.我公司参与本项目</w:t>
      </w:r>
      <w:r>
        <w:rPr>
          <w:rFonts w:hint="eastAsia" w:ascii="新宋体" w:hAnsi="新宋体" w:eastAsia="新宋体"/>
        </w:rPr>
        <w:t>政府采购活动时不存在被有关部门禁止参与政府采购活动且在有效期内的情况。</w:t>
      </w:r>
    </w:p>
    <w:p>
      <w:pPr>
        <w:spacing w:line="360" w:lineRule="auto"/>
        <w:ind w:firstLine="420" w:firstLineChars="200"/>
        <w:rPr>
          <w:rFonts w:ascii="新宋体" w:hAnsi="新宋体" w:eastAsia="新宋体"/>
          <w:szCs w:val="21"/>
        </w:rPr>
      </w:pPr>
      <w:r>
        <w:rPr>
          <w:rFonts w:hint="eastAsia" w:ascii="新宋体" w:hAnsi="新宋体" w:eastAsia="新宋体"/>
          <w:szCs w:val="21"/>
        </w:rPr>
        <w:t>4.我公司具备《中华人民共和国政府采购法》第二十二条第一款规定的六项条件。</w:t>
      </w:r>
    </w:p>
    <w:p>
      <w:pPr>
        <w:spacing w:line="360" w:lineRule="auto"/>
        <w:ind w:firstLine="420" w:firstLineChars="200"/>
        <w:rPr>
          <w:rFonts w:ascii="新宋体" w:hAnsi="新宋体" w:eastAsia="新宋体"/>
          <w:szCs w:val="21"/>
        </w:rPr>
      </w:pPr>
      <w:r>
        <w:rPr>
          <w:rFonts w:hint="eastAsia" w:ascii="新宋体" w:hAnsi="新宋体" w:eastAsia="新宋体"/>
          <w:szCs w:val="21"/>
        </w:rPr>
        <w:t>5.我公司</w:t>
      </w:r>
      <w:r>
        <w:rPr>
          <w:rFonts w:hint="eastAsia" w:ascii="新宋体" w:hAnsi="新宋体" w:eastAsia="新宋体"/>
        </w:rPr>
        <w:t>未被列入失信被执行人、重大税收违法案件当事人名单、政府采购严重违法失信行为记录名单</w:t>
      </w:r>
    </w:p>
    <w:p>
      <w:pPr>
        <w:spacing w:line="360" w:lineRule="auto"/>
        <w:ind w:firstLine="420" w:firstLineChars="200"/>
        <w:rPr>
          <w:rFonts w:ascii="新宋体" w:hAnsi="新宋体" w:eastAsia="新宋体"/>
          <w:szCs w:val="21"/>
        </w:rPr>
      </w:pPr>
      <w:r>
        <w:rPr>
          <w:rFonts w:hint="eastAsia" w:ascii="新宋体" w:hAnsi="新宋体" w:eastAsia="新宋体"/>
          <w:szCs w:val="21"/>
        </w:rPr>
        <w:t>6.我公司参与该项目投标，严格遵守政府采购相关法律，投标做到诚实，不造假，不围标、串标、陪标。我公司已清楚，如违反上述要求，其投标将作无效处理，被列入不良记录名单并在网上曝光，同时将被提请政府采购监督管理部门给予一定年限内禁止参与政府采购活动或其他处罚。</w:t>
      </w:r>
    </w:p>
    <w:p>
      <w:pPr>
        <w:spacing w:line="360" w:lineRule="auto"/>
        <w:ind w:firstLine="420" w:firstLineChars="200"/>
        <w:rPr>
          <w:rFonts w:ascii="新宋体" w:hAnsi="新宋体" w:eastAsia="新宋体"/>
          <w:szCs w:val="21"/>
        </w:rPr>
      </w:pPr>
      <w:r>
        <w:rPr>
          <w:rFonts w:hint="eastAsia" w:ascii="新宋体" w:hAnsi="新宋体" w:eastAsia="新宋体"/>
          <w:szCs w:val="21"/>
        </w:rPr>
        <w:t>7.我公司如果中标，做到守信，不偷工减料，依照本项目招标文件需求内容、签署的采购合同及本公司在投标中所作的一切承诺履约。项目验收达到全部指标合格，力争优良。</w:t>
      </w:r>
    </w:p>
    <w:p>
      <w:pPr>
        <w:spacing w:line="360" w:lineRule="auto"/>
        <w:ind w:firstLine="420" w:firstLineChars="200"/>
        <w:rPr>
          <w:rFonts w:ascii="新宋体" w:hAnsi="新宋体" w:eastAsia="新宋体"/>
          <w:szCs w:val="21"/>
        </w:rPr>
      </w:pPr>
      <w:r>
        <w:rPr>
          <w:rFonts w:hint="eastAsia" w:ascii="新宋体" w:hAnsi="新宋体" w:eastAsia="新宋体"/>
          <w:szCs w:val="21"/>
        </w:rPr>
        <w:t>8.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pPr>
        <w:spacing w:line="360" w:lineRule="auto"/>
        <w:ind w:firstLine="420" w:firstLineChars="200"/>
        <w:rPr>
          <w:rFonts w:ascii="新宋体" w:hAnsi="新宋体" w:eastAsia="新宋体"/>
          <w:szCs w:val="21"/>
        </w:rPr>
      </w:pPr>
      <w:r>
        <w:rPr>
          <w:rFonts w:hint="eastAsia" w:ascii="新宋体" w:hAnsi="新宋体" w:eastAsia="新宋体"/>
          <w:szCs w:val="21"/>
        </w:rPr>
        <w:t>9.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pPr>
        <w:spacing w:line="360" w:lineRule="auto"/>
        <w:ind w:firstLine="420" w:firstLineChars="200"/>
        <w:rPr>
          <w:rFonts w:ascii="新宋体" w:hAnsi="新宋体" w:eastAsia="新宋体"/>
          <w:szCs w:val="21"/>
        </w:rPr>
      </w:pPr>
      <w:r>
        <w:rPr>
          <w:rFonts w:hint="eastAsia" w:ascii="新宋体" w:hAnsi="新宋体" w:eastAsia="新宋体"/>
          <w:szCs w:val="21"/>
        </w:rPr>
        <w:t>10.我公司承诺不非法转包、分包。</w:t>
      </w:r>
    </w:p>
    <w:p>
      <w:pPr>
        <w:spacing w:line="360" w:lineRule="auto"/>
        <w:ind w:firstLine="420" w:firstLineChars="200"/>
        <w:rPr>
          <w:rFonts w:ascii="新宋体" w:hAnsi="新宋体" w:eastAsia="新宋体"/>
          <w:szCs w:val="21"/>
        </w:rPr>
      </w:pPr>
      <w:r>
        <w:rPr>
          <w:rFonts w:hint="eastAsia" w:ascii="新宋体" w:hAnsi="新宋体" w:eastAsia="新宋体"/>
          <w:szCs w:val="21"/>
        </w:rPr>
        <w:t>以上承诺，如有违反，愿依照国家相关法律处理，并承担由此给采购人带来的损失。</w:t>
      </w:r>
    </w:p>
    <w:p>
      <w:pPr>
        <w:spacing w:before="60" w:beforeLines="25" w:after="60" w:afterLines="25" w:line="360" w:lineRule="auto"/>
        <w:ind w:firstLine="5460" w:firstLineChars="2600"/>
        <w:rPr>
          <w:rFonts w:ascii="新宋体" w:hAnsi="新宋体" w:eastAsia="新宋体"/>
          <w:szCs w:val="21"/>
        </w:rPr>
      </w:pPr>
      <w:r>
        <w:rPr>
          <w:rFonts w:hint="eastAsia" w:ascii="新宋体" w:hAnsi="新宋体" w:eastAsia="新宋体"/>
          <w:szCs w:val="21"/>
        </w:rPr>
        <w:t xml:space="preserve">                                    </w:t>
      </w:r>
    </w:p>
    <w:p>
      <w:pPr>
        <w:spacing w:before="60" w:beforeLines="25" w:after="60" w:afterLines="25" w:line="360" w:lineRule="auto"/>
        <w:ind w:firstLine="5460" w:firstLineChars="2600"/>
        <w:rPr>
          <w:rFonts w:ascii="新宋体" w:hAnsi="新宋体" w:eastAsia="新宋体"/>
          <w:color w:val="FF0000"/>
        </w:rPr>
      </w:pPr>
      <w:r>
        <w:rPr>
          <w:rFonts w:hint="eastAsia" w:ascii="新宋体" w:hAnsi="新宋体" w:eastAsia="新宋体"/>
          <w:color w:val="FF0000"/>
          <w:szCs w:val="21"/>
        </w:rPr>
        <w:t>投标人：</w:t>
      </w:r>
      <w:r>
        <w:rPr>
          <w:rFonts w:hint="eastAsia" w:ascii="新宋体" w:hAnsi="新宋体" w:eastAsia="新宋体"/>
          <w:color w:val="FF0000"/>
          <w:szCs w:val="21"/>
          <w:u w:val="single"/>
        </w:rPr>
        <w:t xml:space="preserve">              </w:t>
      </w:r>
    </w:p>
    <w:p>
      <w:pPr>
        <w:spacing w:line="360" w:lineRule="auto"/>
        <w:ind w:firstLine="645"/>
        <w:rPr>
          <w:rFonts w:ascii="新宋体" w:hAnsi="新宋体" w:eastAsia="新宋体"/>
          <w:color w:val="FF0000"/>
          <w:szCs w:val="21"/>
        </w:rPr>
      </w:pPr>
      <w:r>
        <w:rPr>
          <w:rFonts w:hint="eastAsia" w:ascii="新宋体" w:hAnsi="新宋体" w:eastAsia="新宋体"/>
          <w:color w:val="FF0000"/>
          <w:szCs w:val="21"/>
        </w:rPr>
        <w:t xml:space="preserve">                                              日期：</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年</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月</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日</w:t>
      </w:r>
    </w:p>
    <w:p>
      <w:pPr>
        <w:ind w:firstLine="645"/>
        <w:rPr>
          <w:rFonts w:ascii="宋体" w:hAnsi="宋体"/>
          <w:szCs w:val="21"/>
        </w:rPr>
      </w:pPr>
    </w:p>
    <w:p>
      <w:pPr>
        <w:ind w:firstLine="645"/>
        <w:rPr>
          <w:rFonts w:ascii="宋体" w:hAnsi="宋体"/>
          <w:szCs w:val="21"/>
        </w:rPr>
      </w:pPr>
    </w:p>
    <w:p>
      <w:pPr>
        <w:ind w:firstLine="645"/>
        <w:rPr>
          <w:rFonts w:ascii="宋体" w:hAnsi="宋体"/>
          <w:szCs w:val="21"/>
        </w:rPr>
      </w:pPr>
    </w:p>
    <w:p>
      <w:pPr>
        <w:ind w:firstLine="645"/>
        <w:rPr>
          <w:rFonts w:ascii="宋体"/>
          <w:b/>
          <w:szCs w:val="21"/>
        </w:rPr>
      </w:pPr>
    </w:p>
    <w:p>
      <w:pPr>
        <w:pStyle w:val="3"/>
        <w:jc w:val="center"/>
        <w:rPr>
          <w:rFonts w:ascii="黑体" w:eastAsia="黑体"/>
          <w:b w:val="0"/>
          <w:sz w:val="24"/>
          <w:szCs w:val="24"/>
        </w:rPr>
      </w:pPr>
      <w:r>
        <w:rPr>
          <w:rFonts w:hint="eastAsia" w:ascii="黑体" w:eastAsia="黑体"/>
          <w:b w:val="0"/>
          <w:sz w:val="24"/>
          <w:szCs w:val="24"/>
        </w:rPr>
        <w:t>三、分项报价清单</w:t>
      </w:r>
    </w:p>
    <w:p>
      <w:pPr>
        <w:numPr>
          <w:ilvl w:val="0"/>
          <w:numId w:val="10"/>
        </w:numPr>
        <w:jc w:val="center"/>
        <w:rPr>
          <w:b/>
          <w:sz w:val="24"/>
        </w:rPr>
      </w:pPr>
      <w:r>
        <w:rPr>
          <w:rFonts w:hint="eastAsia"/>
          <w:b/>
          <w:sz w:val="24"/>
        </w:rPr>
        <w:t>项目报价表</w:t>
      </w:r>
    </w:p>
    <w:p/>
    <w:tbl>
      <w:tblPr>
        <w:tblStyle w:val="43"/>
        <w:tblW w:w="10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52"/>
        <w:gridCol w:w="1080"/>
        <w:gridCol w:w="1440"/>
        <w:gridCol w:w="900"/>
        <w:gridCol w:w="876"/>
        <w:gridCol w:w="564"/>
        <w:gridCol w:w="900"/>
        <w:gridCol w:w="900"/>
        <w:gridCol w:w="900"/>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jc w:val="center"/>
              <w:rPr>
                <w:rFonts w:ascii="新宋体" w:hAnsi="新宋体" w:eastAsia="新宋体"/>
                <w:szCs w:val="21"/>
              </w:rPr>
            </w:pPr>
            <w:r>
              <w:rPr>
                <w:rFonts w:hint="eastAsia" w:ascii="新宋体" w:hAnsi="新宋体" w:eastAsia="新宋体"/>
                <w:szCs w:val="21"/>
              </w:rPr>
              <w:t>序号</w:t>
            </w:r>
          </w:p>
        </w:tc>
        <w:tc>
          <w:tcPr>
            <w:tcW w:w="1852" w:type="dxa"/>
            <w:vAlign w:val="center"/>
          </w:tcPr>
          <w:p>
            <w:pPr>
              <w:jc w:val="center"/>
              <w:rPr>
                <w:rFonts w:ascii="新宋体" w:hAnsi="新宋体" w:eastAsia="新宋体"/>
                <w:szCs w:val="21"/>
              </w:rPr>
            </w:pPr>
            <w:r>
              <w:rPr>
                <w:rFonts w:hint="eastAsia" w:ascii="新宋体" w:hAnsi="新宋体" w:eastAsia="新宋体"/>
                <w:szCs w:val="21"/>
              </w:rPr>
              <w:t>采购计划编号</w:t>
            </w:r>
          </w:p>
        </w:tc>
        <w:tc>
          <w:tcPr>
            <w:tcW w:w="1080" w:type="dxa"/>
            <w:vAlign w:val="center"/>
          </w:tcPr>
          <w:p>
            <w:pPr>
              <w:jc w:val="center"/>
              <w:rPr>
                <w:rFonts w:ascii="新宋体" w:hAnsi="新宋体" w:eastAsia="新宋体"/>
                <w:szCs w:val="21"/>
              </w:rPr>
            </w:pPr>
            <w:r>
              <w:rPr>
                <w:rFonts w:hint="eastAsia" w:ascii="新宋体" w:hAnsi="新宋体" w:eastAsia="新宋体"/>
                <w:szCs w:val="21"/>
              </w:rPr>
              <w:t>货物名称</w:t>
            </w:r>
          </w:p>
        </w:tc>
        <w:tc>
          <w:tcPr>
            <w:tcW w:w="1440" w:type="dxa"/>
            <w:vAlign w:val="center"/>
          </w:tcPr>
          <w:p>
            <w:pPr>
              <w:jc w:val="center"/>
              <w:rPr>
                <w:rFonts w:ascii="新宋体" w:hAnsi="新宋体" w:eastAsia="新宋体"/>
                <w:szCs w:val="21"/>
              </w:rPr>
            </w:pPr>
            <w:r>
              <w:rPr>
                <w:rFonts w:hint="eastAsia" w:ascii="新宋体" w:hAnsi="新宋体" w:eastAsia="新宋体"/>
                <w:szCs w:val="21"/>
              </w:rPr>
              <w:t>规格/型号</w:t>
            </w:r>
          </w:p>
        </w:tc>
        <w:tc>
          <w:tcPr>
            <w:tcW w:w="900" w:type="dxa"/>
            <w:vAlign w:val="center"/>
          </w:tcPr>
          <w:p>
            <w:pPr>
              <w:jc w:val="center"/>
              <w:rPr>
                <w:rFonts w:ascii="新宋体" w:hAnsi="新宋体" w:eastAsia="新宋体"/>
                <w:b/>
                <w:color w:val="FF0000"/>
                <w:szCs w:val="21"/>
              </w:rPr>
            </w:pPr>
            <w:r>
              <w:rPr>
                <w:rFonts w:hint="eastAsia" w:ascii="新宋体" w:hAnsi="新宋体" w:eastAsia="新宋体"/>
                <w:b/>
                <w:color w:val="FF0000"/>
                <w:szCs w:val="21"/>
              </w:rPr>
              <w:t>原产地</w:t>
            </w:r>
          </w:p>
        </w:tc>
        <w:tc>
          <w:tcPr>
            <w:tcW w:w="876" w:type="dxa"/>
            <w:vAlign w:val="center"/>
          </w:tcPr>
          <w:p>
            <w:pPr>
              <w:jc w:val="center"/>
              <w:rPr>
                <w:rFonts w:ascii="新宋体" w:hAnsi="新宋体" w:eastAsia="新宋体"/>
                <w:szCs w:val="21"/>
              </w:rPr>
            </w:pPr>
            <w:r>
              <w:rPr>
                <w:rFonts w:hint="eastAsia" w:ascii="新宋体" w:hAnsi="新宋体" w:eastAsia="新宋体"/>
                <w:szCs w:val="21"/>
              </w:rPr>
              <w:t>制造商名称</w:t>
            </w:r>
          </w:p>
        </w:tc>
        <w:tc>
          <w:tcPr>
            <w:tcW w:w="564" w:type="dxa"/>
            <w:vAlign w:val="center"/>
          </w:tcPr>
          <w:p>
            <w:pPr>
              <w:jc w:val="center"/>
              <w:rPr>
                <w:rFonts w:ascii="新宋体" w:hAnsi="新宋体" w:eastAsia="新宋体"/>
                <w:szCs w:val="21"/>
              </w:rPr>
            </w:pPr>
            <w:r>
              <w:rPr>
                <w:rFonts w:hint="eastAsia" w:ascii="新宋体" w:hAnsi="新宋体" w:eastAsia="新宋体"/>
                <w:szCs w:val="21"/>
              </w:rPr>
              <w:t>数量</w:t>
            </w:r>
          </w:p>
        </w:tc>
        <w:tc>
          <w:tcPr>
            <w:tcW w:w="900" w:type="dxa"/>
            <w:vAlign w:val="center"/>
          </w:tcPr>
          <w:p>
            <w:pPr>
              <w:jc w:val="center"/>
              <w:rPr>
                <w:rFonts w:ascii="新宋体" w:hAnsi="新宋体" w:eastAsia="新宋体"/>
                <w:szCs w:val="21"/>
              </w:rPr>
            </w:pPr>
            <w:r>
              <w:rPr>
                <w:rFonts w:hint="eastAsia" w:ascii="新宋体" w:hAnsi="新宋体" w:eastAsia="新宋体"/>
                <w:szCs w:val="21"/>
              </w:rPr>
              <w:t>单位</w:t>
            </w:r>
          </w:p>
        </w:tc>
        <w:tc>
          <w:tcPr>
            <w:tcW w:w="900" w:type="dxa"/>
            <w:vAlign w:val="center"/>
          </w:tcPr>
          <w:p>
            <w:pPr>
              <w:jc w:val="center"/>
              <w:rPr>
                <w:rFonts w:ascii="新宋体" w:hAnsi="新宋体" w:eastAsia="新宋体"/>
                <w:szCs w:val="21"/>
              </w:rPr>
            </w:pPr>
            <w:r>
              <w:rPr>
                <w:rFonts w:hint="eastAsia" w:ascii="新宋体" w:hAnsi="新宋体" w:eastAsia="新宋体"/>
                <w:szCs w:val="21"/>
              </w:rPr>
              <w:t>单价(元)</w:t>
            </w:r>
          </w:p>
        </w:tc>
        <w:tc>
          <w:tcPr>
            <w:tcW w:w="900" w:type="dxa"/>
            <w:vAlign w:val="center"/>
          </w:tcPr>
          <w:p>
            <w:pPr>
              <w:jc w:val="center"/>
              <w:rPr>
                <w:rFonts w:ascii="新宋体" w:hAnsi="新宋体" w:eastAsia="新宋体"/>
                <w:szCs w:val="21"/>
              </w:rPr>
            </w:pPr>
            <w:r>
              <w:rPr>
                <w:rFonts w:hint="eastAsia" w:ascii="新宋体" w:hAnsi="新宋体" w:eastAsia="新宋体"/>
                <w:szCs w:val="21"/>
              </w:rPr>
              <w:t>合价(元)</w:t>
            </w:r>
          </w:p>
        </w:tc>
        <w:tc>
          <w:tcPr>
            <w:tcW w:w="956" w:type="dxa"/>
            <w:vAlign w:val="center"/>
          </w:tcPr>
          <w:p>
            <w:pPr>
              <w:jc w:val="center"/>
              <w:rPr>
                <w:rFonts w:ascii="新宋体" w:hAnsi="新宋体" w:eastAsia="新宋体"/>
                <w:szCs w:val="21"/>
              </w:rPr>
            </w:pPr>
            <w:r>
              <w:rPr>
                <w:rFonts w:hint="eastAsia" w:ascii="新宋体" w:hAnsi="新宋体" w:eastAsia="新宋体"/>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pPr>
              <w:rPr>
                <w:rFonts w:ascii="新宋体" w:hAnsi="新宋体" w:eastAsia="新宋体"/>
                <w:szCs w:val="21"/>
              </w:rPr>
            </w:pPr>
          </w:p>
        </w:tc>
        <w:tc>
          <w:tcPr>
            <w:tcW w:w="1852" w:type="dxa"/>
          </w:tcPr>
          <w:p>
            <w:pPr>
              <w:rPr>
                <w:rFonts w:ascii="新宋体" w:hAnsi="新宋体" w:eastAsia="新宋体"/>
                <w:szCs w:val="21"/>
              </w:rPr>
            </w:pPr>
          </w:p>
        </w:tc>
        <w:tc>
          <w:tcPr>
            <w:tcW w:w="1080" w:type="dxa"/>
          </w:tcPr>
          <w:p>
            <w:pPr>
              <w:rPr>
                <w:rFonts w:ascii="新宋体" w:hAnsi="新宋体" w:eastAsia="新宋体"/>
                <w:szCs w:val="21"/>
              </w:rPr>
            </w:pPr>
          </w:p>
        </w:tc>
        <w:tc>
          <w:tcPr>
            <w:tcW w:w="1440" w:type="dxa"/>
          </w:tcPr>
          <w:p>
            <w:pPr>
              <w:rPr>
                <w:rFonts w:ascii="新宋体" w:hAnsi="新宋体" w:eastAsia="新宋体"/>
                <w:szCs w:val="21"/>
              </w:rPr>
            </w:pPr>
          </w:p>
        </w:tc>
        <w:tc>
          <w:tcPr>
            <w:tcW w:w="900" w:type="dxa"/>
          </w:tcPr>
          <w:p>
            <w:pPr>
              <w:rPr>
                <w:rFonts w:ascii="新宋体" w:hAnsi="新宋体" w:eastAsia="新宋体"/>
                <w:szCs w:val="21"/>
              </w:rPr>
            </w:pPr>
          </w:p>
        </w:tc>
        <w:tc>
          <w:tcPr>
            <w:tcW w:w="876" w:type="dxa"/>
          </w:tcPr>
          <w:p>
            <w:pPr>
              <w:rPr>
                <w:rFonts w:ascii="新宋体" w:hAnsi="新宋体" w:eastAsia="新宋体"/>
                <w:szCs w:val="21"/>
              </w:rPr>
            </w:pPr>
          </w:p>
        </w:tc>
        <w:tc>
          <w:tcPr>
            <w:tcW w:w="564"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00" w:type="dxa"/>
          </w:tcPr>
          <w:p>
            <w:pPr>
              <w:rPr>
                <w:rFonts w:ascii="新宋体" w:hAnsi="新宋体" w:eastAsia="新宋体"/>
                <w:szCs w:val="21"/>
              </w:rPr>
            </w:pPr>
          </w:p>
        </w:tc>
        <w:tc>
          <w:tcPr>
            <w:tcW w:w="956"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08" w:type="dxa"/>
            <w:gridSpan w:val="11"/>
          </w:tcPr>
          <w:p>
            <w:pPr>
              <w:rPr>
                <w:rFonts w:ascii="新宋体" w:hAnsi="新宋体" w:eastAsia="新宋体"/>
                <w:szCs w:val="21"/>
              </w:rPr>
            </w:pPr>
            <w:r>
              <w:rPr>
                <w:rFonts w:hint="eastAsia" w:ascii="新宋体" w:hAnsi="新宋体" w:eastAsia="新宋体"/>
                <w:szCs w:val="21"/>
              </w:rPr>
              <w:t>合计（即：投标总价；币种：人民币；单位：元）：</w:t>
            </w:r>
            <w:r>
              <w:rPr>
                <w:rFonts w:hint="eastAsia" w:ascii="新宋体" w:hAnsi="新宋体" w:eastAsia="新宋体"/>
                <w:color w:val="FF0000"/>
                <w:szCs w:val="21"/>
              </w:rPr>
              <w:t>大写：</w:t>
            </w:r>
          </w:p>
        </w:tc>
      </w:tr>
    </w:tbl>
    <w:p>
      <w:pPr>
        <w:rPr>
          <w:rFonts w:ascii="宋体" w:hAnsi="宋体"/>
          <w:szCs w:val="21"/>
        </w:rPr>
      </w:pPr>
    </w:p>
    <w:p>
      <w:pPr>
        <w:spacing w:line="360" w:lineRule="auto"/>
        <w:rPr>
          <w:rFonts w:ascii="新宋体" w:hAnsi="新宋体" w:eastAsia="新宋体"/>
          <w:b/>
          <w:color w:val="FF0000"/>
          <w:szCs w:val="21"/>
        </w:rPr>
      </w:pPr>
      <w:r>
        <w:rPr>
          <w:rFonts w:hint="eastAsia" w:ascii="新宋体" w:hAnsi="新宋体" w:eastAsia="新宋体"/>
          <w:b/>
          <w:color w:val="FF0000"/>
          <w:szCs w:val="21"/>
        </w:rPr>
        <w:t>注：1. 请根据“第二章 招标项目需求” “二、货物清单”填写；本表格式不得修改。</w:t>
      </w:r>
    </w:p>
    <w:p>
      <w:pPr>
        <w:spacing w:line="360" w:lineRule="auto"/>
        <w:rPr>
          <w:rFonts w:ascii="新宋体" w:hAnsi="新宋体" w:eastAsia="新宋体"/>
          <w:b/>
          <w:color w:val="FF0000"/>
          <w:szCs w:val="21"/>
        </w:rPr>
      </w:pPr>
      <w:r>
        <w:rPr>
          <w:rFonts w:ascii="新宋体" w:hAnsi="新宋体" w:eastAsia="新宋体"/>
          <w:b/>
          <w:color w:val="FF0000"/>
          <w:szCs w:val="21"/>
        </w:rPr>
        <w:t xml:space="preserve">    2</w:t>
      </w:r>
      <w:r>
        <w:rPr>
          <w:rFonts w:hint="eastAsia" w:ascii="新宋体" w:hAnsi="新宋体" w:eastAsia="新宋体"/>
          <w:b/>
          <w:color w:val="FF0000"/>
          <w:szCs w:val="21"/>
        </w:rPr>
        <w:t>. 所有价格应按“招标文件”中规定的货币单位填写；投标总价应为以上各分项价格之和；投标总价和项目报价表中单个采购预算条目报价均不得超过对应的财政预算限额，否则将导致无效投标。</w:t>
      </w:r>
    </w:p>
    <w:p>
      <w:pPr>
        <w:spacing w:line="360" w:lineRule="auto"/>
        <w:ind w:firstLine="422" w:firstLineChars="200"/>
        <w:rPr>
          <w:rFonts w:ascii="新宋体" w:hAnsi="新宋体" w:eastAsia="新宋体"/>
          <w:b/>
          <w:color w:val="FF0000"/>
          <w:szCs w:val="21"/>
        </w:rPr>
      </w:pPr>
      <w:r>
        <w:rPr>
          <w:rFonts w:hint="eastAsia" w:ascii="新宋体" w:hAnsi="新宋体" w:eastAsia="新宋体"/>
          <w:b/>
          <w:color w:val="FF0000"/>
          <w:szCs w:val="21"/>
        </w:rPr>
        <w:t>3.</w:t>
      </w:r>
      <w:r>
        <w:rPr>
          <w:rFonts w:ascii="新宋体" w:hAnsi="新宋体" w:eastAsia="新宋体"/>
          <w:b/>
          <w:color w:val="FF0000"/>
          <w:szCs w:val="21"/>
        </w:rPr>
        <w:t xml:space="preserve"> </w:t>
      </w:r>
      <w:r>
        <w:rPr>
          <w:rFonts w:hint="eastAsia" w:ascii="新宋体" w:hAnsi="新宋体" w:eastAsia="新宋体"/>
          <w:b/>
          <w:color w:val="FF0000"/>
          <w:szCs w:val="21"/>
        </w:rPr>
        <w:t>单价、合价和投标总价为包干价，即三者均应包含设备的价款、包装、运输、装卸、安装、调试、技术指导、培训、咨询、服务、保险、税费、检测、验收合格交付使用之前以及技术和售后服务等其他各项有关费用。</w:t>
      </w:r>
    </w:p>
    <w:p>
      <w:pPr>
        <w:spacing w:line="360" w:lineRule="auto"/>
        <w:ind w:firstLine="422" w:firstLineChars="200"/>
        <w:rPr>
          <w:rFonts w:ascii="新宋体" w:hAnsi="新宋体" w:eastAsia="新宋体"/>
          <w:b/>
          <w:color w:val="FF0000"/>
          <w:szCs w:val="21"/>
        </w:rPr>
      </w:pPr>
      <w:r>
        <w:rPr>
          <w:rFonts w:hint="eastAsia" w:ascii="新宋体" w:hAnsi="新宋体" w:eastAsia="新宋体"/>
          <w:b/>
          <w:color w:val="FF0000"/>
          <w:szCs w:val="21"/>
        </w:rPr>
        <w:t>4.</w:t>
      </w:r>
      <w:r>
        <w:rPr>
          <w:rFonts w:ascii="新宋体" w:hAnsi="新宋体" w:eastAsia="新宋体"/>
          <w:b/>
          <w:color w:val="FF0000"/>
          <w:szCs w:val="21"/>
        </w:rPr>
        <w:t xml:space="preserve"> </w:t>
      </w:r>
      <w:r>
        <w:rPr>
          <w:rFonts w:hint="eastAsia" w:ascii="新宋体" w:hAnsi="新宋体" w:eastAsia="新宋体"/>
          <w:b/>
          <w:color w:val="FF0000"/>
          <w:szCs w:val="21"/>
        </w:rPr>
        <w:t>开标一览表的投标总价应当与项目报价表的投标总价一致。</w:t>
      </w:r>
    </w:p>
    <w:p>
      <w:pPr>
        <w:spacing w:line="360" w:lineRule="auto"/>
        <w:ind w:firstLine="413" w:firstLineChars="196"/>
        <w:rPr>
          <w:rFonts w:ascii="新宋体" w:hAnsi="新宋体" w:eastAsia="新宋体"/>
          <w:b/>
          <w:color w:val="FF0000"/>
          <w:szCs w:val="21"/>
        </w:rPr>
      </w:pPr>
      <w:r>
        <w:rPr>
          <w:rFonts w:hint="eastAsia" w:ascii="新宋体" w:hAnsi="新宋体" w:eastAsia="新宋体"/>
          <w:b/>
          <w:color w:val="FF0000"/>
          <w:szCs w:val="21"/>
        </w:rPr>
        <w:t>5.</w:t>
      </w:r>
      <w:r>
        <w:rPr>
          <w:rFonts w:ascii="新宋体" w:hAnsi="新宋体" w:eastAsia="新宋体"/>
          <w:b/>
          <w:color w:val="FF0000"/>
          <w:szCs w:val="21"/>
        </w:rPr>
        <w:t xml:space="preserve"> </w:t>
      </w:r>
      <w:r>
        <w:rPr>
          <w:rFonts w:hint="eastAsia" w:ascii="新宋体" w:hAnsi="新宋体" w:eastAsia="新宋体"/>
          <w:b/>
          <w:color w:val="FF0000"/>
          <w:szCs w:val="21"/>
        </w:rPr>
        <w:t>“原产地”是指该产品的实际生产加工地，而非品牌总公司所在地。</w:t>
      </w:r>
    </w:p>
    <w:p>
      <w:pPr>
        <w:spacing w:line="360" w:lineRule="auto"/>
        <w:ind w:firstLine="413" w:firstLineChars="196"/>
        <w:rPr>
          <w:rFonts w:ascii="新宋体" w:hAnsi="新宋体" w:eastAsia="新宋体"/>
          <w:b/>
          <w:color w:val="FF0000"/>
          <w:szCs w:val="21"/>
        </w:rPr>
      </w:pPr>
      <w:r>
        <w:rPr>
          <w:rFonts w:hint="eastAsia" w:ascii="新宋体" w:hAnsi="新宋体" w:eastAsia="新宋体"/>
          <w:b/>
          <w:color w:val="FF0000"/>
          <w:szCs w:val="21"/>
        </w:rPr>
        <w:t>6.</w:t>
      </w:r>
      <w:r>
        <w:rPr>
          <w:rFonts w:hint="eastAsia" w:ascii="新宋体" w:hAnsi="新宋体" w:eastAsia="新宋体"/>
          <w:szCs w:val="21"/>
        </w:rPr>
        <w:t xml:space="preserve"> </w:t>
      </w:r>
      <w:r>
        <w:rPr>
          <w:rFonts w:hint="eastAsia" w:ascii="新宋体" w:hAnsi="新宋体" w:eastAsia="新宋体"/>
          <w:b/>
          <w:color w:val="FF0000"/>
          <w:szCs w:val="21"/>
        </w:rPr>
        <w:t>详细填写所投货物的制造商名称；若如所投产品属于定制类的非量产货物或无具体型号的货物，可以不填写型号等信息，但应当标注投标产品为定制产品。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ind w:firstLine="482" w:firstLineChars="200"/>
        <w:rPr>
          <w:rFonts w:ascii="宋体" w:hAnsi="宋体"/>
          <w:b/>
          <w:color w:val="FF0000"/>
          <w:sz w:val="24"/>
        </w:rPr>
      </w:pPr>
    </w:p>
    <w:p>
      <w:pPr>
        <w:numPr>
          <w:ilvl w:val="0"/>
          <w:numId w:val="10"/>
        </w:numPr>
        <w:ind w:left="482" w:hanging="482"/>
        <w:jc w:val="center"/>
        <w:rPr>
          <w:rFonts w:ascii="新宋体" w:hAnsi="新宋体" w:eastAsia="新宋体"/>
          <w:b/>
          <w:szCs w:val="21"/>
        </w:rPr>
      </w:pPr>
      <w:r>
        <w:rPr>
          <w:rFonts w:hint="eastAsia" w:ascii="新宋体" w:hAnsi="新宋体" w:eastAsia="新宋体"/>
          <w:b/>
          <w:szCs w:val="21"/>
        </w:rPr>
        <w:t>核心产品的品牌情况</w:t>
      </w:r>
    </w:p>
    <w:p>
      <w:pPr>
        <w:ind w:firstLine="422" w:firstLineChars="200"/>
        <w:rPr>
          <w:rFonts w:ascii="新宋体" w:hAnsi="新宋体" w:eastAsia="新宋体"/>
          <w:b/>
          <w:color w:val="FF0000"/>
          <w:szCs w:val="21"/>
        </w:rPr>
      </w:pPr>
    </w:p>
    <w:p>
      <w:pPr>
        <w:ind w:firstLine="422" w:firstLineChars="200"/>
        <w:rPr>
          <w:rFonts w:ascii="新宋体" w:hAnsi="新宋体" w:eastAsia="新宋体"/>
          <w:b/>
          <w:color w:val="FF0000"/>
          <w:szCs w:val="21"/>
        </w:rPr>
      </w:pPr>
      <w:r>
        <w:rPr>
          <w:rFonts w:hint="eastAsia" w:ascii="新宋体" w:hAnsi="新宋体" w:eastAsia="新宋体"/>
          <w:b/>
          <w:color w:val="FF0000"/>
          <w:szCs w:val="21"/>
        </w:rPr>
        <w:t>我公司所投核心产品的品牌为：</w:t>
      </w:r>
      <w:r>
        <w:rPr>
          <w:rFonts w:hint="eastAsia" w:ascii="新宋体" w:hAnsi="新宋体" w:eastAsia="新宋体"/>
          <w:b/>
          <w:color w:val="FF0000"/>
          <w:szCs w:val="21"/>
          <w:u w:val="single"/>
        </w:rPr>
        <w:t xml:space="preserve">               </w:t>
      </w:r>
      <w:r>
        <w:rPr>
          <w:rFonts w:hint="eastAsia" w:ascii="新宋体" w:hAnsi="新宋体" w:eastAsia="新宋体"/>
          <w:b/>
          <w:color w:val="FF0000"/>
          <w:szCs w:val="21"/>
        </w:rPr>
        <w:t>。</w:t>
      </w:r>
    </w:p>
    <w:p>
      <w:pPr>
        <w:ind w:firstLine="422" w:firstLineChars="200"/>
        <w:rPr>
          <w:rFonts w:ascii="新宋体" w:hAnsi="新宋体" w:eastAsia="新宋体"/>
          <w:b/>
          <w:color w:val="FF0000"/>
          <w:szCs w:val="21"/>
        </w:rPr>
      </w:pPr>
    </w:p>
    <w:p>
      <w:pPr>
        <w:ind w:firstLine="420" w:firstLineChars="200"/>
        <w:rPr>
          <w:rFonts w:ascii="新宋体" w:hAnsi="新宋体" w:eastAsia="新宋体"/>
          <w:szCs w:val="21"/>
        </w:rPr>
      </w:pPr>
      <w:r>
        <w:rPr>
          <w:rFonts w:hint="eastAsia" w:ascii="新宋体" w:hAnsi="新宋体" w:eastAsia="新宋体"/>
          <w:szCs w:val="21"/>
        </w:rPr>
        <w:t>备注：招标文件未列明核心产品的，无需填写该项。</w:t>
      </w:r>
    </w:p>
    <w:p>
      <w:pPr>
        <w:ind w:firstLine="422" w:firstLineChars="200"/>
        <w:rPr>
          <w:rFonts w:ascii="新宋体" w:hAnsi="新宋体" w:eastAsia="新宋体"/>
          <w:b/>
          <w:color w:val="FF0000"/>
          <w:szCs w:val="21"/>
        </w:rPr>
      </w:pPr>
    </w:p>
    <w:p>
      <w:pPr>
        <w:ind w:firstLine="422" w:firstLineChars="200"/>
        <w:rPr>
          <w:rFonts w:ascii="新宋体" w:hAnsi="新宋体" w:eastAsia="新宋体"/>
          <w:b/>
          <w:color w:val="FF0000"/>
          <w:szCs w:val="21"/>
        </w:rPr>
      </w:pPr>
    </w:p>
    <w:p>
      <w:pPr>
        <w:rPr>
          <w:rFonts w:ascii="新宋体" w:hAnsi="新宋体" w:eastAsia="新宋体"/>
          <w:b/>
          <w:szCs w:val="21"/>
        </w:rPr>
      </w:pPr>
    </w:p>
    <w:p>
      <w:pPr>
        <w:numPr>
          <w:ilvl w:val="0"/>
          <w:numId w:val="10"/>
        </w:numPr>
        <w:ind w:left="482" w:hanging="482"/>
        <w:jc w:val="center"/>
        <w:rPr>
          <w:rFonts w:ascii="新宋体" w:hAnsi="新宋体" w:eastAsia="新宋体"/>
          <w:b/>
          <w:szCs w:val="21"/>
        </w:rPr>
      </w:pPr>
      <w:r>
        <w:rPr>
          <w:rFonts w:hint="eastAsia" w:ascii="新宋体" w:hAnsi="新宋体" w:eastAsia="新宋体"/>
          <w:b/>
          <w:szCs w:val="21"/>
        </w:rPr>
        <w:t>可选配件报价清单（不包括在总报价内）</w:t>
      </w:r>
    </w:p>
    <w:p>
      <w:pPr>
        <w:ind w:firstLine="422" w:firstLineChars="200"/>
        <w:rPr>
          <w:rFonts w:ascii="新宋体" w:hAnsi="新宋体" w:eastAsia="新宋体"/>
          <w:b/>
          <w:bCs/>
          <w:szCs w:val="21"/>
        </w:rPr>
      </w:pPr>
      <w:r>
        <w:rPr>
          <w:rFonts w:hint="eastAsia" w:ascii="新宋体" w:hAnsi="新宋体" w:eastAsia="新宋体"/>
          <w:b/>
          <w:bCs/>
          <w:szCs w:val="21"/>
        </w:rPr>
        <w:t>注：格式参照《（一）项目报价表》表格，但须提供相应的品牌（没有品牌的，可提供制造商名称）、规格型号、原产地、单价等详细信息</w:t>
      </w:r>
    </w:p>
    <w:p>
      <w:pPr>
        <w:ind w:firstLine="422" w:firstLineChars="200"/>
        <w:rPr>
          <w:rFonts w:ascii="新宋体" w:hAnsi="新宋体" w:eastAsia="新宋体"/>
          <w:b/>
          <w:bCs/>
          <w:szCs w:val="21"/>
        </w:rPr>
      </w:pPr>
    </w:p>
    <w:p>
      <w:pPr>
        <w:ind w:firstLine="422" w:firstLineChars="200"/>
        <w:rPr>
          <w:rFonts w:ascii="新宋体" w:hAnsi="新宋体" w:eastAsia="新宋体"/>
          <w:b/>
          <w:bCs/>
          <w:szCs w:val="21"/>
        </w:rPr>
      </w:pPr>
    </w:p>
    <w:p>
      <w:pPr>
        <w:numPr>
          <w:ilvl w:val="0"/>
          <w:numId w:val="10"/>
        </w:numPr>
        <w:ind w:left="482" w:hanging="482"/>
        <w:jc w:val="center"/>
        <w:rPr>
          <w:rFonts w:ascii="新宋体" w:hAnsi="新宋体" w:eastAsia="新宋体"/>
          <w:b/>
          <w:szCs w:val="21"/>
        </w:rPr>
      </w:pPr>
      <w:r>
        <w:rPr>
          <w:rFonts w:hint="eastAsia" w:ascii="新宋体" w:hAnsi="新宋体" w:eastAsia="新宋体"/>
          <w:b/>
          <w:szCs w:val="21"/>
        </w:rPr>
        <w:t>供应商认为需要涉及的其他内容报价清单</w:t>
      </w:r>
    </w:p>
    <w:p>
      <w:pPr>
        <w:ind w:firstLine="422" w:firstLineChars="200"/>
        <w:jc w:val="center"/>
        <w:rPr>
          <w:rFonts w:ascii="新宋体" w:hAnsi="新宋体" w:eastAsia="新宋体"/>
          <w:b/>
          <w:bCs/>
          <w:szCs w:val="21"/>
        </w:rPr>
      </w:pPr>
    </w:p>
    <w:p>
      <w:pPr>
        <w:pStyle w:val="3"/>
        <w:jc w:val="center"/>
        <w:rPr>
          <w:rFonts w:ascii="新宋体" w:hAnsi="新宋体" w:eastAsia="新宋体"/>
          <w:b w:val="0"/>
          <w:sz w:val="21"/>
          <w:szCs w:val="21"/>
        </w:rPr>
      </w:pPr>
      <w:r>
        <w:rPr>
          <w:rFonts w:hint="eastAsia" w:ascii="新宋体" w:hAnsi="新宋体" w:eastAsia="新宋体"/>
          <w:b w:val="0"/>
          <w:sz w:val="21"/>
          <w:szCs w:val="21"/>
        </w:rPr>
        <w:t>四、投标人情况介绍</w:t>
      </w:r>
    </w:p>
    <w:p>
      <w:pPr>
        <w:rPr>
          <w:b/>
          <w:bCs/>
          <w:sz w:val="24"/>
        </w:rPr>
      </w:pPr>
    </w:p>
    <w:p>
      <w:pPr>
        <w:rPr>
          <w:b/>
          <w:bCs/>
          <w:sz w:val="24"/>
        </w:rPr>
      </w:pPr>
    </w:p>
    <w:p>
      <w:pPr>
        <w:spacing w:line="360" w:lineRule="auto"/>
        <w:rPr>
          <w:rFonts w:ascii="新宋体" w:hAnsi="新宋体" w:eastAsia="新宋体"/>
          <w:b/>
          <w:bCs/>
          <w:szCs w:val="21"/>
        </w:rPr>
      </w:pPr>
    </w:p>
    <w:p>
      <w:pPr>
        <w:spacing w:line="360" w:lineRule="auto"/>
        <w:outlineLvl w:val="3"/>
        <w:rPr>
          <w:rFonts w:ascii="新宋体" w:hAnsi="新宋体" w:eastAsia="新宋体"/>
          <w:b/>
          <w:bCs/>
          <w:szCs w:val="21"/>
        </w:rPr>
      </w:pPr>
      <w:r>
        <w:rPr>
          <w:rFonts w:hint="eastAsia" w:ascii="新宋体" w:hAnsi="新宋体" w:eastAsia="新宋体"/>
          <w:b/>
          <w:bCs/>
          <w:szCs w:val="21"/>
        </w:rPr>
        <w:t>（一）投标人</w:t>
      </w:r>
      <w:r>
        <w:rPr>
          <w:rFonts w:hint="eastAsia" w:ascii="新宋体" w:hAnsi="新宋体" w:eastAsia="新宋体"/>
          <w:b/>
          <w:szCs w:val="21"/>
        </w:rPr>
        <w:t>资格证明文件</w:t>
      </w:r>
    </w:p>
    <w:p>
      <w:pPr>
        <w:spacing w:before="120" w:beforeLines="50" w:line="360" w:lineRule="auto"/>
        <w:rPr>
          <w:rFonts w:ascii="新宋体" w:hAnsi="新宋体" w:eastAsia="新宋体"/>
          <w:b/>
          <w:bCs/>
          <w:color w:val="FF0000"/>
          <w:szCs w:val="21"/>
        </w:rPr>
      </w:pPr>
      <w:r>
        <w:rPr>
          <w:rFonts w:hint="eastAsia" w:ascii="新宋体" w:hAnsi="新宋体" w:eastAsia="新宋体"/>
          <w:b/>
          <w:bCs/>
          <w:color w:val="FF0000"/>
          <w:szCs w:val="21"/>
        </w:rPr>
        <w:t>（特别提示：投标人须按本招标文件第一章招标公告 “投标人资质要求”提供相关的资质证明，未提供或提供不完整、不符合要求的，投标文件将按无效投标处理。）</w:t>
      </w:r>
    </w:p>
    <w:p>
      <w:pPr>
        <w:spacing w:line="360" w:lineRule="auto"/>
        <w:rPr>
          <w:rFonts w:ascii="新宋体" w:hAnsi="新宋体" w:eastAsia="新宋体"/>
          <w:b/>
          <w:bCs/>
          <w:szCs w:val="21"/>
        </w:rPr>
      </w:pPr>
    </w:p>
    <w:p>
      <w:pPr>
        <w:spacing w:line="360" w:lineRule="auto"/>
        <w:rPr>
          <w:rFonts w:ascii="新宋体" w:hAnsi="新宋体" w:eastAsia="新宋体"/>
          <w:b/>
          <w:bCs/>
          <w:szCs w:val="21"/>
        </w:rPr>
      </w:pPr>
    </w:p>
    <w:p>
      <w:pPr>
        <w:spacing w:line="360" w:lineRule="auto"/>
        <w:rPr>
          <w:rFonts w:ascii="新宋体" w:hAnsi="新宋体" w:eastAsia="新宋体"/>
          <w:b/>
          <w:bCs/>
          <w:szCs w:val="21"/>
        </w:rPr>
      </w:pPr>
    </w:p>
    <w:p>
      <w:pPr>
        <w:spacing w:line="360" w:lineRule="auto"/>
        <w:outlineLvl w:val="3"/>
        <w:rPr>
          <w:rFonts w:ascii="新宋体" w:hAnsi="新宋体" w:eastAsia="新宋体"/>
          <w:b/>
          <w:szCs w:val="21"/>
        </w:rPr>
      </w:pPr>
      <w:r>
        <w:rPr>
          <w:rFonts w:hint="eastAsia" w:ascii="新宋体" w:hAnsi="新宋体" w:eastAsia="新宋体"/>
          <w:b/>
          <w:bCs/>
          <w:szCs w:val="21"/>
        </w:rPr>
        <w:t>（二）技术保障措施及</w:t>
      </w:r>
      <w:r>
        <w:rPr>
          <w:rFonts w:hint="eastAsia" w:ascii="新宋体" w:hAnsi="新宋体" w:eastAsia="新宋体"/>
          <w:b/>
          <w:szCs w:val="21"/>
        </w:rPr>
        <w:t>实施本项目的主要技术人员情况表（格式自定，可选）</w:t>
      </w:r>
    </w:p>
    <w:p>
      <w:pPr>
        <w:spacing w:line="360" w:lineRule="auto"/>
        <w:rPr>
          <w:rFonts w:ascii="新宋体" w:hAnsi="新宋体" w:eastAsia="新宋体"/>
          <w:b/>
          <w:bCs/>
          <w:color w:val="FF0000"/>
          <w:szCs w:val="21"/>
        </w:rPr>
      </w:pPr>
      <w:r>
        <w:rPr>
          <w:rFonts w:hint="eastAsia" w:ascii="新宋体" w:hAnsi="新宋体" w:eastAsia="新宋体"/>
          <w:b/>
          <w:bCs/>
          <w:color w:val="FF0000"/>
          <w:szCs w:val="21"/>
        </w:rPr>
        <w:t>（特别提示：投标人须按本招标文件评标信息中 “技术保障措施”这一评审因素要求，提供相关技术保障方案或其它证明资料）</w:t>
      </w:r>
    </w:p>
    <w:p>
      <w:pPr>
        <w:spacing w:line="360" w:lineRule="auto"/>
        <w:rPr>
          <w:rFonts w:ascii="新宋体" w:hAnsi="新宋体" w:eastAsia="新宋体"/>
          <w:b/>
          <w:bCs/>
          <w:szCs w:val="21"/>
        </w:rPr>
      </w:pPr>
    </w:p>
    <w:p>
      <w:pPr>
        <w:spacing w:line="360" w:lineRule="auto"/>
        <w:outlineLvl w:val="3"/>
        <w:rPr>
          <w:rFonts w:ascii="新宋体" w:hAnsi="新宋体" w:eastAsia="新宋体"/>
          <w:b/>
          <w:bCs/>
          <w:szCs w:val="21"/>
        </w:rPr>
      </w:pPr>
      <w:r>
        <w:rPr>
          <w:rFonts w:hint="eastAsia" w:ascii="新宋体" w:hAnsi="新宋体" w:eastAsia="新宋体"/>
          <w:b/>
          <w:bCs/>
          <w:szCs w:val="21"/>
        </w:rPr>
        <w:t>（三）施工安全保障措施（可选）</w:t>
      </w:r>
    </w:p>
    <w:p>
      <w:pPr>
        <w:spacing w:line="360" w:lineRule="auto"/>
        <w:rPr>
          <w:rFonts w:ascii="新宋体" w:hAnsi="新宋体" w:eastAsia="新宋体"/>
          <w:b/>
          <w:bCs/>
          <w:color w:val="FF0000"/>
          <w:szCs w:val="21"/>
        </w:rPr>
      </w:pPr>
      <w:r>
        <w:rPr>
          <w:rFonts w:hint="eastAsia" w:ascii="新宋体" w:hAnsi="新宋体" w:eastAsia="新宋体"/>
          <w:b/>
          <w:bCs/>
          <w:color w:val="FF0000"/>
          <w:szCs w:val="21"/>
        </w:rPr>
        <w:t>（特别提示：投标人须按本招标文件评标信息中 “施工安全保障措施”这一评审因素要求，提供详细的施工安全保障方案或其它证明资料）</w:t>
      </w:r>
    </w:p>
    <w:p>
      <w:pPr>
        <w:spacing w:line="360" w:lineRule="auto"/>
        <w:rPr>
          <w:rFonts w:ascii="新宋体" w:hAnsi="新宋体" w:eastAsia="新宋体"/>
          <w:b/>
          <w:szCs w:val="21"/>
        </w:rPr>
      </w:pPr>
    </w:p>
    <w:p>
      <w:pPr>
        <w:spacing w:line="360" w:lineRule="auto"/>
        <w:outlineLvl w:val="3"/>
        <w:rPr>
          <w:rFonts w:ascii="新宋体" w:hAnsi="新宋体" w:eastAsia="新宋体"/>
          <w:b/>
          <w:szCs w:val="21"/>
        </w:rPr>
      </w:pPr>
      <w:r>
        <w:rPr>
          <w:rFonts w:hint="eastAsia" w:ascii="新宋体" w:hAnsi="新宋体" w:eastAsia="新宋体"/>
          <w:b/>
          <w:szCs w:val="21"/>
        </w:rPr>
        <w:t>（四）检测报告（可选）</w:t>
      </w:r>
    </w:p>
    <w:p>
      <w:pPr>
        <w:spacing w:line="360" w:lineRule="auto"/>
        <w:rPr>
          <w:rFonts w:ascii="新宋体" w:hAnsi="新宋体" w:eastAsia="新宋体"/>
          <w:b/>
          <w:bCs/>
          <w:color w:val="FF0000"/>
          <w:szCs w:val="21"/>
        </w:rPr>
      </w:pPr>
      <w:r>
        <w:rPr>
          <w:rFonts w:hint="eastAsia" w:ascii="新宋体" w:hAnsi="新宋体" w:eastAsia="新宋体"/>
          <w:b/>
          <w:bCs/>
          <w:color w:val="FF0000"/>
          <w:szCs w:val="21"/>
        </w:rPr>
        <w:t>（特别提示：投标人须按本招标文件评标信息中 “检测报告”这一评审因素要求，提供详细的检测报告或其它证明资料）</w:t>
      </w:r>
    </w:p>
    <w:p>
      <w:pPr>
        <w:spacing w:line="360" w:lineRule="auto"/>
        <w:rPr>
          <w:rFonts w:ascii="新宋体" w:hAnsi="新宋体" w:eastAsia="新宋体"/>
          <w:b/>
          <w:szCs w:val="21"/>
        </w:rPr>
      </w:pPr>
    </w:p>
    <w:p>
      <w:pPr>
        <w:spacing w:line="360" w:lineRule="auto"/>
        <w:outlineLvl w:val="3"/>
        <w:rPr>
          <w:rFonts w:ascii="新宋体" w:hAnsi="新宋体" w:eastAsia="新宋体"/>
          <w:b/>
          <w:color w:val="000000"/>
          <w:szCs w:val="21"/>
        </w:rPr>
      </w:pPr>
      <w:r>
        <w:rPr>
          <w:rFonts w:hint="eastAsia" w:ascii="新宋体" w:hAnsi="新宋体" w:eastAsia="新宋体"/>
          <w:b/>
          <w:szCs w:val="21"/>
        </w:rPr>
        <w:t>（五）奖项（可选）</w:t>
      </w:r>
    </w:p>
    <w:p>
      <w:pPr>
        <w:spacing w:line="360" w:lineRule="auto"/>
        <w:rPr>
          <w:rFonts w:ascii="新宋体" w:hAnsi="新宋体" w:eastAsia="新宋体"/>
          <w:b/>
          <w:bCs/>
          <w:color w:val="FF0000"/>
          <w:szCs w:val="21"/>
        </w:rPr>
      </w:pPr>
      <w:r>
        <w:rPr>
          <w:rFonts w:hint="eastAsia" w:ascii="新宋体" w:hAnsi="新宋体" w:eastAsia="新宋体"/>
          <w:b/>
          <w:bCs/>
          <w:color w:val="FF0000"/>
          <w:szCs w:val="21"/>
        </w:rPr>
        <w:t>（特别提示：投标人须按本招标文件评标信息中 “奖项”这一评审因素要求，提供相提供详细证明资料）</w:t>
      </w:r>
    </w:p>
    <w:p>
      <w:pPr>
        <w:spacing w:line="360" w:lineRule="auto"/>
        <w:rPr>
          <w:rFonts w:ascii="新宋体" w:hAnsi="新宋体" w:eastAsia="新宋体"/>
          <w:b/>
          <w:szCs w:val="21"/>
        </w:rPr>
      </w:pPr>
    </w:p>
    <w:p>
      <w:pPr>
        <w:spacing w:line="360" w:lineRule="auto"/>
        <w:outlineLvl w:val="3"/>
        <w:rPr>
          <w:rFonts w:ascii="新宋体" w:hAnsi="新宋体" w:eastAsia="新宋体"/>
          <w:b/>
          <w:bCs/>
          <w:szCs w:val="21"/>
        </w:rPr>
      </w:pPr>
      <w:r>
        <w:rPr>
          <w:rFonts w:hint="eastAsia" w:ascii="新宋体" w:hAnsi="新宋体" w:eastAsia="新宋体"/>
          <w:b/>
          <w:bCs/>
          <w:szCs w:val="21"/>
        </w:rPr>
        <w:t>（</w:t>
      </w:r>
      <w:r>
        <w:rPr>
          <w:rFonts w:hint="eastAsia" w:ascii="新宋体" w:hAnsi="新宋体" w:eastAsia="新宋体"/>
          <w:b/>
          <w:szCs w:val="21"/>
        </w:rPr>
        <w:t>六）</w:t>
      </w:r>
      <w:r>
        <w:rPr>
          <w:rFonts w:hint="eastAsia" w:ascii="新宋体" w:hAnsi="新宋体" w:eastAsia="新宋体"/>
          <w:b/>
          <w:bCs/>
          <w:szCs w:val="21"/>
        </w:rPr>
        <w:t>近三年同类业绩</w:t>
      </w:r>
      <w:r>
        <w:rPr>
          <w:rFonts w:hint="eastAsia" w:ascii="新宋体" w:hAnsi="新宋体" w:eastAsia="新宋体"/>
          <w:b/>
          <w:szCs w:val="21"/>
        </w:rPr>
        <w:t>（可选）</w:t>
      </w:r>
    </w:p>
    <w:tbl>
      <w:tblPr>
        <w:tblStyle w:val="43"/>
        <w:tblW w:w="928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726"/>
        <w:gridCol w:w="1548"/>
        <w:gridCol w:w="1464"/>
        <w:gridCol w:w="1465"/>
        <w:gridCol w:w="146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r>
              <w:rPr>
                <w:rFonts w:hint="eastAsia" w:ascii="宋体" w:hAnsi="宋体"/>
                <w:szCs w:val="21"/>
              </w:rPr>
              <w:t>采购人</w:t>
            </w:r>
          </w:p>
        </w:tc>
        <w:tc>
          <w:tcPr>
            <w:tcW w:w="1726" w:type="dxa"/>
            <w:vAlign w:val="center"/>
          </w:tcPr>
          <w:p>
            <w:pPr>
              <w:ind w:firstLine="420" w:firstLineChars="200"/>
              <w:rPr>
                <w:rFonts w:ascii="宋体" w:hAnsi="宋体"/>
                <w:szCs w:val="21"/>
              </w:rPr>
            </w:pPr>
            <w:r>
              <w:rPr>
                <w:rFonts w:hint="eastAsia" w:ascii="宋体" w:hAnsi="宋体"/>
                <w:szCs w:val="21"/>
              </w:rPr>
              <w:t>项目名称</w:t>
            </w:r>
          </w:p>
        </w:tc>
        <w:tc>
          <w:tcPr>
            <w:tcW w:w="1548" w:type="dxa"/>
            <w:vAlign w:val="center"/>
          </w:tcPr>
          <w:p>
            <w:pPr>
              <w:ind w:firstLine="420" w:firstLineChars="200"/>
              <w:rPr>
                <w:rFonts w:ascii="宋体" w:hAnsi="宋体"/>
                <w:szCs w:val="21"/>
              </w:rPr>
            </w:pPr>
            <w:r>
              <w:rPr>
                <w:rFonts w:hint="eastAsia" w:ascii="宋体" w:hAnsi="宋体"/>
                <w:szCs w:val="21"/>
              </w:rPr>
              <w:t>项目规模（金额）</w:t>
            </w:r>
          </w:p>
        </w:tc>
        <w:tc>
          <w:tcPr>
            <w:tcW w:w="1464" w:type="dxa"/>
            <w:vAlign w:val="center"/>
          </w:tcPr>
          <w:p>
            <w:pPr>
              <w:ind w:firstLine="420" w:firstLineChars="200"/>
              <w:rPr>
                <w:rFonts w:ascii="宋体" w:hAnsi="宋体"/>
                <w:szCs w:val="21"/>
              </w:rPr>
            </w:pPr>
            <w:r>
              <w:rPr>
                <w:rFonts w:hint="eastAsia" w:ascii="宋体" w:hAnsi="宋体"/>
                <w:szCs w:val="21"/>
              </w:rPr>
              <w:t>合同签订日期</w:t>
            </w:r>
          </w:p>
        </w:tc>
        <w:tc>
          <w:tcPr>
            <w:tcW w:w="1465" w:type="dxa"/>
            <w:vAlign w:val="center"/>
          </w:tcPr>
          <w:p>
            <w:pPr>
              <w:ind w:firstLine="420" w:firstLineChars="200"/>
              <w:rPr>
                <w:rFonts w:ascii="宋体" w:hAnsi="宋体"/>
                <w:szCs w:val="21"/>
              </w:rPr>
            </w:pPr>
            <w:r>
              <w:rPr>
                <w:rFonts w:hint="eastAsia" w:ascii="宋体" w:hAnsi="宋体"/>
                <w:szCs w:val="21"/>
              </w:rPr>
              <w:t>履约验收时间</w:t>
            </w:r>
          </w:p>
        </w:tc>
        <w:tc>
          <w:tcPr>
            <w:tcW w:w="1465" w:type="dxa"/>
            <w:vAlign w:val="center"/>
          </w:tcPr>
          <w:p>
            <w:pPr>
              <w:ind w:firstLine="420" w:firstLineChars="200"/>
              <w:rPr>
                <w:rFonts w:ascii="宋体" w:hAnsi="宋体"/>
                <w:szCs w:val="21"/>
              </w:rPr>
            </w:pPr>
            <w:r>
              <w:rPr>
                <w:rFonts w:hint="eastAsia" w:ascii="宋体" w:hAnsi="宋体"/>
                <w:szCs w:val="21"/>
              </w:rPr>
              <w:t>完成质量情况（以履约验收报告为准）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620" w:type="dxa"/>
            <w:vAlign w:val="center"/>
          </w:tcPr>
          <w:p>
            <w:pPr>
              <w:ind w:firstLine="420" w:firstLineChars="200"/>
              <w:rPr>
                <w:rFonts w:ascii="宋体" w:hAnsi="宋体"/>
                <w:szCs w:val="21"/>
              </w:rPr>
            </w:pPr>
          </w:p>
        </w:tc>
        <w:tc>
          <w:tcPr>
            <w:tcW w:w="1726" w:type="dxa"/>
            <w:vAlign w:val="center"/>
          </w:tcPr>
          <w:p>
            <w:pPr>
              <w:ind w:firstLine="420" w:firstLineChars="200"/>
              <w:rPr>
                <w:rFonts w:ascii="宋体" w:hAnsi="宋体"/>
                <w:szCs w:val="21"/>
              </w:rPr>
            </w:pPr>
          </w:p>
        </w:tc>
        <w:tc>
          <w:tcPr>
            <w:tcW w:w="1548" w:type="dxa"/>
            <w:vAlign w:val="center"/>
          </w:tcPr>
          <w:p>
            <w:pPr>
              <w:ind w:firstLine="420" w:firstLineChars="200"/>
              <w:rPr>
                <w:rFonts w:ascii="宋体" w:hAnsi="宋体"/>
                <w:szCs w:val="21"/>
              </w:rPr>
            </w:pPr>
          </w:p>
        </w:tc>
        <w:tc>
          <w:tcPr>
            <w:tcW w:w="1464"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c>
          <w:tcPr>
            <w:tcW w:w="1465" w:type="dxa"/>
            <w:vAlign w:val="center"/>
          </w:tcPr>
          <w:p>
            <w:pPr>
              <w:ind w:firstLine="420" w:firstLineChars="200"/>
              <w:rPr>
                <w:rFonts w:ascii="宋体" w:hAnsi="宋体"/>
                <w:szCs w:val="21"/>
              </w:rPr>
            </w:pPr>
          </w:p>
        </w:tc>
      </w:tr>
    </w:tbl>
    <w:p>
      <w:pPr>
        <w:ind w:firstLine="420" w:firstLineChars="200"/>
        <w:rPr>
          <w:rFonts w:ascii="宋体" w:hAnsi="宋体"/>
          <w:szCs w:val="21"/>
        </w:rPr>
      </w:pPr>
    </w:p>
    <w:p>
      <w:pPr>
        <w:ind w:firstLine="420" w:firstLineChars="200"/>
        <w:rPr>
          <w:rFonts w:ascii="宋体" w:hAnsi="宋体"/>
          <w:szCs w:val="21"/>
        </w:rPr>
      </w:pPr>
    </w:p>
    <w:p>
      <w:pPr>
        <w:spacing w:line="360" w:lineRule="auto"/>
        <w:jc w:val="center"/>
        <w:outlineLvl w:val="3"/>
        <w:rPr>
          <w:rFonts w:ascii="新宋体" w:hAnsi="新宋体" w:eastAsia="新宋体"/>
          <w:bCs/>
          <w:kern w:val="0"/>
          <w:szCs w:val="21"/>
        </w:rPr>
      </w:pPr>
      <w:r>
        <w:rPr>
          <w:rFonts w:hint="eastAsia" w:ascii="新宋体" w:hAnsi="新宋体" w:eastAsia="新宋体"/>
          <w:bCs/>
          <w:kern w:val="0"/>
          <w:szCs w:val="21"/>
        </w:rPr>
        <w:t>（七）中小企业声明函、残疾人福利性单位声明函及监狱企业声明函</w:t>
      </w:r>
      <w:r>
        <w:rPr>
          <w:rFonts w:hint="eastAsia" w:ascii="新宋体" w:hAnsi="新宋体" w:eastAsia="新宋体"/>
          <w:b/>
          <w:color w:val="FF0000"/>
          <w:szCs w:val="21"/>
        </w:rPr>
        <w:t>(可选项)</w:t>
      </w:r>
    </w:p>
    <w:p>
      <w:pPr>
        <w:spacing w:line="360" w:lineRule="auto"/>
        <w:ind w:firstLine="422" w:firstLineChars="200"/>
        <w:rPr>
          <w:rFonts w:ascii="新宋体" w:hAnsi="新宋体" w:eastAsia="新宋体"/>
          <w:b/>
          <w:color w:val="FF0000"/>
          <w:szCs w:val="21"/>
        </w:rPr>
      </w:pPr>
    </w:p>
    <w:p>
      <w:pPr>
        <w:spacing w:line="360" w:lineRule="auto"/>
        <w:ind w:firstLine="422" w:firstLineChars="200"/>
        <w:rPr>
          <w:rFonts w:ascii="新宋体" w:hAnsi="新宋体" w:eastAsia="新宋体"/>
          <w:b/>
          <w:color w:val="FF0000"/>
          <w:szCs w:val="21"/>
        </w:rPr>
      </w:pPr>
      <w:r>
        <w:rPr>
          <w:rFonts w:hint="eastAsia" w:ascii="新宋体" w:hAnsi="新宋体" w:eastAsia="新宋体"/>
          <w:b/>
          <w:color w:val="FF0000"/>
          <w:szCs w:val="21"/>
        </w:rPr>
        <w:t>填写指引：</w:t>
      </w:r>
    </w:p>
    <w:p>
      <w:pPr>
        <w:spacing w:line="360" w:lineRule="auto"/>
        <w:ind w:firstLine="422" w:firstLineChars="200"/>
        <w:rPr>
          <w:rFonts w:ascii="新宋体" w:hAnsi="新宋体" w:eastAsia="新宋体"/>
          <w:b/>
          <w:color w:val="FF0000"/>
          <w:szCs w:val="21"/>
        </w:rPr>
      </w:pPr>
      <w:r>
        <w:rPr>
          <w:rFonts w:hint="eastAsia" w:ascii="新宋体" w:hAnsi="新宋体" w:eastAsia="新宋体"/>
          <w:b/>
          <w:color w:val="FF0000"/>
          <w:szCs w:val="21"/>
        </w:rPr>
        <w:t>1、该部分内容由供应商根据自身实际情况填写，不符合要求的供应商可以不填写或直接删除相应的声明函。投标人自行对声明内容的真实性负责；如提供虚假声明，将报送主管部门进行行政处罚。若无法确定是否为中小微企业，可查阅《关于印发中小企业划型标准规定的通知》（工信部联企业【2011】300号）或向深圳市中小企业服务局咨询。</w:t>
      </w:r>
    </w:p>
    <w:p>
      <w:pPr>
        <w:spacing w:line="360" w:lineRule="auto"/>
        <w:ind w:firstLine="422" w:firstLineChars="200"/>
        <w:rPr>
          <w:rFonts w:ascii="新宋体" w:hAnsi="新宋体" w:eastAsia="新宋体"/>
          <w:b/>
          <w:color w:val="FF0000"/>
          <w:szCs w:val="21"/>
        </w:rPr>
      </w:pPr>
      <w:r>
        <w:rPr>
          <w:rFonts w:hint="eastAsia" w:ascii="新宋体" w:hAnsi="新宋体" w:eastAsia="新宋体"/>
          <w:b/>
          <w:color w:val="FF0000"/>
          <w:szCs w:val="21"/>
        </w:rPr>
        <w:t>2、该部分内容填写需要参考的相关文件：（1）《政府采购促进中小企业发展管理办法》（财库﹝2020﹞46 号）；(2)《工业和信息化部、国家统计局、国家发展和改革委员会、财政部关于印发中小企业划型标准规定的通知》（工信部联企业〔2011〕300 号）。</w:t>
      </w:r>
    </w:p>
    <w:p>
      <w:pPr>
        <w:spacing w:line="360" w:lineRule="auto"/>
        <w:ind w:firstLine="422" w:firstLineChars="200"/>
        <w:rPr>
          <w:b/>
          <w:color w:val="FF0000"/>
        </w:rPr>
      </w:pPr>
      <w:r>
        <w:rPr>
          <w:rFonts w:hint="eastAsia" w:ascii="新宋体" w:hAnsi="新宋体" w:eastAsia="新宋体"/>
          <w:b/>
          <w:color w:val="FF0000"/>
          <w:szCs w:val="21"/>
        </w:rPr>
        <w:t>3、请依照提供的格式和内容填写声明函，不要随意变更格式或增删内容；满足多项优惠政策的企业，不重复享受多项价格扣除政策。</w:t>
      </w:r>
    </w:p>
    <w:p>
      <w:pPr>
        <w:ind w:firstLine="422" w:firstLineChars="200"/>
        <w:rPr>
          <w:b/>
          <w:color w:val="FF0000"/>
        </w:rPr>
      </w:pPr>
    </w:p>
    <w:p>
      <w:pPr>
        <w:ind w:firstLine="422" w:firstLineChars="200"/>
        <w:rPr>
          <w:b/>
          <w:color w:val="FF0000"/>
        </w:rPr>
      </w:pPr>
    </w:p>
    <w:p>
      <w:pPr>
        <w:ind w:firstLine="422" w:firstLineChars="200"/>
        <w:rPr>
          <w:b/>
          <w:color w:val="FF0000"/>
        </w:rPr>
      </w:pPr>
    </w:p>
    <w:p>
      <w:pPr>
        <w:spacing w:line="360" w:lineRule="auto"/>
        <w:jc w:val="center"/>
        <w:outlineLvl w:val="3"/>
        <w:rPr>
          <w:rFonts w:ascii="新宋体" w:hAnsi="新宋体" w:eastAsia="新宋体"/>
          <w:b/>
          <w:szCs w:val="21"/>
        </w:rPr>
      </w:pPr>
      <w:r>
        <w:rPr>
          <w:rFonts w:hint="eastAsia" w:ascii="新宋体" w:hAnsi="新宋体" w:eastAsia="新宋体"/>
          <w:b/>
          <w:szCs w:val="21"/>
        </w:rPr>
        <w:t xml:space="preserve"> 1、中小企业声明函</w:t>
      </w:r>
    </w:p>
    <w:p>
      <w:pPr>
        <w:spacing w:line="360" w:lineRule="auto"/>
        <w:ind w:firstLine="420" w:firstLineChars="200"/>
        <w:rPr>
          <w:rFonts w:ascii="新宋体" w:hAnsi="新宋体" w:eastAsia="新宋体"/>
        </w:rPr>
      </w:pPr>
      <w:r>
        <w:rPr>
          <w:rFonts w:hint="eastAsia" w:ascii="新宋体" w:hAnsi="新宋体" w:eastAsia="新宋体"/>
        </w:rPr>
        <w:t>本公司（联合体）郑重声明，根据《政府采购促进中小企业发展管理办法》（财库﹝</w:t>
      </w:r>
      <w:r>
        <w:rPr>
          <w:rFonts w:ascii="新宋体" w:hAnsi="新宋体" w:eastAsia="新宋体"/>
        </w:rPr>
        <w:t>2020</w:t>
      </w:r>
      <w:r>
        <w:rPr>
          <w:rFonts w:hint="eastAsia" w:ascii="新宋体" w:hAnsi="新宋体" w:eastAsia="新宋体"/>
        </w:rPr>
        <w:t>﹞</w:t>
      </w:r>
      <w:r>
        <w:rPr>
          <w:rFonts w:ascii="新宋体" w:hAnsi="新宋体" w:eastAsia="新宋体"/>
        </w:rPr>
        <w:t xml:space="preserve">46 </w:t>
      </w:r>
      <w:r>
        <w:rPr>
          <w:rFonts w:hint="eastAsia" w:ascii="新宋体" w:hAnsi="新宋体" w:eastAsia="新宋体"/>
        </w:rPr>
        <w:t>号）的规定，本公司（联合体）参加</w:t>
      </w:r>
      <w:r>
        <w:rPr>
          <w:rFonts w:hint="eastAsia" w:ascii="新宋体" w:hAnsi="新宋体" w:eastAsia="新宋体"/>
          <w:u w:val="single"/>
        </w:rPr>
        <w:t>（单位名称）</w:t>
      </w:r>
      <w:r>
        <w:rPr>
          <w:rFonts w:hint="eastAsia" w:ascii="新宋体" w:hAnsi="新宋体" w:eastAsia="新宋体"/>
        </w:rPr>
        <w:t>的</w:t>
      </w:r>
      <w:r>
        <w:rPr>
          <w:rFonts w:hint="eastAsia" w:ascii="新宋体" w:hAnsi="新宋体" w:eastAsia="新宋体"/>
          <w:u w:val="single"/>
        </w:rPr>
        <w:t>（项目名称）</w:t>
      </w:r>
      <w:r>
        <w:rPr>
          <w:rFonts w:hint="eastAsia" w:ascii="新宋体" w:hAnsi="新宋体" w:eastAsia="新宋体"/>
        </w:rPr>
        <w:t>采购活动，提供的货物全部由符合政策要求的中小企业制造。相关企业（含联合体中的中小企业、签订分包意向协议的中小企业）的具体情况如下：</w:t>
      </w:r>
    </w:p>
    <w:p>
      <w:pPr>
        <w:spacing w:line="360" w:lineRule="auto"/>
        <w:ind w:firstLine="409" w:firstLineChars="195"/>
        <w:rPr>
          <w:rFonts w:ascii="新宋体" w:hAnsi="新宋体" w:eastAsia="新宋体"/>
        </w:rPr>
      </w:pPr>
      <w:r>
        <w:rPr>
          <w:rFonts w:ascii="新宋体" w:hAnsi="新宋体" w:eastAsia="新宋体"/>
        </w:rPr>
        <w:t xml:space="preserve">1. </w:t>
      </w:r>
      <w:r>
        <w:rPr>
          <w:rFonts w:hint="eastAsia" w:ascii="新宋体" w:hAnsi="新宋体" w:eastAsia="新宋体"/>
          <w:u w:val="single"/>
        </w:rPr>
        <w:t>（标的名称）</w:t>
      </w:r>
      <w:r>
        <w:rPr>
          <w:rFonts w:hint="eastAsia" w:ascii="新宋体" w:hAnsi="新宋体" w:eastAsia="新宋体"/>
        </w:rPr>
        <w:t>，属于</w:t>
      </w:r>
      <w:r>
        <w:rPr>
          <w:rFonts w:hint="eastAsia" w:ascii="新宋体" w:hAnsi="新宋体" w:eastAsia="新宋体"/>
          <w:u w:val="single"/>
        </w:rPr>
        <w:t>（采购文件中明确的所属行业）</w:t>
      </w:r>
      <w:r>
        <w:rPr>
          <w:rFonts w:hint="eastAsia" w:ascii="新宋体" w:hAnsi="新宋体" w:eastAsia="新宋体"/>
        </w:rPr>
        <w:t>行业；制造商为</w:t>
      </w:r>
      <w:r>
        <w:rPr>
          <w:rFonts w:hint="eastAsia" w:ascii="新宋体" w:hAnsi="新宋体" w:eastAsia="新宋体"/>
          <w:u w:val="single"/>
        </w:rPr>
        <w:t>（企业名称）</w:t>
      </w:r>
      <w:r>
        <w:rPr>
          <w:rFonts w:hint="eastAsia" w:ascii="新宋体" w:hAnsi="新宋体" w:eastAsia="新宋体"/>
        </w:rPr>
        <w:t>，从业人员人，营业收入为万元，资产总额为万元</w:t>
      </w:r>
      <w:r>
        <w:fldChar w:fldCharType="begin"/>
      </w:r>
      <w:r>
        <w:instrText xml:space="preserve"> HYPERLINK \l "_bookmark1" </w:instrText>
      </w:r>
      <w:r>
        <w:fldChar w:fldCharType="separate"/>
      </w:r>
      <w:r>
        <w:rPr>
          <w:position w:val="16"/>
          <w:sz w:val="16"/>
        </w:rPr>
        <w:t>1</w:t>
      </w:r>
      <w:r>
        <w:rPr>
          <w:position w:val="16"/>
          <w:sz w:val="16"/>
        </w:rPr>
        <w:fldChar w:fldCharType="end"/>
      </w:r>
      <w:r>
        <w:rPr>
          <w:rFonts w:hint="eastAsia" w:ascii="新宋体" w:hAnsi="新宋体" w:eastAsia="新宋体"/>
        </w:rPr>
        <w:t>，属于</w:t>
      </w:r>
      <w:r>
        <w:rPr>
          <w:rFonts w:hint="eastAsia" w:ascii="新宋体" w:hAnsi="新宋体" w:eastAsia="新宋体"/>
          <w:szCs w:val="21"/>
          <w:u w:val="single"/>
        </w:rPr>
        <w:t xml:space="preserve"> </w:t>
      </w:r>
      <w:r>
        <w:rPr>
          <w:rFonts w:ascii="新宋体" w:hAnsi="新宋体" w:eastAsia="新宋体"/>
          <w:szCs w:val="21"/>
          <w:u w:val="single"/>
        </w:rPr>
        <w:t xml:space="preserve">      </w:t>
      </w:r>
      <w:r>
        <w:rPr>
          <w:rFonts w:hint="eastAsia" w:ascii="新宋体" w:hAnsi="新宋体" w:eastAsia="新宋体"/>
          <w:szCs w:val="21"/>
        </w:rPr>
        <w:t>（请填写：中型企业、小型企业、微型企业）</w:t>
      </w:r>
      <w:r>
        <w:rPr>
          <w:rFonts w:hint="eastAsia" w:ascii="新宋体" w:hAnsi="新宋体" w:eastAsia="新宋体"/>
        </w:rPr>
        <w:t>；</w:t>
      </w:r>
    </w:p>
    <w:p>
      <w:pPr>
        <w:spacing w:line="360" w:lineRule="auto"/>
        <w:ind w:firstLine="420" w:firstLineChars="200"/>
        <w:rPr>
          <w:rFonts w:ascii="新宋体" w:hAnsi="新宋体" w:eastAsia="新宋体"/>
        </w:rPr>
      </w:pPr>
      <w:r>
        <w:rPr>
          <w:rFonts w:ascii="新宋体" w:hAnsi="新宋体" w:eastAsia="新宋体"/>
        </w:rPr>
        <w:t>2.</w:t>
      </w:r>
      <w:r>
        <w:rPr>
          <w:rFonts w:hint="eastAsia" w:ascii="新宋体" w:hAnsi="新宋体" w:eastAsia="新宋体"/>
          <w:u w:val="single"/>
        </w:rPr>
        <w:t>（标的名称）</w:t>
      </w:r>
      <w:r>
        <w:rPr>
          <w:rFonts w:hint="eastAsia" w:ascii="新宋体" w:hAnsi="新宋体" w:eastAsia="新宋体"/>
        </w:rPr>
        <w:t>，属于</w:t>
      </w:r>
      <w:r>
        <w:rPr>
          <w:rFonts w:hint="eastAsia" w:ascii="新宋体" w:hAnsi="新宋体" w:eastAsia="新宋体"/>
          <w:u w:val="single"/>
        </w:rPr>
        <w:t>（采购文件中明确的所属行业）行业</w:t>
      </w:r>
      <w:r>
        <w:rPr>
          <w:rFonts w:hint="eastAsia" w:ascii="新宋体" w:hAnsi="新宋体" w:eastAsia="新宋体"/>
        </w:rPr>
        <w:t>；制造商为</w:t>
      </w:r>
      <w:r>
        <w:rPr>
          <w:rFonts w:hint="eastAsia" w:ascii="新宋体" w:hAnsi="新宋体" w:eastAsia="新宋体"/>
          <w:u w:val="single"/>
        </w:rPr>
        <w:t>（企业名称）</w:t>
      </w:r>
      <w:r>
        <w:rPr>
          <w:rFonts w:hint="eastAsia" w:ascii="新宋体" w:hAnsi="新宋体" w:eastAsia="新宋体"/>
        </w:rPr>
        <w:t>，从业人员人，营业收入为万元，资产总额为万元，属于</w:t>
      </w:r>
      <w:r>
        <w:rPr>
          <w:rFonts w:hint="eastAsia" w:ascii="新宋体" w:hAnsi="新宋体" w:eastAsia="新宋体"/>
          <w:szCs w:val="21"/>
          <w:u w:val="single"/>
        </w:rPr>
        <w:t xml:space="preserve"> </w:t>
      </w:r>
      <w:r>
        <w:rPr>
          <w:rFonts w:ascii="新宋体" w:hAnsi="新宋体" w:eastAsia="新宋体"/>
          <w:szCs w:val="21"/>
          <w:u w:val="single"/>
        </w:rPr>
        <w:t xml:space="preserve">      </w:t>
      </w:r>
      <w:r>
        <w:rPr>
          <w:rFonts w:hint="eastAsia" w:ascii="新宋体" w:hAnsi="新宋体" w:eastAsia="新宋体"/>
          <w:szCs w:val="21"/>
        </w:rPr>
        <w:t>（请填写：中型企业、小型企业、微型企业）</w:t>
      </w:r>
      <w:r>
        <w:rPr>
          <w:rFonts w:hint="eastAsia" w:ascii="新宋体" w:hAnsi="新宋体" w:eastAsia="新宋体"/>
        </w:rPr>
        <w:t>；</w:t>
      </w:r>
    </w:p>
    <w:p>
      <w:pPr>
        <w:spacing w:line="360" w:lineRule="auto"/>
        <w:ind w:firstLine="420" w:firstLineChars="200"/>
        <w:rPr>
          <w:rFonts w:ascii="新宋体" w:hAnsi="新宋体" w:eastAsia="新宋体"/>
        </w:rPr>
      </w:pPr>
      <w:r>
        <w:rPr>
          <w:rFonts w:hint="eastAsia" w:ascii="新宋体" w:hAnsi="新宋体" w:eastAsia="新宋体"/>
        </w:rPr>
        <w:t>……</w:t>
      </w:r>
    </w:p>
    <w:p>
      <w:pPr>
        <w:spacing w:line="360" w:lineRule="auto"/>
        <w:ind w:firstLine="420" w:firstLineChars="200"/>
        <w:rPr>
          <w:rFonts w:ascii="新宋体" w:hAnsi="新宋体" w:eastAsia="新宋体"/>
        </w:rPr>
      </w:pPr>
      <w:r>
        <w:rPr>
          <w:rFonts w:hint="eastAsia" w:ascii="新宋体" w:hAnsi="新宋体" w:eastAsia="新宋体"/>
        </w:rPr>
        <w:t>以上企业，不属于大企业的分支机构，不存在控股股东为大企业的情形，也不存在与大企业的负责人为同一人的情形。</w:t>
      </w:r>
    </w:p>
    <w:p>
      <w:pPr>
        <w:spacing w:line="360" w:lineRule="auto"/>
        <w:ind w:firstLine="420" w:firstLineChars="200"/>
        <w:rPr>
          <w:rFonts w:ascii="新宋体" w:hAnsi="新宋体" w:eastAsia="新宋体"/>
        </w:rPr>
      </w:pPr>
      <w:r>
        <w:rPr>
          <w:rFonts w:hint="eastAsia" w:ascii="新宋体" w:hAnsi="新宋体" w:eastAsia="新宋体"/>
        </w:rPr>
        <w:t>本企业对上述声明内容的真实性负责。如有虚假，将依法承担相应责任。</w:t>
      </w:r>
    </w:p>
    <w:p>
      <w:pPr>
        <w:spacing w:line="360" w:lineRule="auto"/>
        <w:ind w:firstLine="420" w:firstLineChars="200"/>
        <w:rPr>
          <w:rFonts w:ascii="新宋体" w:hAnsi="新宋体" w:eastAsia="新宋体"/>
        </w:rPr>
      </w:pPr>
      <w:r>
        <w:rPr>
          <w:rFonts w:hint="eastAsia" w:ascii="新宋体" w:hAnsi="新宋体" w:eastAsia="新宋体"/>
        </w:rPr>
        <w:t>备注：</w:t>
      </w:r>
      <w:r>
        <w:fldChar w:fldCharType="begin"/>
      </w:r>
      <w:r>
        <w:instrText xml:space="preserve"> HYPERLINK \l "_bookmark1" </w:instrText>
      </w:r>
      <w:r>
        <w:fldChar w:fldCharType="separate"/>
      </w:r>
      <w:r>
        <w:rPr>
          <w:position w:val="16"/>
          <w:sz w:val="16"/>
        </w:rPr>
        <w:t>1</w:t>
      </w:r>
      <w:r>
        <w:rPr>
          <w:position w:val="16"/>
          <w:sz w:val="16"/>
        </w:rPr>
        <w:fldChar w:fldCharType="end"/>
      </w:r>
      <w:r>
        <w:rPr>
          <w:rFonts w:hint="eastAsia" w:ascii="新宋体" w:hAnsi="新宋体" w:eastAsia="新宋体"/>
        </w:rPr>
        <w:t>从业人员、营业收入、资产总额填报上一年度数据，无上一年度数据的新成立企业可不填报。企业名称（盖章）：</w:t>
      </w:r>
    </w:p>
    <w:p>
      <w:pPr>
        <w:spacing w:line="360" w:lineRule="auto"/>
        <w:ind w:right="840" w:firstLine="5670" w:firstLineChars="2700"/>
        <w:rPr>
          <w:rFonts w:ascii="新宋体" w:hAnsi="新宋体" w:eastAsia="新宋体"/>
        </w:rPr>
      </w:pPr>
      <w:r>
        <w:rPr>
          <w:rFonts w:hint="eastAsia" w:ascii="新宋体" w:hAnsi="新宋体" w:eastAsia="新宋体"/>
        </w:rPr>
        <w:t>日期：</w:t>
      </w:r>
    </w:p>
    <w:p>
      <w:pPr>
        <w:spacing w:line="360" w:lineRule="auto"/>
        <w:ind w:firstLine="420" w:firstLineChars="200"/>
        <w:rPr>
          <w:rFonts w:ascii="新宋体" w:hAnsi="新宋体" w:eastAsia="新宋体"/>
          <w:szCs w:val="21"/>
        </w:rPr>
      </w:pPr>
    </w:p>
    <w:p>
      <w:pPr>
        <w:spacing w:line="360" w:lineRule="auto"/>
        <w:ind w:firstLine="420" w:firstLineChars="200"/>
        <w:rPr>
          <w:rFonts w:ascii="新宋体" w:hAnsi="新宋体" w:eastAsia="新宋体"/>
          <w:szCs w:val="21"/>
        </w:rPr>
      </w:pPr>
    </w:p>
    <w:p>
      <w:pPr>
        <w:wordWrap w:val="0"/>
        <w:spacing w:line="360" w:lineRule="auto"/>
        <w:ind w:right="420" w:firstLine="420" w:firstLineChars="200"/>
        <w:jc w:val="center"/>
        <w:rPr>
          <w:rFonts w:ascii="新宋体" w:hAnsi="新宋体" w:eastAsia="新宋体"/>
          <w:szCs w:val="21"/>
        </w:rPr>
      </w:pPr>
      <w:r>
        <w:rPr>
          <w:rFonts w:hint="eastAsia" w:ascii="新宋体" w:hAnsi="新宋体" w:eastAsia="新宋体"/>
          <w:szCs w:val="21"/>
        </w:rPr>
        <w:t xml:space="preserve">                                                  </w:t>
      </w:r>
    </w:p>
    <w:p>
      <w:pPr>
        <w:spacing w:line="360" w:lineRule="auto"/>
        <w:ind w:firstLine="420" w:firstLineChars="200"/>
        <w:rPr>
          <w:rFonts w:ascii="新宋体" w:hAnsi="新宋体" w:eastAsia="新宋体"/>
          <w:szCs w:val="21"/>
        </w:rPr>
      </w:pPr>
    </w:p>
    <w:p>
      <w:pPr>
        <w:wordWrap w:val="0"/>
        <w:spacing w:line="360" w:lineRule="auto"/>
        <w:ind w:firstLine="420" w:firstLineChars="200"/>
        <w:jc w:val="right"/>
        <w:rPr>
          <w:rFonts w:ascii="新宋体" w:hAnsi="新宋体" w:eastAsia="新宋体"/>
          <w:szCs w:val="21"/>
        </w:rPr>
      </w:pPr>
      <w:r>
        <w:rPr>
          <w:rFonts w:hint="eastAsia" w:ascii="新宋体" w:hAnsi="新宋体" w:eastAsia="新宋体"/>
          <w:szCs w:val="21"/>
        </w:rPr>
        <w:t xml:space="preserve">             </w:t>
      </w:r>
    </w:p>
    <w:p>
      <w:pPr>
        <w:spacing w:line="360" w:lineRule="auto"/>
        <w:ind w:firstLine="420" w:firstLineChars="200"/>
        <w:jc w:val="right"/>
        <w:rPr>
          <w:rFonts w:ascii="新宋体" w:hAnsi="新宋体" w:eastAsia="新宋体"/>
          <w:szCs w:val="21"/>
        </w:rPr>
      </w:pPr>
    </w:p>
    <w:p>
      <w:pPr>
        <w:spacing w:line="360" w:lineRule="auto"/>
        <w:jc w:val="center"/>
        <w:outlineLvl w:val="3"/>
        <w:rPr>
          <w:rFonts w:ascii="新宋体" w:hAnsi="新宋体" w:eastAsia="新宋体"/>
          <w:b/>
          <w:szCs w:val="21"/>
        </w:rPr>
      </w:pPr>
      <w:r>
        <w:rPr>
          <w:rFonts w:hint="eastAsia" w:ascii="新宋体" w:hAnsi="新宋体" w:eastAsia="新宋体"/>
          <w:b/>
          <w:szCs w:val="21"/>
        </w:rPr>
        <w:t>2、残疾人福利性单位声明函</w:t>
      </w:r>
    </w:p>
    <w:p>
      <w:pPr>
        <w:spacing w:line="360" w:lineRule="auto"/>
        <w:rPr>
          <w:rFonts w:ascii="新宋体" w:hAnsi="新宋体" w:eastAsia="新宋体"/>
          <w:b/>
          <w:bCs/>
          <w:szCs w:val="21"/>
        </w:rPr>
      </w:pPr>
    </w:p>
    <w:p>
      <w:pPr>
        <w:spacing w:line="360" w:lineRule="auto"/>
        <w:ind w:firstLine="420" w:firstLineChars="200"/>
        <w:rPr>
          <w:rFonts w:ascii="新宋体" w:hAnsi="新宋体" w:eastAsia="新宋体"/>
          <w:szCs w:val="21"/>
        </w:rPr>
      </w:pPr>
      <w:r>
        <w:rPr>
          <w:rFonts w:hint="eastAsia" w:ascii="新宋体" w:hAnsi="新宋体" w:eastAsia="新宋体"/>
          <w:szCs w:val="21"/>
        </w:rPr>
        <w:t>本单位郑重声明，根据《财政部民政部中国残疾人联合会关于促进残疾人就业政府采购政策的通知》（财库〔</w:t>
      </w:r>
      <w:r>
        <w:rPr>
          <w:rFonts w:ascii="新宋体" w:hAnsi="新宋体" w:eastAsia="新宋体"/>
          <w:szCs w:val="21"/>
        </w:rPr>
        <w:t>2017</w:t>
      </w:r>
      <w:r>
        <w:rPr>
          <w:rFonts w:hint="eastAsia" w:ascii="新宋体" w:hAnsi="新宋体" w:eastAsia="新宋体"/>
          <w:szCs w:val="21"/>
        </w:rPr>
        <w:t>〕</w:t>
      </w:r>
      <w:r>
        <w:rPr>
          <w:rFonts w:ascii="新宋体" w:hAnsi="新宋体" w:eastAsia="新宋体"/>
          <w:szCs w:val="21"/>
        </w:rPr>
        <w:t xml:space="preserve">141 </w:t>
      </w:r>
      <w:r>
        <w:rPr>
          <w:rFonts w:hint="eastAsia" w:ascii="新宋体" w:hAnsi="新宋体" w:eastAsia="新宋体"/>
          <w:szCs w:val="21"/>
        </w:rPr>
        <w:t>号）的规定，本单位为符合条件的残疾人福利性单位，且本单位参加</w:t>
      </w:r>
      <w:r>
        <w:rPr>
          <w:rFonts w:ascii="新宋体" w:hAnsi="新宋体" w:eastAsia="新宋体"/>
          <w:b/>
          <w:szCs w:val="21"/>
        </w:rPr>
        <w:t>_</w:t>
      </w:r>
      <w:r>
        <w:rPr>
          <w:rFonts w:hint="eastAsia" w:ascii="新宋体" w:hAnsi="新宋体" w:eastAsia="新宋体"/>
          <w:b/>
          <w:szCs w:val="21"/>
        </w:rPr>
        <w:t>（采购单位名称）</w:t>
      </w:r>
      <w:r>
        <w:rPr>
          <w:rFonts w:ascii="新宋体" w:hAnsi="新宋体" w:eastAsia="新宋体"/>
          <w:b/>
          <w:szCs w:val="21"/>
        </w:rPr>
        <w:t>_</w:t>
      </w:r>
      <w:r>
        <w:rPr>
          <w:rFonts w:hint="eastAsia" w:ascii="新宋体" w:hAnsi="新宋体" w:eastAsia="新宋体"/>
          <w:szCs w:val="21"/>
        </w:rPr>
        <w:t>单位的</w:t>
      </w:r>
      <w:r>
        <w:rPr>
          <w:rFonts w:ascii="新宋体" w:hAnsi="新宋体" w:eastAsia="新宋体"/>
          <w:b/>
          <w:szCs w:val="21"/>
        </w:rPr>
        <w:t>_</w:t>
      </w:r>
      <w:r>
        <w:rPr>
          <w:rFonts w:hint="eastAsia" w:ascii="新宋体" w:hAnsi="新宋体" w:eastAsia="新宋体"/>
          <w:b/>
          <w:szCs w:val="21"/>
        </w:rPr>
        <w:t>（采购项目名称）</w:t>
      </w:r>
      <w:r>
        <w:rPr>
          <w:rFonts w:hint="eastAsia" w:ascii="新宋体" w:hAnsi="新宋体" w:eastAsia="新宋体"/>
          <w:szCs w:val="21"/>
        </w:rPr>
        <w:t>项目采购活动，并提供</w:t>
      </w:r>
      <w:r>
        <w:rPr>
          <w:rFonts w:ascii="新宋体" w:hAnsi="新宋体" w:eastAsia="新宋体"/>
          <w:szCs w:val="21"/>
        </w:rPr>
        <w:t>:</w:t>
      </w:r>
      <w:r>
        <w:rPr>
          <w:rFonts w:hint="eastAsia" w:ascii="新宋体" w:hAnsi="新宋体" w:eastAsia="新宋体"/>
          <w:b/>
          <w:szCs w:val="21"/>
        </w:rPr>
        <w:t>□本单位制造的货物</w:t>
      </w:r>
      <w:r>
        <w:rPr>
          <w:rFonts w:ascii="新宋体" w:hAnsi="新宋体" w:eastAsia="新宋体"/>
          <w:b/>
          <w:szCs w:val="21"/>
        </w:rPr>
        <w:t>;</w:t>
      </w:r>
      <w:r>
        <w:rPr>
          <w:rFonts w:hint="eastAsia" w:ascii="新宋体" w:hAnsi="新宋体" w:eastAsia="新宋体"/>
          <w:b/>
          <w:szCs w:val="21"/>
        </w:rPr>
        <w:t>□提供其他残疾人福利性单位制造的货物（承诺人在□处打√）。</w:t>
      </w:r>
      <w:r>
        <w:rPr>
          <w:rFonts w:hint="eastAsia" w:ascii="新宋体" w:hAnsi="新宋体" w:eastAsia="新宋体"/>
          <w:szCs w:val="21"/>
        </w:rPr>
        <w:t>本条所称货物是指单一产品采购项目中的货物，或者非单一产品采购项目中的核心产品（货物），不包括使用非残疾人福利性单位注册商标的货物。本单位对上述声明的真实性负责。如有虚假，将依法承担相应责任。</w:t>
      </w:r>
    </w:p>
    <w:p>
      <w:pPr>
        <w:spacing w:line="360" w:lineRule="auto"/>
        <w:ind w:firstLine="420" w:firstLineChars="200"/>
        <w:rPr>
          <w:rFonts w:ascii="新宋体" w:hAnsi="新宋体" w:eastAsia="新宋体"/>
          <w:szCs w:val="21"/>
        </w:rPr>
      </w:pPr>
    </w:p>
    <w:p>
      <w:pPr>
        <w:spacing w:line="360" w:lineRule="auto"/>
        <w:ind w:right="840" w:firstLine="420" w:firstLineChars="200"/>
        <w:jc w:val="center"/>
        <w:rPr>
          <w:rFonts w:ascii="新宋体" w:hAnsi="新宋体" w:eastAsia="新宋体"/>
          <w:szCs w:val="21"/>
        </w:rPr>
      </w:pPr>
      <w:r>
        <w:rPr>
          <w:rFonts w:hint="eastAsia" w:ascii="新宋体" w:hAnsi="新宋体" w:eastAsia="新宋体"/>
          <w:szCs w:val="21"/>
        </w:rPr>
        <w:t xml:space="preserve">                                                       </w:t>
      </w:r>
    </w:p>
    <w:p>
      <w:pPr>
        <w:wordWrap w:val="0"/>
        <w:spacing w:line="360" w:lineRule="auto"/>
        <w:ind w:right="420" w:firstLine="420" w:firstLineChars="200"/>
        <w:jc w:val="center"/>
        <w:rPr>
          <w:rFonts w:ascii="新宋体" w:hAnsi="新宋体" w:eastAsia="新宋体"/>
          <w:szCs w:val="21"/>
        </w:rPr>
      </w:pPr>
      <w:r>
        <w:rPr>
          <w:rFonts w:hint="eastAsia" w:ascii="新宋体" w:hAnsi="新宋体" w:eastAsia="新宋体"/>
          <w:szCs w:val="21"/>
        </w:rPr>
        <w:t xml:space="preserve">                                                     </w:t>
      </w:r>
    </w:p>
    <w:p>
      <w:pPr>
        <w:spacing w:line="360" w:lineRule="auto"/>
        <w:ind w:firstLine="420" w:firstLineChars="200"/>
        <w:jc w:val="right"/>
        <w:rPr>
          <w:rFonts w:ascii="新宋体" w:hAnsi="新宋体" w:eastAsia="新宋体"/>
          <w:szCs w:val="21"/>
        </w:rPr>
      </w:pPr>
    </w:p>
    <w:p>
      <w:pPr>
        <w:spacing w:line="360" w:lineRule="auto"/>
        <w:jc w:val="center"/>
        <w:outlineLvl w:val="3"/>
        <w:rPr>
          <w:rFonts w:ascii="新宋体" w:hAnsi="新宋体" w:eastAsia="新宋体"/>
          <w:b/>
          <w:szCs w:val="21"/>
        </w:rPr>
      </w:pPr>
      <w:r>
        <w:rPr>
          <w:rFonts w:hint="eastAsia" w:ascii="新宋体" w:hAnsi="新宋体" w:eastAsia="新宋体"/>
          <w:b/>
          <w:szCs w:val="21"/>
        </w:rPr>
        <w:t>3、监狱企业声明函【监狱企业或者代理提供监狱企业货物的供应商如需享受优惠政策，还须同时提供省级以上监狱管理局、戒毒管理局（含新疆生产建设兵团）出具的监狱企业证明文件】</w:t>
      </w:r>
    </w:p>
    <w:p>
      <w:pPr>
        <w:spacing w:line="360" w:lineRule="auto"/>
        <w:ind w:firstLine="420" w:firstLineChars="200"/>
        <w:rPr>
          <w:rFonts w:ascii="新宋体" w:hAnsi="新宋体" w:eastAsia="新宋体"/>
          <w:szCs w:val="21"/>
        </w:rPr>
      </w:pPr>
      <w:r>
        <w:rPr>
          <w:rFonts w:hint="eastAsia" w:ascii="新宋体" w:hAnsi="新宋体" w:eastAsia="新宋体"/>
          <w:szCs w:val="21"/>
        </w:rPr>
        <w:t>本单位郑重声明，根据《财政部司法部关于政府采购支持监狱企业发展有关问题的通知》（财库〔</w:t>
      </w:r>
      <w:r>
        <w:rPr>
          <w:rFonts w:ascii="新宋体" w:hAnsi="新宋体" w:eastAsia="新宋体"/>
          <w:szCs w:val="21"/>
        </w:rPr>
        <w:t>2014</w:t>
      </w:r>
      <w:r>
        <w:rPr>
          <w:rFonts w:hint="eastAsia" w:ascii="新宋体" w:hAnsi="新宋体" w:eastAsia="新宋体"/>
          <w:szCs w:val="21"/>
        </w:rPr>
        <w:t>〕</w:t>
      </w:r>
      <w:r>
        <w:rPr>
          <w:rFonts w:ascii="新宋体" w:hAnsi="新宋体" w:eastAsia="新宋体"/>
          <w:szCs w:val="21"/>
        </w:rPr>
        <w:t>68</w:t>
      </w:r>
      <w:r>
        <w:rPr>
          <w:rFonts w:hint="eastAsia" w:ascii="新宋体" w:hAnsi="新宋体" w:eastAsia="新宋体"/>
          <w:szCs w:val="21"/>
        </w:rPr>
        <w:t>号）的规定，本单位为符合条件的监狱企业，且本单位参加</w:t>
      </w:r>
      <w:r>
        <w:rPr>
          <w:rFonts w:ascii="新宋体" w:hAnsi="新宋体" w:eastAsia="新宋体"/>
          <w:b/>
          <w:szCs w:val="21"/>
        </w:rPr>
        <w:t>_</w:t>
      </w:r>
      <w:r>
        <w:rPr>
          <w:rFonts w:hint="eastAsia" w:ascii="新宋体" w:hAnsi="新宋体" w:eastAsia="新宋体"/>
          <w:b/>
          <w:szCs w:val="21"/>
        </w:rPr>
        <w:t>（采购单位名称）</w:t>
      </w:r>
      <w:r>
        <w:rPr>
          <w:rFonts w:ascii="新宋体" w:hAnsi="新宋体" w:eastAsia="新宋体"/>
          <w:b/>
          <w:szCs w:val="21"/>
        </w:rPr>
        <w:t>_</w:t>
      </w:r>
      <w:r>
        <w:rPr>
          <w:rFonts w:hint="eastAsia" w:ascii="新宋体" w:hAnsi="新宋体" w:eastAsia="新宋体"/>
          <w:szCs w:val="21"/>
        </w:rPr>
        <w:t>单位的</w:t>
      </w:r>
      <w:r>
        <w:rPr>
          <w:rFonts w:hint="eastAsia" w:ascii="新宋体" w:hAnsi="新宋体" w:eastAsia="新宋体"/>
          <w:b/>
          <w:szCs w:val="21"/>
        </w:rPr>
        <w:t>_（采购项目名称）_</w:t>
      </w:r>
      <w:r>
        <w:rPr>
          <w:rFonts w:hint="eastAsia" w:ascii="新宋体" w:hAnsi="新宋体" w:eastAsia="新宋体"/>
          <w:szCs w:val="21"/>
        </w:rPr>
        <w:t>项目采购活动，并提供</w:t>
      </w:r>
      <w:r>
        <w:rPr>
          <w:rFonts w:ascii="新宋体" w:hAnsi="新宋体" w:eastAsia="新宋体"/>
          <w:szCs w:val="21"/>
        </w:rPr>
        <w:t>:</w:t>
      </w:r>
      <w:r>
        <w:rPr>
          <w:rFonts w:hint="eastAsia" w:ascii="新宋体" w:hAnsi="新宋体" w:eastAsia="新宋体"/>
          <w:b/>
          <w:szCs w:val="21"/>
        </w:rPr>
        <w:t>□本单位制造的货物</w:t>
      </w:r>
      <w:r>
        <w:rPr>
          <w:rFonts w:ascii="新宋体" w:hAnsi="新宋体" w:eastAsia="新宋体"/>
          <w:b/>
          <w:szCs w:val="21"/>
        </w:rPr>
        <w:t>;</w:t>
      </w:r>
      <w:r>
        <w:rPr>
          <w:rFonts w:hint="eastAsia" w:ascii="新宋体" w:hAnsi="新宋体" w:eastAsia="新宋体"/>
          <w:b/>
          <w:szCs w:val="21"/>
        </w:rPr>
        <w:t>□提供其他监狱企业制造的货物（承诺人在□处打√）</w:t>
      </w:r>
      <w:r>
        <w:rPr>
          <w:rFonts w:hint="eastAsia" w:ascii="新宋体" w:hAnsi="新宋体" w:eastAsia="新宋体"/>
          <w:szCs w:val="21"/>
        </w:rPr>
        <w:t>。本条所称货物是指单一产品采购项目中的货物，或者非单一产品采购项目中的核心产品（货物）。</w:t>
      </w:r>
    </w:p>
    <w:p>
      <w:pPr>
        <w:spacing w:line="360" w:lineRule="auto"/>
        <w:ind w:firstLine="420" w:firstLineChars="200"/>
        <w:rPr>
          <w:rFonts w:ascii="新宋体" w:hAnsi="新宋体" w:eastAsia="新宋体"/>
          <w:szCs w:val="21"/>
        </w:rPr>
      </w:pPr>
      <w:r>
        <w:rPr>
          <w:rFonts w:hint="eastAsia" w:ascii="新宋体" w:hAnsi="新宋体" w:eastAsia="新宋体"/>
          <w:szCs w:val="21"/>
        </w:rPr>
        <w:t>本单位对上述声明的真实性负责。如有虚假，将依法承担相应责任。</w:t>
      </w:r>
    </w:p>
    <w:p>
      <w:pPr>
        <w:spacing w:line="360" w:lineRule="auto"/>
        <w:ind w:firstLine="420" w:firstLineChars="200"/>
        <w:rPr>
          <w:rFonts w:ascii="新宋体" w:hAnsi="新宋体" w:eastAsia="新宋体"/>
          <w:szCs w:val="21"/>
        </w:rPr>
      </w:pPr>
      <w:r>
        <w:rPr>
          <w:rFonts w:hint="eastAsia" w:ascii="新宋体" w:hAnsi="新宋体" w:eastAsia="新宋体"/>
          <w:szCs w:val="21"/>
        </w:rPr>
        <w:t>附：省级以上监狱管理局、戒毒管理局（含新疆生产建设兵团）出具的监狱企业证明文件。</w:t>
      </w:r>
    </w:p>
    <w:p>
      <w:pPr>
        <w:spacing w:line="360" w:lineRule="auto"/>
        <w:rPr>
          <w:rFonts w:ascii="新宋体" w:hAnsi="新宋体" w:eastAsia="新宋体"/>
          <w:szCs w:val="21"/>
        </w:rPr>
      </w:pPr>
    </w:p>
    <w:p>
      <w:pPr>
        <w:spacing w:line="360" w:lineRule="auto"/>
        <w:outlineLvl w:val="3"/>
        <w:rPr>
          <w:rFonts w:ascii="新宋体" w:hAnsi="新宋体" w:eastAsia="新宋体"/>
          <w:b/>
          <w:szCs w:val="21"/>
        </w:rPr>
      </w:pPr>
      <w:r>
        <w:rPr>
          <w:rFonts w:hint="eastAsia" w:ascii="新宋体" w:hAnsi="新宋体" w:eastAsia="新宋体"/>
          <w:b/>
          <w:szCs w:val="21"/>
        </w:rPr>
        <w:t>（八）疫情防控证明文件（可选）</w:t>
      </w:r>
    </w:p>
    <w:p>
      <w:pPr>
        <w:spacing w:line="360" w:lineRule="auto"/>
        <w:outlineLvl w:val="3"/>
        <w:rPr>
          <w:rFonts w:ascii="新宋体" w:hAnsi="新宋体" w:eastAsia="新宋体"/>
          <w:b/>
          <w:bCs/>
          <w:color w:val="FF0000"/>
          <w:szCs w:val="21"/>
        </w:rPr>
      </w:pPr>
      <w:r>
        <w:rPr>
          <w:rFonts w:hint="eastAsia" w:ascii="新宋体" w:hAnsi="新宋体" w:eastAsia="新宋体"/>
          <w:b/>
          <w:bCs/>
          <w:color w:val="FF0000"/>
          <w:szCs w:val="21"/>
        </w:rPr>
        <w:t>（特别提示：对照相关评分因素及评分准则提供相关资料，以便评委判断得分情况。）</w:t>
      </w:r>
    </w:p>
    <w:p>
      <w:pPr>
        <w:spacing w:line="360" w:lineRule="auto"/>
        <w:outlineLvl w:val="3"/>
        <w:rPr>
          <w:rFonts w:ascii="新宋体" w:hAnsi="新宋体" w:eastAsia="新宋体"/>
          <w:b/>
          <w:szCs w:val="21"/>
        </w:rPr>
      </w:pPr>
    </w:p>
    <w:p>
      <w:pPr>
        <w:spacing w:line="360" w:lineRule="auto"/>
        <w:outlineLvl w:val="3"/>
        <w:rPr>
          <w:rFonts w:ascii="新宋体" w:hAnsi="新宋体" w:eastAsia="新宋体"/>
          <w:b/>
          <w:szCs w:val="21"/>
        </w:rPr>
      </w:pPr>
      <w:r>
        <w:rPr>
          <w:rFonts w:hint="eastAsia" w:ascii="新宋体" w:hAnsi="新宋体" w:eastAsia="新宋体"/>
          <w:b/>
          <w:szCs w:val="21"/>
        </w:rPr>
        <w:t>（九）投标人认为需提供的其他证明文件</w:t>
      </w:r>
    </w:p>
    <w:p>
      <w:pPr>
        <w:rPr>
          <w:b/>
          <w:bCs/>
          <w:color w:val="FF0000"/>
          <w:sz w:val="24"/>
        </w:rPr>
      </w:pPr>
    </w:p>
    <w:p>
      <w:pPr>
        <w:rPr>
          <w:b/>
          <w:bCs/>
        </w:rPr>
      </w:pPr>
    </w:p>
    <w:p>
      <w:pPr>
        <w:pStyle w:val="3"/>
        <w:jc w:val="center"/>
        <w:rPr>
          <w:b w:val="0"/>
          <w:sz w:val="24"/>
          <w:szCs w:val="24"/>
        </w:rPr>
      </w:pPr>
      <w:r>
        <w:rPr>
          <w:rFonts w:hint="eastAsia" w:ascii="黑体" w:eastAsia="黑体"/>
          <w:b w:val="0"/>
          <w:sz w:val="24"/>
          <w:szCs w:val="24"/>
        </w:rPr>
        <w:t>五、货物说明一览表</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260"/>
        <w:gridCol w:w="126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jc w:val="center"/>
              <w:rPr>
                <w:rFonts w:ascii="新宋体" w:hAnsi="新宋体" w:eastAsia="新宋体"/>
                <w:szCs w:val="21"/>
              </w:rPr>
            </w:pPr>
            <w:r>
              <w:rPr>
                <w:rFonts w:hint="eastAsia" w:ascii="新宋体" w:hAnsi="新宋体" w:eastAsia="新宋体"/>
                <w:szCs w:val="21"/>
              </w:rPr>
              <w:t>序号</w:t>
            </w:r>
          </w:p>
        </w:tc>
        <w:tc>
          <w:tcPr>
            <w:tcW w:w="1620" w:type="dxa"/>
          </w:tcPr>
          <w:p>
            <w:pPr>
              <w:jc w:val="center"/>
              <w:rPr>
                <w:rFonts w:ascii="新宋体" w:hAnsi="新宋体" w:eastAsia="新宋体"/>
                <w:szCs w:val="21"/>
              </w:rPr>
            </w:pPr>
            <w:r>
              <w:rPr>
                <w:rFonts w:hint="eastAsia" w:ascii="新宋体" w:hAnsi="新宋体" w:eastAsia="新宋体"/>
                <w:szCs w:val="21"/>
              </w:rPr>
              <w:t>货物名称</w:t>
            </w:r>
          </w:p>
        </w:tc>
        <w:tc>
          <w:tcPr>
            <w:tcW w:w="1260" w:type="dxa"/>
          </w:tcPr>
          <w:p>
            <w:pPr>
              <w:jc w:val="center"/>
              <w:rPr>
                <w:rFonts w:ascii="新宋体" w:hAnsi="新宋体" w:eastAsia="新宋体"/>
                <w:szCs w:val="21"/>
              </w:rPr>
            </w:pPr>
            <w:r>
              <w:rPr>
                <w:rFonts w:hint="eastAsia" w:ascii="新宋体" w:hAnsi="新宋体" w:eastAsia="新宋体"/>
                <w:szCs w:val="21"/>
              </w:rPr>
              <w:t>型号</w:t>
            </w:r>
          </w:p>
        </w:tc>
        <w:tc>
          <w:tcPr>
            <w:tcW w:w="1260" w:type="dxa"/>
          </w:tcPr>
          <w:p>
            <w:pPr>
              <w:jc w:val="center"/>
              <w:rPr>
                <w:rFonts w:ascii="新宋体" w:hAnsi="新宋体" w:eastAsia="新宋体"/>
                <w:szCs w:val="21"/>
              </w:rPr>
            </w:pPr>
            <w:r>
              <w:rPr>
                <w:rFonts w:hint="eastAsia" w:ascii="新宋体" w:hAnsi="新宋体" w:eastAsia="新宋体"/>
                <w:szCs w:val="21"/>
              </w:rPr>
              <w:t>数量</w:t>
            </w:r>
          </w:p>
        </w:tc>
        <w:tc>
          <w:tcPr>
            <w:tcW w:w="1440" w:type="dxa"/>
          </w:tcPr>
          <w:p>
            <w:pPr>
              <w:jc w:val="center"/>
              <w:rPr>
                <w:rFonts w:ascii="新宋体" w:hAnsi="新宋体" w:eastAsia="新宋体"/>
                <w:szCs w:val="21"/>
              </w:rPr>
            </w:pPr>
            <w:r>
              <w:rPr>
                <w:rFonts w:hint="eastAsia" w:ascii="新宋体" w:hAnsi="新宋体" w:eastAsia="新宋体"/>
                <w:szCs w:val="21"/>
              </w:rPr>
              <w:t>单位</w:t>
            </w:r>
          </w:p>
        </w:tc>
        <w:tc>
          <w:tcPr>
            <w:tcW w:w="1440" w:type="dxa"/>
          </w:tcPr>
          <w:p>
            <w:pPr>
              <w:jc w:val="center"/>
              <w:rPr>
                <w:rFonts w:ascii="新宋体" w:hAnsi="新宋体" w:eastAsia="新宋体"/>
                <w:szCs w:val="21"/>
              </w:rPr>
            </w:pPr>
            <w:r>
              <w:rPr>
                <w:rFonts w:hint="eastAsia" w:ascii="新宋体" w:hAnsi="新宋体" w:eastAsia="新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rPr>
                <w:rFonts w:ascii="新宋体" w:hAnsi="新宋体" w:eastAsia="新宋体"/>
                <w:szCs w:val="21"/>
              </w:rPr>
            </w:pPr>
          </w:p>
        </w:tc>
        <w:tc>
          <w:tcPr>
            <w:tcW w:w="1620" w:type="dxa"/>
          </w:tcPr>
          <w:p>
            <w:pPr>
              <w:rPr>
                <w:rFonts w:ascii="新宋体" w:hAnsi="新宋体" w:eastAsia="新宋体"/>
                <w:szCs w:val="21"/>
              </w:rPr>
            </w:pPr>
          </w:p>
        </w:tc>
        <w:tc>
          <w:tcPr>
            <w:tcW w:w="1260" w:type="dxa"/>
          </w:tcPr>
          <w:p>
            <w:pPr>
              <w:rPr>
                <w:rFonts w:ascii="新宋体" w:hAnsi="新宋体" w:eastAsia="新宋体"/>
                <w:szCs w:val="21"/>
              </w:rPr>
            </w:pPr>
          </w:p>
        </w:tc>
        <w:tc>
          <w:tcPr>
            <w:tcW w:w="1260" w:type="dxa"/>
          </w:tcPr>
          <w:p>
            <w:pPr>
              <w:rPr>
                <w:rFonts w:ascii="新宋体" w:hAnsi="新宋体" w:eastAsia="新宋体"/>
                <w:szCs w:val="21"/>
              </w:rPr>
            </w:pPr>
          </w:p>
        </w:tc>
        <w:tc>
          <w:tcPr>
            <w:tcW w:w="1440" w:type="dxa"/>
          </w:tcPr>
          <w:p>
            <w:pPr>
              <w:rPr>
                <w:rFonts w:ascii="新宋体" w:hAnsi="新宋体" w:eastAsia="新宋体"/>
                <w:szCs w:val="21"/>
              </w:rPr>
            </w:pPr>
          </w:p>
        </w:tc>
        <w:tc>
          <w:tcPr>
            <w:tcW w:w="1440" w:type="dxa"/>
          </w:tcPr>
          <w:p>
            <w:pPr>
              <w:rPr>
                <w:rFonts w:ascii="新宋体" w:hAnsi="新宋体" w:eastAsia="新宋体"/>
                <w:szCs w:val="21"/>
              </w:rPr>
            </w:pPr>
          </w:p>
        </w:tc>
      </w:tr>
    </w:tbl>
    <w:p>
      <w:pPr>
        <w:rPr>
          <w:sz w:val="24"/>
        </w:rPr>
      </w:pPr>
    </w:p>
    <w:p>
      <w:pPr>
        <w:rPr>
          <w:sz w:val="24"/>
        </w:rPr>
      </w:pPr>
    </w:p>
    <w:p>
      <w:pPr>
        <w:rPr>
          <w:sz w:val="24"/>
        </w:rPr>
      </w:pPr>
    </w:p>
    <w:p>
      <w:pPr>
        <w:pStyle w:val="3"/>
        <w:jc w:val="center"/>
        <w:rPr>
          <w:rFonts w:ascii="黑体" w:eastAsia="黑体"/>
          <w:b w:val="0"/>
          <w:sz w:val="24"/>
          <w:szCs w:val="24"/>
        </w:rPr>
      </w:pPr>
      <w:r>
        <w:rPr>
          <w:rFonts w:hint="eastAsia" w:ascii="黑体" w:eastAsia="黑体"/>
          <w:b w:val="0"/>
          <w:sz w:val="24"/>
          <w:szCs w:val="24"/>
        </w:rPr>
        <w:t>六、技术规格偏离表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1356"/>
        <w:gridCol w:w="1356"/>
        <w:gridCol w:w="148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r>
              <w:rPr>
                <w:rFonts w:hint="eastAsia" w:ascii="新宋体" w:hAnsi="新宋体" w:eastAsia="新宋体"/>
                <w:szCs w:val="21"/>
              </w:rPr>
              <w:t>序号</w:t>
            </w:r>
          </w:p>
        </w:tc>
        <w:tc>
          <w:tcPr>
            <w:tcW w:w="1356" w:type="dxa"/>
          </w:tcPr>
          <w:p>
            <w:pPr>
              <w:rPr>
                <w:rFonts w:ascii="新宋体" w:hAnsi="新宋体" w:eastAsia="新宋体"/>
                <w:szCs w:val="21"/>
              </w:rPr>
            </w:pPr>
            <w:r>
              <w:rPr>
                <w:rFonts w:hint="eastAsia" w:ascii="新宋体" w:hAnsi="新宋体" w:eastAsia="新宋体"/>
                <w:szCs w:val="21"/>
              </w:rPr>
              <w:t>货物名称</w:t>
            </w:r>
          </w:p>
        </w:tc>
        <w:tc>
          <w:tcPr>
            <w:tcW w:w="1356" w:type="dxa"/>
          </w:tcPr>
          <w:p>
            <w:pPr>
              <w:rPr>
                <w:rFonts w:ascii="新宋体" w:hAnsi="新宋体" w:eastAsia="新宋体"/>
                <w:szCs w:val="21"/>
              </w:rPr>
            </w:pPr>
            <w:r>
              <w:rPr>
                <w:rFonts w:hint="eastAsia" w:ascii="新宋体" w:hAnsi="新宋体" w:eastAsia="新宋体"/>
                <w:szCs w:val="21"/>
              </w:rPr>
              <w:t>招标技术要求</w:t>
            </w:r>
          </w:p>
        </w:tc>
        <w:tc>
          <w:tcPr>
            <w:tcW w:w="1356" w:type="dxa"/>
          </w:tcPr>
          <w:p>
            <w:pPr>
              <w:rPr>
                <w:rFonts w:ascii="新宋体" w:hAnsi="新宋体" w:eastAsia="新宋体"/>
                <w:szCs w:val="21"/>
              </w:rPr>
            </w:pPr>
            <w:r>
              <w:rPr>
                <w:rFonts w:hint="eastAsia" w:ascii="新宋体" w:hAnsi="新宋体" w:eastAsia="新宋体"/>
                <w:szCs w:val="21"/>
              </w:rPr>
              <w:t>投标技术响应</w:t>
            </w:r>
          </w:p>
        </w:tc>
        <w:tc>
          <w:tcPr>
            <w:tcW w:w="1484" w:type="dxa"/>
          </w:tcPr>
          <w:p>
            <w:pPr>
              <w:rPr>
                <w:rFonts w:ascii="新宋体" w:hAnsi="新宋体" w:eastAsia="新宋体"/>
                <w:szCs w:val="21"/>
              </w:rPr>
            </w:pPr>
            <w:r>
              <w:rPr>
                <w:rFonts w:hint="eastAsia" w:ascii="新宋体" w:hAnsi="新宋体" w:eastAsia="新宋体"/>
                <w:szCs w:val="21"/>
              </w:rPr>
              <w:t>偏离情况</w:t>
            </w:r>
          </w:p>
        </w:tc>
        <w:tc>
          <w:tcPr>
            <w:tcW w:w="1530" w:type="dxa"/>
          </w:tcPr>
          <w:p>
            <w:pPr>
              <w:rPr>
                <w:rFonts w:ascii="新宋体" w:hAnsi="新宋体" w:eastAsia="新宋体"/>
                <w:szCs w:val="21"/>
              </w:rPr>
            </w:pPr>
            <w:r>
              <w:rPr>
                <w:rFonts w:hint="eastAsia" w:ascii="新宋体" w:hAnsi="新宋体" w:eastAsia="新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356" w:type="dxa"/>
          </w:tcPr>
          <w:p>
            <w:pPr>
              <w:rPr>
                <w:rFonts w:ascii="新宋体" w:hAnsi="新宋体" w:eastAsia="新宋体"/>
                <w:szCs w:val="21"/>
              </w:rPr>
            </w:pPr>
          </w:p>
        </w:tc>
        <w:tc>
          <w:tcPr>
            <w:tcW w:w="1484" w:type="dxa"/>
          </w:tcPr>
          <w:p>
            <w:pPr>
              <w:rPr>
                <w:rFonts w:ascii="新宋体" w:hAnsi="新宋体" w:eastAsia="新宋体"/>
                <w:szCs w:val="21"/>
              </w:rPr>
            </w:pPr>
          </w:p>
        </w:tc>
        <w:tc>
          <w:tcPr>
            <w:tcW w:w="1530" w:type="dxa"/>
          </w:tcPr>
          <w:p>
            <w:pPr>
              <w:rPr>
                <w:rFonts w:ascii="新宋体" w:hAnsi="新宋体" w:eastAsia="新宋体"/>
                <w:szCs w:val="21"/>
              </w:rPr>
            </w:pPr>
          </w:p>
        </w:tc>
      </w:tr>
    </w:tbl>
    <w:p>
      <w:pPr>
        <w:spacing w:line="360" w:lineRule="auto"/>
        <w:rPr>
          <w:rFonts w:ascii="新宋体" w:hAnsi="新宋体" w:eastAsia="新宋体"/>
          <w:szCs w:val="21"/>
        </w:rPr>
      </w:pPr>
      <w:r>
        <w:rPr>
          <w:rFonts w:hint="eastAsia" w:ascii="新宋体" w:hAnsi="新宋体" w:eastAsia="新宋体"/>
          <w:szCs w:val="21"/>
        </w:rPr>
        <w:t>备注：</w:t>
      </w:r>
    </w:p>
    <w:p>
      <w:pPr>
        <w:spacing w:line="360" w:lineRule="auto"/>
        <w:rPr>
          <w:rFonts w:ascii="新宋体" w:hAnsi="新宋体" w:eastAsia="新宋体"/>
          <w:color w:val="FF0000"/>
          <w:szCs w:val="21"/>
        </w:rPr>
      </w:pPr>
      <w:r>
        <w:rPr>
          <w:rFonts w:hint="eastAsia" w:ascii="新宋体" w:hAnsi="新宋体" w:eastAsia="新宋体"/>
          <w:color w:val="FF0000"/>
          <w:szCs w:val="21"/>
        </w:rPr>
        <w:t>1、“招标技术要求”一栏应</w:t>
      </w:r>
      <w:r>
        <w:rPr>
          <w:rFonts w:hint="eastAsia" w:ascii="新宋体" w:hAnsi="新宋体" w:eastAsia="新宋体"/>
          <w:b/>
          <w:color w:val="FF0000"/>
          <w:szCs w:val="21"/>
        </w:rPr>
        <w:t>填写招标文件第二章</w:t>
      </w:r>
      <w:r>
        <w:rPr>
          <w:rFonts w:hint="eastAsia" w:ascii="新宋体" w:hAnsi="新宋体" w:eastAsia="新宋体"/>
          <w:color w:val="FF0000"/>
          <w:szCs w:val="21"/>
        </w:rPr>
        <w:t>“具体技术要求”的内容；</w:t>
      </w:r>
    </w:p>
    <w:p>
      <w:pPr>
        <w:spacing w:line="360" w:lineRule="auto"/>
        <w:rPr>
          <w:rFonts w:ascii="新宋体" w:hAnsi="新宋体" w:eastAsia="新宋体"/>
          <w:color w:val="FF0000"/>
          <w:szCs w:val="21"/>
        </w:rPr>
      </w:pPr>
      <w:r>
        <w:rPr>
          <w:rFonts w:hint="eastAsia" w:ascii="新宋体" w:hAnsi="新宋体" w:eastAsia="新宋体"/>
          <w:color w:val="FF0000"/>
          <w:szCs w:val="21"/>
        </w:rPr>
        <w:t>2、“投标技术响应”一栏必须详细填写投标产品的具体参数，并应对照招标技术要求一一对应响应；</w:t>
      </w:r>
    </w:p>
    <w:p>
      <w:pPr>
        <w:spacing w:line="360" w:lineRule="auto"/>
        <w:rPr>
          <w:rFonts w:ascii="新宋体" w:hAnsi="新宋体" w:eastAsia="新宋体"/>
          <w:color w:val="FF0000"/>
          <w:szCs w:val="21"/>
        </w:rPr>
      </w:pPr>
      <w:r>
        <w:rPr>
          <w:rFonts w:hint="eastAsia" w:ascii="新宋体" w:hAnsi="新宋体" w:eastAsia="新宋体"/>
          <w:color w:val="FF0000"/>
          <w:szCs w:val="21"/>
        </w:rPr>
        <w:t>3、“偏离情况”一栏应如实填写“正偏离”、“负偏离”或“无偏离”。</w:t>
      </w:r>
    </w:p>
    <w:p>
      <w:pPr>
        <w:spacing w:line="360" w:lineRule="auto"/>
        <w:rPr>
          <w:rFonts w:ascii="新宋体" w:hAnsi="新宋体" w:eastAsia="新宋体"/>
          <w:color w:val="FF0000"/>
          <w:szCs w:val="21"/>
        </w:rPr>
      </w:pPr>
      <w:r>
        <w:rPr>
          <w:rFonts w:hint="eastAsia" w:ascii="新宋体" w:hAnsi="新宋体" w:eastAsia="新宋体"/>
          <w:color w:val="FF0000"/>
          <w:szCs w:val="21"/>
        </w:rPr>
        <w:t>4、投标人在《技术规格偏离表》填写的“投标技术响应”与《具体技术要求》的“招标技术要求”存在填写不全的情况，将被视为未实质性满足招标文件要求作投标无效处理。示例，“招标技术要求”共有10项参数，投标人只响应了9项，填写不全，则视为未实质性满足招标文件要求作投标无效处理。</w:t>
      </w:r>
    </w:p>
    <w:p>
      <w:pPr>
        <w:spacing w:line="360" w:lineRule="auto"/>
        <w:rPr>
          <w:rFonts w:ascii="新宋体" w:hAnsi="新宋体" w:eastAsia="新宋体"/>
          <w:color w:val="FF0000"/>
          <w:szCs w:val="21"/>
        </w:rPr>
      </w:pPr>
      <w:r>
        <w:rPr>
          <w:rFonts w:hint="eastAsia" w:ascii="新宋体" w:hAnsi="新宋体" w:eastAsia="新宋体"/>
          <w:color w:val="FF0000"/>
          <w:szCs w:val="21"/>
        </w:rPr>
        <w:t>5、投标人所填写的“偏离情况”与评审委员会判定不一致时</w:t>
      </w:r>
      <w:r>
        <w:rPr>
          <w:rFonts w:hint="eastAsia" w:ascii="新宋体" w:hAnsi="新宋体" w:eastAsia="新宋体"/>
          <w:b/>
          <w:color w:val="FF0000"/>
          <w:szCs w:val="21"/>
        </w:rPr>
        <w:t>，以评审委员会意见为主。另，判定结果不一致的参数超过一定数量的，则评分项“技术偏离情况”将不得分（即计为0分）。</w:t>
      </w:r>
    </w:p>
    <w:p>
      <w:pPr>
        <w:spacing w:line="360" w:lineRule="auto"/>
        <w:rPr>
          <w:rFonts w:ascii="新宋体" w:hAnsi="新宋体" w:eastAsia="新宋体"/>
          <w:color w:val="FF0000"/>
          <w:szCs w:val="21"/>
        </w:rPr>
      </w:pPr>
      <w:r>
        <w:rPr>
          <w:rFonts w:hint="eastAsia" w:ascii="新宋体" w:hAnsi="新宋体" w:eastAsia="新宋体"/>
          <w:b/>
          <w:color w:val="FF0000"/>
          <w:szCs w:val="21"/>
        </w:rPr>
        <w:t>一定数量的设置：</w:t>
      </w:r>
      <w:r>
        <w:rPr>
          <w:rFonts w:hint="eastAsia" w:ascii="新宋体" w:hAnsi="新宋体" w:eastAsia="新宋体"/>
          <w:color w:val="FF0000"/>
          <w:szCs w:val="21"/>
        </w:rPr>
        <w:t>（1）《具体技术要求》全部参数数量10%（四舍五入取整数）不足3条的，以3条为标准；（2）《具体技术要求》全部参数数量10%（四舍五入取整数）超过10条的，以10条为标准；（3）其他情况，按《具体技术要求》全部参数数量10%（四舍五入取整数）为标准。</w:t>
      </w:r>
    </w:p>
    <w:p>
      <w:pPr>
        <w:spacing w:line="360" w:lineRule="auto"/>
        <w:rPr>
          <w:rFonts w:ascii="新宋体" w:hAnsi="新宋体" w:eastAsia="新宋体"/>
          <w:b/>
          <w:color w:val="FF0000"/>
          <w:szCs w:val="21"/>
        </w:rPr>
      </w:pPr>
      <w:r>
        <w:rPr>
          <w:rFonts w:hint="eastAsia" w:ascii="新宋体" w:hAnsi="新宋体" w:eastAsia="新宋体"/>
          <w:szCs w:val="21"/>
        </w:rPr>
        <w:t>6、投标产品的技术参数应按</w:t>
      </w:r>
      <w:r>
        <w:rPr>
          <w:rFonts w:hint="eastAsia" w:ascii="新宋体" w:hAnsi="新宋体" w:eastAsia="新宋体"/>
          <w:color w:val="FF0000"/>
          <w:szCs w:val="21"/>
        </w:rPr>
        <w:t>《技术规格偏离表》中的要求</w:t>
      </w:r>
      <w:r>
        <w:rPr>
          <w:rFonts w:hint="eastAsia" w:ascii="新宋体" w:hAnsi="新宋体" w:eastAsia="新宋体"/>
          <w:szCs w:val="21"/>
        </w:rPr>
        <w:t>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r>
        <w:rPr>
          <w:rFonts w:hint="eastAsia" w:ascii="新宋体" w:hAnsi="新宋体" w:eastAsia="新宋体"/>
          <w:b/>
          <w:color w:val="FF0000"/>
          <w:szCs w:val="21"/>
        </w:rPr>
        <w:t>若《技术规格偏离表》中未要求提供相应证明材料的，投标人可以不提供。</w:t>
      </w:r>
    </w:p>
    <w:p>
      <w:pPr>
        <w:spacing w:line="360" w:lineRule="auto"/>
        <w:rPr>
          <w:rFonts w:ascii="新宋体" w:hAnsi="新宋体" w:eastAsia="新宋体"/>
          <w:szCs w:val="21"/>
        </w:rPr>
      </w:pPr>
      <w:r>
        <w:rPr>
          <w:rFonts w:hint="eastAsia" w:ascii="新宋体" w:hAnsi="新宋体" w:eastAsia="新宋体"/>
          <w:szCs w:val="21"/>
        </w:rPr>
        <w:t>7、证明资料（均为扫描件）的提供要求：</w:t>
      </w:r>
    </w:p>
    <w:p>
      <w:pPr>
        <w:spacing w:line="360" w:lineRule="auto"/>
        <w:rPr>
          <w:rFonts w:ascii="新宋体" w:hAnsi="新宋体" w:eastAsia="新宋体"/>
          <w:szCs w:val="21"/>
        </w:rPr>
      </w:pPr>
      <w:r>
        <w:rPr>
          <w:rFonts w:hint="eastAsia" w:ascii="新宋体" w:hAnsi="新宋体" w:eastAsia="新宋体"/>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spacing w:line="360" w:lineRule="auto"/>
        <w:rPr>
          <w:rFonts w:ascii="新宋体" w:hAnsi="新宋体" w:eastAsia="新宋体"/>
          <w:szCs w:val="21"/>
        </w:rPr>
      </w:pPr>
      <w:r>
        <w:rPr>
          <w:rFonts w:hint="eastAsia" w:ascii="新宋体" w:hAnsi="新宋体" w:eastAsia="新宋体"/>
          <w:szCs w:val="21"/>
        </w:rPr>
        <w:t>（2）我国政府机构出具的产品检验和核准证件应为证件正面、背面和附件标注的全部具体内容；产品检验和核准证件的尺寸和清晰度应该能够在电脑上被阅读、识别和判断。</w:t>
      </w:r>
    </w:p>
    <w:p>
      <w:pPr>
        <w:spacing w:line="360" w:lineRule="auto"/>
        <w:rPr>
          <w:rFonts w:ascii="新宋体" w:hAnsi="新宋体" w:eastAsia="新宋体"/>
          <w:szCs w:val="21"/>
        </w:rPr>
      </w:pPr>
      <w:r>
        <w:rPr>
          <w:rFonts w:hint="eastAsia" w:ascii="新宋体" w:hAnsi="新宋体" w:eastAsia="新宋体"/>
          <w:szCs w:val="21"/>
        </w:rPr>
        <w:t>8、评审委员会有权对以谋取中标为目的的技术规格模糊响应（如有意照搬照抄招标文件的技术要求）或虚假响应予以认定，并视情况经集中采购机构报市政府采购监督管理部门予以处罚。</w:t>
      </w:r>
    </w:p>
    <w:p>
      <w:pPr>
        <w:spacing w:line="360" w:lineRule="auto"/>
        <w:rPr>
          <w:rFonts w:ascii="新宋体" w:hAnsi="新宋体" w:eastAsia="新宋体"/>
          <w:szCs w:val="21"/>
        </w:rPr>
      </w:pPr>
    </w:p>
    <w:p>
      <w:pPr>
        <w:pStyle w:val="3"/>
        <w:spacing w:line="360" w:lineRule="auto"/>
        <w:jc w:val="center"/>
        <w:rPr>
          <w:rFonts w:ascii="新宋体" w:hAnsi="新宋体" w:eastAsia="新宋体"/>
          <w:b w:val="0"/>
          <w:bCs w:val="0"/>
          <w:sz w:val="21"/>
          <w:szCs w:val="21"/>
        </w:rPr>
      </w:pPr>
      <w:r>
        <w:rPr>
          <w:rFonts w:hint="eastAsia" w:ascii="新宋体" w:hAnsi="新宋体" w:eastAsia="新宋体"/>
          <w:b w:val="0"/>
          <w:bCs w:val="0"/>
          <w:sz w:val="21"/>
          <w:szCs w:val="21"/>
        </w:rPr>
        <w:t>七、商务需求偏离表</w:t>
      </w:r>
    </w:p>
    <w:tbl>
      <w:tblPr>
        <w:tblStyle w:val="43"/>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序号</w:t>
            </w:r>
          </w:p>
        </w:tc>
        <w:tc>
          <w:tcPr>
            <w:tcW w:w="1080" w:type="dxa"/>
          </w:tcPr>
          <w:p>
            <w:pPr>
              <w:spacing w:line="360" w:lineRule="auto"/>
              <w:rPr>
                <w:rFonts w:ascii="新宋体" w:hAnsi="新宋体" w:eastAsia="新宋体"/>
                <w:szCs w:val="21"/>
              </w:rPr>
            </w:pPr>
            <w:r>
              <w:rPr>
                <w:rFonts w:hint="eastAsia" w:ascii="新宋体" w:hAnsi="新宋体" w:eastAsia="新宋体"/>
                <w:szCs w:val="21"/>
              </w:rPr>
              <w:t>目录</w:t>
            </w:r>
          </w:p>
        </w:tc>
        <w:tc>
          <w:tcPr>
            <w:tcW w:w="1980" w:type="dxa"/>
          </w:tcPr>
          <w:p>
            <w:pPr>
              <w:spacing w:line="360" w:lineRule="auto"/>
              <w:rPr>
                <w:rFonts w:ascii="新宋体" w:hAnsi="新宋体" w:eastAsia="新宋体"/>
                <w:szCs w:val="21"/>
              </w:rPr>
            </w:pPr>
            <w:r>
              <w:rPr>
                <w:rFonts w:hint="eastAsia" w:ascii="新宋体" w:hAnsi="新宋体" w:eastAsia="新宋体"/>
                <w:szCs w:val="21"/>
              </w:rPr>
              <w:t>招标商务条款</w:t>
            </w:r>
          </w:p>
        </w:tc>
        <w:tc>
          <w:tcPr>
            <w:tcW w:w="1980" w:type="dxa"/>
          </w:tcPr>
          <w:p>
            <w:pPr>
              <w:spacing w:line="360" w:lineRule="auto"/>
              <w:rPr>
                <w:rFonts w:ascii="新宋体" w:hAnsi="新宋体" w:eastAsia="新宋体"/>
                <w:szCs w:val="21"/>
              </w:rPr>
            </w:pPr>
            <w:r>
              <w:rPr>
                <w:rFonts w:hint="eastAsia" w:ascii="新宋体" w:hAnsi="新宋体" w:eastAsia="新宋体"/>
                <w:szCs w:val="21"/>
              </w:rPr>
              <w:t>投标商务条款</w:t>
            </w:r>
          </w:p>
        </w:tc>
        <w:tc>
          <w:tcPr>
            <w:tcW w:w="1440" w:type="dxa"/>
          </w:tcPr>
          <w:p>
            <w:pPr>
              <w:spacing w:line="360" w:lineRule="auto"/>
              <w:rPr>
                <w:rFonts w:ascii="新宋体" w:hAnsi="新宋体" w:eastAsia="新宋体"/>
                <w:szCs w:val="21"/>
              </w:rPr>
            </w:pPr>
            <w:r>
              <w:rPr>
                <w:rFonts w:hint="eastAsia" w:ascii="新宋体" w:hAnsi="新宋体" w:eastAsia="新宋体"/>
                <w:szCs w:val="21"/>
              </w:rPr>
              <w:t>偏离情况</w:t>
            </w:r>
          </w:p>
        </w:tc>
        <w:tc>
          <w:tcPr>
            <w:tcW w:w="1620" w:type="dxa"/>
          </w:tcPr>
          <w:p>
            <w:pPr>
              <w:spacing w:line="360" w:lineRule="auto"/>
              <w:rPr>
                <w:rFonts w:ascii="新宋体" w:hAnsi="新宋体" w:eastAsia="新宋体"/>
                <w:szCs w:val="21"/>
              </w:rPr>
            </w:pPr>
            <w:r>
              <w:rPr>
                <w:rFonts w:hint="eastAsia" w:ascii="新宋体" w:hAnsi="新宋体" w:eastAsia="新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spacing w:line="360" w:lineRule="auto"/>
              <w:rPr>
                <w:rFonts w:ascii="新宋体" w:hAnsi="新宋体" w:eastAsia="新宋体"/>
                <w:szCs w:val="21"/>
              </w:rPr>
            </w:pPr>
            <w:r>
              <w:rPr>
                <w:rFonts w:hint="eastAsia" w:ascii="新宋体" w:hAnsi="新宋体" w:eastAsia="新宋体"/>
                <w:szCs w:val="21"/>
              </w:rPr>
              <w:t>（一）免费保修期内售后服务条款偏离表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1</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2</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spacing w:line="360" w:lineRule="auto"/>
              <w:rPr>
                <w:rFonts w:ascii="新宋体" w:hAnsi="新宋体" w:eastAsia="新宋体"/>
                <w:szCs w:val="21"/>
              </w:rPr>
            </w:pPr>
            <w:r>
              <w:rPr>
                <w:rFonts w:hint="eastAsia" w:ascii="新宋体" w:hAnsi="新宋体" w:eastAsia="新宋体"/>
                <w:szCs w:val="21"/>
              </w:rPr>
              <w:t>（二）免费保修期外售后服务条款偏离表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1</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2</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spacing w:line="360" w:lineRule="auto"/>
              <w:rPr>
                <w:rFonts w:ascii="新宋体" w:hAnsi="新宋体" w:eastAsia="新宋体"/>
                <w:szCs w:val="21"/>
              </w:rPr>
            </w:pPr>
            <w:r>
              <w:rPr>
                <w:rFonts w:hint="eastAsia" w:ascii="新宋体" w:hAnsi="新宋体" w:eastAsia="新宋体"/>
                <w:szCs w:val="21"/>
              </w:rPr>
              <w:t>（三）其他商务条款偏离表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1</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2</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360" w:lineRule="auto"/>
              <w:rPr>
                <w:rFonts w:ascii="新宋体" w:hAnsi="新宋体" w:eastAsia="新宋体"/>
                <w:szCs w:val="21"/>
              </w:rPr>
            </w:pPr>
            <w:r>
              <w:rPr>
                <w:rFonts w:hint="eastAsia" w:ascii="新宋体" w:hAnsi="新宋体" w:eastAsia="新宋体"/>
                <w:szCs w:val="21"/>
              </w:rPr>
              <w:t>……</w:t>
            </w:r>
          </w:p>
        </w:tc>
        <w:tc>
          <w:tcPr>
            <w:tcW w:w="10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980" w:type="dxa"/>
          </w:tcPr>
          <w:p>
            <w:pPr>
              <w:spacing w:line="360" w:lineRule="auto"/>
              <w:rPr>
                <w:rFonts w:ascii="新宋体" w:hAnsi="新宋体" w:eastAsia="新宋体"/>
                <w:szCs w:val="21"/>
              </w:rPr>
            </w:pPr>
          </w:p>
        </w:tc>
        <w:tc>
          <w:tcPr>
            <w:tcW w:w="1440" w:type="dxa"/>
          </w:tcPr>
          <w:p>
            <w:pPr>
              <w:spacing w:line="360" w:lineRule="auto"/>
              <w:rPr>
                <w:rFonts w:ascii="新宋体" w:hAnsi="新宋体" w:eastAsia="新宋体"/>
                <w:szCs w:val="21"/>
              </w:rPr>
            </w:pPr>
          </w:p>
        </w:tc>
        <w:tc>
          <w:tcPr>
            <w:tcW w:w="1620" w:type="dxa"/>
          </w:tcPr>
          <w:p>
            <w:pPr>
              <w:spacing w:line="360" w:lineRule="auto"/>
              <w:rPr>
                <w:rFonts w:ascii="新宋体" w:hAnsi="新宋体" w:eastAsia="新宋体"/>
                <w:szCs w:val="21"/>
              </w:rPr>
            </w:pPr>
          </w:p>
        </w:tc>
      </w:tr>
    </w:tbl>
    <w:p>
      <w:pPr>
        <w:spacing w:line="360" w:lineRule="auto"/>
        <w:rPr>
          <w:rFonts w:ascii="新宋体" w:hAnsi="新宋体" w:eastAsia="新宋体"/>
          <w:szCs w:val="21"/>
        </w:rPr>
      </w:pPr>
      <w:r>
        <w:rPr>
          <w:rFonts w:hint="eastAsia" w:ascii="新宋体" w:hAnsi="新宋体" w:eastAsia="新宋体"/>
          <w:szCs w:val="21"/>
        </w:rPr>
        <w:t>备注：</w:t>
      </w:r>
    </w:p>
    <w:p>
      <w:pPr>
        <w:spacing w:line="360" w:lineRule="auto"/>
        <w:rPr>
          <w:rFonts w:ascii="新宋体" w:hAnsi="新宋体" w:eastAsia="新宋体"/>
          <w:color w:val="FF0000"/>
          <w:szCs w:val="21"/>
        </w:rPr>
      </w:pPr>
      <w:r>
        <w:rPr>
          <w:rFonts w:hint="eastAsia" w:ascii="新宋体" w:hAnsi="新宋体" w:eastAsia="新宋体"/>
          <w:color w:val="FF0000"/>
          <w:szCs w:val="21"/>
        </w:rPr>
        <w:t>1. “招标商务条款”一栏必须填写招标文件第二章“商务需求”的内容分别对应“（一）免费保修期内售后服务要求、（二）免费保修期外售后服务要求、（三）其他商务要求”的内容进行填写。</w:t>
      </w:r>
    </w:p>
    <w:p>
      <w:pPr>
        <w:spacing w:line="360" w:lineRule="auto"/>
        <w:rPr>
          <w:rFonts w:ascii="新宋体" w:hAnsi="新宋体" w:eastAsia="新宋体"/>
          <w:color w:val="FF0000"/>
          <w:szCs w:val="21"/>
        </w:rPr>
      </w:pPr>
      <w:r>
        <w:rPr>
          <w:rFonts w:hint="eastAsia" w:ascii="新宋体" w:hAnsi="新宋体" w:eastAsia="新宋体"/>
          <w:color w:val="FF0000"/>
          <w:szCs w:val="21"/>
        </w:rPr>
        <w:t>2. “投标商务条款”一栏必须详细填写投标商务条款的内容。</w:t>
      </w:r>
    </w:p>
    <w:p>
      <w:pPr>
        <w:spacing w:line="360" w:lineRule="auto"/>
        <w:rPr>
          <w:rFonts w:ascii="新宋体" w:hAnsi="新宋体" w:eastAsia="新宋体"/>
          <w:color w:val="FF0000"/>
          <w:szCs w:val="21"/>
        </w:rPr>
      </w:pPr>
      <w:r>
        <w:rPr>
          <w:rFonts w:hint="eastAsia" w:ascii="新宋体" w:hAnsi="新宋体" w:eastAsia="新宋体"/>
          <w:color w:val="FF0000"/>
          <w:szCs w:val="21"/>
        </w:rPr>
        <w:t>3. “偏离情况”栏中应如实填写“正偏离”、“负偏离”或“无偏离”。</w:t>
      </w:r>
    </w:p>
    <w:p>
      <w:pPr>
        <w:spacing w:line="360" w:lineRule="auto"/>
        <w:rPr>
          <w:rFonts w:ascii="新宋体" w:hAnsi="新宋体" w:eastAsia="新宋体"/>
          <w:color w:val="FF0000"/>
          <w:szCs w:val="21"/>
        </w:rPr>
      </w:pPr>
      <w:r>
        <w:rPr>
          <w:rFonts w:hint="eastAsia" w:ascii="新宋体" w:hAnsi="新宋体" w:eastAsia="新宋体"/>
          <w:color w:val="FF0000"/>
          <w:szCs w:val="21"/>
        </w:rPr>
        <w:t>4．投标人在《商务需求偏离表》填写的“投标商务条款”与《商务需求》的“招标商务条款”存在填写不全的，将被视为未实质性满足招标文件要求作投标无效处理。示例，“招标商务条款”共有10项参数，投标人只响应了9项，填写不全，则视为未实质性满足招标文件要求作投标无效处理。</w:t>
      </w:r>
    </w:p>
    <w:p>
      <w:pPr>
        <w:spacing w:line="360" w:lineRule="auto"/>
        <w:rPr>
          <w:rFonts w:ascii="新宋体" w:hAnsi="新宋体" w:eastAsia="新宋体"/>
          <w:color w:val="FF0000"/>
          <w:szCs w:val="21"/>
        </w:rPr>
      </w:pPr>
      <w:r>
        <w:rPr>
          <w:rFonts w:hint="eastAsia" w:ascii="新宋体" w:hAnsi="新宋体" w:eastAsia="新宋体"/>
          <w:b/>
          <w:color w:val="FF0000"/>
          <w:szCs w:val="21"/>
        </w:rPr>
        <w:t>5．</w:t>
      </w:r>
      <w:r>
        <w:rPr>
          <w:rFonts w:hint="eastAsia" w:ascii="新宋体" w:hAnsi="新宋体" w:eastAsia="新宋体"/>
          <w:color w:val="FF0000"/>
          <w:szCs w:val="21"/>
        </w:rPr>
        <w:t>投标人所填写的“偏离情况”与评审委员会判定不一致时</w:t>
      </w:r>
      <w:r>
        <w:rPr>
          <w:rFonts w:hint="eastAsia" w:ascii="新宋体" w:hAnsi="新宋体" w:eastAsia="新宋体"/>
          <w:b/>
          <w:color w:val="FF0000"/>
          <w:szCs w:val="21"/>
        </w:rPr>
        <w:t>，以评审委员会意见为主。另，判定结果不一致的参数超过一定数量的，则评分项“商务偏离情况”将不得分（即计为0分）。</w:t>
      </w:r>
    </w:p>
    <w:p>
      <w:pPr>
        <w:spacing w:line="360" w:lineRule="auto"/>
        <w:rPr>
          <w:rFonts w:ascii="新宋体" w:hAnsi="新宋体" w:eastAsia="新宋体"/>
          <w:color w:val="FF0000"/>
          <w:szCs w:val="21"/>
        </w:rPr>
      </w:pPr>
      <w:r>
        <w:rPr>
          <w:rFonts w:hint="eastAsia" w:ascii="新宋体" w:hAnsi="新宋体" w:eastAsia="新宋体"/>
          <w:b/>
          <w:color w:val="FF0000"/>
          <w:szCs w:val="21"/>
        </w:rPr>
        <w:t>一定数量的设置：</w:t>
      </w:r>
      <w:r>
        <w:rPr>
          <w:rFonts w:hint="eastAsia" w:ascii="新宋体" w:hAnsi="新宋体" w:eastAsia="新宋体"/>
          <w:color w:val="FF0000"/>
          <w:szCs w:val="21"/>
        </w:rPr>
        <w:t>（1）《商务需求》全部参数数量10%（四舍五入取整数）不足3条的，以3条为标准；（2）《商务需求》全部参数数量10%（四舍五入取整数）超过10条的，以10条为标准；（3）其他情况，按《商务需求》全部参数数量10%（四舍五入取整数）为标准。</w:t>
      </w:r>
    </w:p>
    <w:p>
      <w:pPr>
        <w:spacing w:line="360" w:lineRule="auto"/>
        <w:rPr>
          <w:rFonts w:ascii="新宋体" w:hAnsi="新宋体" w:eastAsia="新宋体"/>
          <w:color w:val="FF0000"/>
          <w:szCs w:val="21"/>
        </w:rPr>
      </w:pPr>
      <w:r>
        <w:rPr>
          <w:rFonts w:hint="eastAsia" w:ascii="新宋体" w:hAnsi="新宋体" w:eastAsia="新宋体"/>
          <w:color w:val="FF0000"/>
          <w:szCs w:val="21"/>
        </w:rPr>
        <w:t>6.交货期条款为不可负偏离条款，投标文件响应为“负偏离”的，投标文件将按无效投标处理。</w:t>
      </w:r>
    </w:p>
    <w:p>
      <w:pPr>
        <w:spacing w:line="360" w:lineRule="auto"/>
        <w:rPr>
          <w:rFonts w:ascii="新宋体" w:hAnsi="新宋体" w:eastAsia="新宋体"/>
          <w:color w:val="FF0000"/>
          <w:szCs w:val="21"/>
        </w:rPr>
      </w:pPr>
      <w:r>
        <w:rPr>
          <w:rFonts w:hint="eastAsia" w:ascii="新宋体" w:hAnsi="新宋体" w:eastAsia="新宋体"/>
          <w:color w:val="FF0000"/>
          <w:szCs w:val="21"/>
        </w:rPr>
        <w:t>7.开标一览表中填写的“交货期”应当与本表填写的“交货期”一致。如填写不一致，以本表填写的“交货期”为准。</w:t>
      </w:r>
    </w:p>
    <w:p>
      <w:pPr>
        <w:spacing w:line="360" w:lineRule="auto"/>
        <w:rPr>
          <w:rFonts w:ascii="新宋体" w:hAnsi="新宋体" w:eastAsia="新宋体"/>
          <w:szCs w:val="21"/>
        </w:rPr>
      </w:pPr>
    </w:p>
    <w:p>
      <w:pPr>
        <w:pStyle w:val="3"/>
        <w:spacing w:line="360" w:lineRule="auto"/>
        <w:jc w:val="center"/>
        <w:rPr>
          <w:rFonts w:ascii="新宋体" w:hAnsi="新宋体" w:eastAsia="新宋体"/>
          <w:b w:val="0"/>
          <w:bCs w:val="0"/>
          <w:sz w:val="21"/>
          <w:szCs w:val="21"/>
        </w:rPr>
      </w:pPr>
      <w:r>
        <w:rPr>
          <w:rFonts w:hint="eastAsia" w:ascii="新宋体" w:hAnsi="新宋体" w:eastAsia="新宋体"/>
          <w:b w:val="0"/>
          <w:bCs w:val="0"/>
          <w:sz w:val="21"/>
          <w:szCs w:val="21"/>
        </w:rPr>
        <w:t>八、投标人认为需要加以说明的其他内容</w:t>
      </w: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b/>
          <w:color w:val="FF0000"/>
          <w:szCs w:val="21"/>
        </w:rPr>
      </w:pPr>
      <w:r>
        <w:rPr>
          <w:rFonts w:hint="eastAsia" w:ascii="新宋体" w:hAnsi="新宋体" w:eastAsia="新宋体"/>
          <w:b/>
          <w:color w:val="FF0000"/>
          <w:szCs w:val="21"/>
        </w:rPr>
        <w:t>（信息公开部分的内容到此为止！往下为信息不公开部分。）</w:t>
      </w:r>
    </w:p>
    <w:p>
      <w:pPr>
        <w:spacing w:line="360" w:lineRule="auto"/>
        <w:rPr>
          <w:rFonts w:ascii="宋体" w:hAnsi="宋体"/>
          <w:b/>
          <w:color w:val="FF0000"/>
          <w:sz w:val="28"/>
          <w:szCs w:val="28"/>
        </w:rPr>
      </w:pPr>
      <w:r>
        <w:rPr>
          <w:rFonts w:hint="eastAsia" w:ascii="宋体" w:hAnsi="宋体"/>
          <w:b/>
          <w:color w:val="FF0000"/>
          <w:sz w:val="28"/>
          <w:szCs w:val="28"/>
        </w:rPr>
        <w:t>投标文件附件（信息不公开部分）</w:t>
      </w:r>
    </w:p>
    <w:p>
      <w:pPr>
        <w:pStyle w:val="3"/>
        <w:spacing w:line="360" w:lineRule="auto"/>
        <w:jc w:val="center"/>
        <w:rPr>
          <w:rFonts w:ascii="新宋体" w:hAnsi="新宋体" w:eastAsia="新宋体"/>
          <w:b w:val="0"/>
          <w:sz w:val="21"/>
          <w:szCs w:val="21"/>
        </w:rPr>
      </w:pPr>
      <w:r>
        <w:rPr>
          <w:rFonts w:hint="eastAsia" w:ascii="新宋体" w:hAnsi="新宋体" w:eastAsia="新宋体"/>
          <w:b w:val="0"/>
          <w:sz w:val="21"/>
          <w:szCs w:val="21"/>
        </w:rPr>
        <w:t>一、法定代表人证明书</w:t>
      </w:r>
    </w:p>
    <w:p>
      <w:pPr>
        <w:spacing w:line="360" w:lineRule="auto"/>
        <w:rPr>
          <w:rFonts w:ascii="新宋体" w:hAnsi="新宋体" w:eastAsia="新宋体"/>
          <w:szCs w:val="21"/>
        </w:rPr>
      </w:pPr>
    </w:p>
    <w:p>
      <w:pPr>
        <w:spacing w:line="360" w:lineRule="auto"/>
        <w:rPr>
          <w:rFonts w:ascii="新宋体" w:hAnsi="新宋体" w:eastAsia="新宋体"/>
          <w:szCs w:val="21"/>
        </w:rPr>
      </w:pPr>
      <w:r>
        <w:rPr>
          <w:rFonts w:hint="eastAsia" w:ascii="新宋体" w:hAnsi="新宋体" w:eastAsia="新宋体"/>
          <w:szCs w:val="21"/>
        </w:rPr>
        <w:t xml:space="preserve">  </w:t>
      </w:r>
      <w:r>
        <w:rPr>
          <w:rFonts w:hint="eastAsia" w:ascii="新宋体" w:hAnsi="新宋体" w:eastAsia="新宋体"/>
          <w:color w:val="FF0000"/>
          <w:szCs w:val="21"/>
        </w:rPr>
        <w:t xml:space="preserve"> </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同志，现任我单位</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职务</w:t>
      </w:r>
      <w:r>
        <w:rPr>
          <w:rFonts w:hint="eastAsia" w:ascii="新宋体" w:hAnsi="新宋体" w:eastAsia="新宋体"/>
          <w:szCs w:val="21"/>
        </w:rPr>
        <w:t>，为法定代表人，特此证明。</w:t>
      </w:r>
    </w:p>
    <w:p>
      <w:pPr>
        <w:spacing w:line="360" w:lineRule="auto"/>
        <w:rPr>
          <w:rFonts w:ascii="新宋体" w:hAnsi="新宋体" w:eastAsia="新宋体"/>
          <w:szCs w:val="21"/>
        </w:rPr>
      </w:pPr>
      <w:r>
        <w:rPr>
          <w:rFonts w:hint="eastAsia" w:ascii="新宋体" w:hAnsi="新宋体" w:eastAsia="新宋体"/>
          <w:szCs w:val="21"/>
        </w:rPr>
        <w:t xml:space="preserve">         </w:t>
      </w:r>
    </w:p>
    <w:p>
      <w:pPr>
        <w:spacing w:line="360" w:lineRule="auto"/>
        <w:rPr>
          <w:rFonts w:ascii="新宋体" w:hAnsi="新宋体" w:eastAsia="新宋体"/>
          <w:szCs w:val="21"/>
        </w:rPr>
      </w:pPr>
      <w:r>
        <w:rPr>
          <w:rFonts w:hint="eastAsia" w:ascii="新宋体" w:hAnsi="新宋体" w:eastAsia="新宋体"/>
          <w:szCs w:val="21"/>
        </w:rPr>
        <w:t>说明：1、法定代表人为企业事业单位、国家机关、社会团体的主要行政负责人。</w:t>
      </w:r>
    </w:p>
    <w:p>
      <w:pPr>
        <w:spacing w:line="360" w:lineRule="auto"/>
        <w:rPr>
          <w:rFonts w:ascii="新宋体" w:hAnsi="新宋体" w:eastAsia="新宋体"/>
          <w:szCs w:val="21"/>
        </w:rPr>
      </w:pPr>
      <w:r>
        <w:rPr>
          <w:rFonts w:hint="eastAsia" w:ascii="新宋体" w:hAnsi="新宋体" w:eastAsia="新宋体"/>
          <w:szCs w:val="21"/>
        </w:rPr>
        <w:t xml:space="preserve">      2、内容必须填写真实、清楚，涂改无效，不得转让、买卖。</w:t>
      </w:r>
    </w:p>
    <w:p>
      <w:pPr>
        <w:spacing w:line="360" w:lineRule="auto"/>
        <w:rPr>
          <w:rFonts w:ascii="新宋体" w:hAnsi="新宋体" w:eastAsia="新宋体"/>
          <w:szCs w:val="21"/>
        </w:rPr>
      </w:pPr>
    </w:p>
    <w:p>
      <w:pPr>
        <w:spacing w:line="360" w:lineRule="auto"/>
        <w:rPr>
          <w:rFonts w:ascii="新宋体" w:hAnsi="新宋体" w:eastAsia="新宋体"/>
          <w:b/>
          <w:color w:val="FF0000"/>
          <w:szCs w:val="21"/>
        </w:rPr>
      </w:pPr>
      <w:r>
        <w:rPr>
          <w:rFonts w:hint="eastAsia" w:ascii="新宋体" w:hAnsi="新宋体" w:eastAsia="新宋体"/>
          <w:b/>
          <w:color w:val="FF0000"/>
          <w:szCs w:val="21"/>
        </w:rPr>
        <w:t>附： 请提供法定代表人身份证扫描件（正反两面）。</w:t>
      </w:r>
    </w:p>
    <w:p>
      <w:pPr>
        <w:spacing w:line="360" w:lineRule="auto"/>
        <w:rPr>
          <w:rFonts w:ascii="新宋体" w:hAnsi="新宋体" w:eastAsia="新宋体"/>
          <w:b/>
          <w:bCs/>
          <w:szCs w:val="21"/>
        </w:rPr>
      </w:pPr>
    </w:p>
    <w:p>
      <w:pPr>
        <w:pStyle w:val="3"/>
        <w:spacing w:before="120" w:after="120" w:line="360" w:lineRule="auto"/>
        <w:jc w:val="center"/>
        <w:rPr>
          <w:rFonts w:ascii="新宋体" w:hAnsi="新宋体" w:eastAsia="新宋体"/>
          <w:b w:val="0"/>
          <w:sz w:val="21"/>
          <w:szCs w:val="21"/>
        </w:rPr>
      </w:pPr>
      <w:r>
        <w:rPr>
          <w:rFonts w:hint="eastAsia" w:ascii="新宋体" w:hAnsi="新宋体" w:eastAsia="新宋体"/>
          <w:b w:val="0"/>
          <w:sz w:val="21"/>
          <w:szCs w:val="21"/>
        </w:rPr>
        <w:t>二、投标文件签署授权委托书</w:t>
      </w:r>
    </w:p>
    <w:p>
      <w:pPr>
        <w:spacing w:line="360" w:lineRule="auto"/>
        <w:ind w:firstLine="420" w:firstLineChars="200"/>
        <w:rPr>
          <w:rFonts w:ascii="新宋体" w:hAnsi="新宋体" w:eastAsia="新宋体"/>
          <w:szCs w:val="21"/>
        </w:rPr>
      </w:pPr>
      <w:r>
        <w:rPr>
          <w:rFonts w:hint="eastAsia" w:ascii="新宋体" w:hAnsi="新宋体" w:eastAsia="新宋体"/>
          <w:szCs w:val="21"/>
        </w:rPr>
        <w:t>本授权委托书声明</w:t>
      </w:r>
      <w:r>
        <w:rPr>
          <w:rFonts w:hint="eastAsia" w:ascii="新宋体" w:hAnsi="新宋体" w:eastAsia="新宋体"/>
          <w:color w:val="FF0000"/>
          <w:szCs w:val="21"/>
        </w:rPr>
        <w:t>：我</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（姓名）系</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（投标人名称）</w:t>
      </w:r>
      <w:r>
        <w:rPr>
          <w:rFonts w:hint="eastAsia" w:ascii="新宋体" w:hAnsi="新宋体" w:eastAsia="新宋体"/>
          <w:szCs w:val="21"/>
        </w:rPr>
        <w:t>的法定代表人，现授权委托</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（姓名）</w:t>
      </w:r>
      <w:r>
        <w:rPr>
          <w:rFonts w:hint="eastAsia" w:ascii="新宋体" w:hAnsi="新宋体" w:eastAsia="新宋体"/>
          <w:szCs w:val="21"/>
        </w:rPr>
        <w:t>为我公司签署本项目已递交的投标文件的法定代表人的授权委托代理人，代理人全权代表我所签署的本项目已递交的投标文件内容我均承认。</w:t>
      </w:r>
    </w:p>
    <w:p>
      <w:pPr>
        <w:pStyle w:val="7"/>
        <w:spacing w:line="360" w:lineRule="auto"/>
        <w:rPr>
          <w:rFonts w:ascii="新宋体" w:hAnsi="新宋体" w:eastAsia="新宋体"/>
          <w:szCs w:val="21"/>
        </w:rPr>
      </w:pPr>
      <w:r>
        <w:rPr>
          <w:rFonts w:hint="eastAsia" w:ascii="新宋体" w:hAnsi="新宋体" w:eastAsia="新宋体"/>
          <w:szCs w:val="21"/>
        </w:rPr>
        <w:t>代理人无转委托权，特此委托。</w:t>
      </w:r>
    </w:p>
    <w:p>
      <w:pPr>
        <w:pStyle w:val="7"/>
        <w:spacing w:line="360" w:lineRule="auto"/>
        <w:rPr>
          <w:rFonts w:ascii="新宋体" w:hAnsi="新宋体" w:eastAsia="新宋体"/>
          <w:szCs w:val="21"/>
        </w:rPr>
      </w:pPr>
    </w:p>
    <w:p>
      <w:pPr>
        <w:spacing w:line="360" w:lineRule="auto"/>
        <w:ind w:left="540" w:leftChars="257"/>
        <w:rPr>
          <w:rFonts w:ascii="新宋体" w:hAnsi="新宋体" w:eastAsia="新宋体"/>
          <w:color w:val="FF0000"/>
          <w:szCs w:val="21"/>
          <w:u w:val="single"/>
        </w:rPr>
      </w:pPr>
      <w:r>
        <w:rPr>
          <w:rFonts w:hint="eastAsia" w:ascii="新宋体" w:hAnsi="新宋体" w:eastAsia="新宋体"/>
          <w:color w:val="FF0000"/>
          <w:szCs w:val="21"/>
        </w:rPr>
        <w:t>代理人：</w:t>
      </w:r>
      <w:r>
        <w:rPr>
          <w:rFonts w:hint="eastAsia" w:ascii="新宋体" w:hAnsi="新宋体" w:eastAsia="新宋体"/>
          <w:color w:val="FF0000"/>
          <w:szCs w:val="21"/>
          <w:u w:val="single"/>
        </w:rPr>
        <w:t xml:space="preserve">             </w:t>
      </w:r>
    </w:p>
    <w:p>
      <w:pPr>
        <w:spacing w:line="360" w:lineRule="auto"/>
        <w:ind w:left="540" w:leftChars="257"/>
        <w:rPr>
          <w:rFonts w:ascii="新宋体" w:hAnsi="新宋体" w:eastAsia="新宋体"/>
          <w:color w:val="FF0000"/>
          <w:szCs w:val="21"/>
        </w:rPr>
      </w:pPr>
      <w:r>
        <w:rPr>
          <w:rFonts w:hint="eastAsia" w:ascii="新宋体" w:hAnsi="新宋体" w:eastAsia="新宋体"/>
          <w:color w:val="FF0000"/>
          <w:szCs w:val="21"/>
        </w:rPr>
        <w:t>联系电话：</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 xml:space="preserve">  手机：</w:t>
      </w:r>
      <w:r>
        <w:rPr>
          <w:rFonts w:hint="eastAsia" w:ascii="新宋体" w:hAnsi="新宋体" w:eastAsia="新宋体"/>
          <w:color w:val="FF0000"/>
          <w:szCs w:val="21"/>
          <w:u w:val="single"/>
        </w:rPr>
        <w:t xml:space="preserve">                   </w:t>
      </w:r>
    </w:p>
    <w:p>
      <w:pPr>
        <w:spacing w:line="360" w:lineRule="auto"/>
        <w:ind w:left="540" w:leftChars="257"/>
        <w:rPr>
          <w:rFonts w:ascii="新宋体" w:hAnsi="新宋体" w:eastAsia="新宋体"/>
          <w:color w:val="FF0000"/>
          <w:szCs w:val="21"/>
          <w:u w:val="single"/>
        </w:rPr>
      </w:pPr>
      <w:r>
        <w:rPr>
          <w:rFonts w:hint="eastAsia" w:ascii="新宋体" w:hAnsi="新宋体" w:eastAsia="新宋体"/>
          <w:color w:val="FF0000"/>
          <w:szCs w:val="21"/>
        </w:rPr>
        <w:t>身份证号码：</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职务：</w:t>
      </w:r>
      <w:r>
        <w:rPr>
          <w:rFonts w:hint="eastAsia" w:ascii="新宋体" w:hAnsi="新宋体" w:eastAsia="新宋体"/>
          <w:color w:val="FF0000"/>
          <w:szCs w:val="21"/>
          <w:u w:val="single"/>
        </w:rPr>
        <w:t xml:space="preserve">       </w:t>
      </w:r>
    </w:p>
    <w:p>
      <w:pPr>
        <w:spacing w:line="360" w:lineRule="auto"/>
        <w:ind w:left="540" w:leftChars="257"/>
        <w:rPr>
          <w:rFonts w:ascii="新宋体" w:hAnsi="新宋体" w:eastAsia="新宋体"/>
          <w:szCs w:val="21"/>
        </w:rPr>
      </w:pPr>
      <w:r>
        <w:rPr>
          <w:rFonts w:hint="eastAsia" w:ascii="新宋体" w:hAnsi="新宋体" w:eastAsia="新宋体"/>
          <w:color w:val="FF0000"/>
          <w:szCs w:val="21"/>
        </w:rPr>
        <w:t>授权委托日期：</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年</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 xml:space="preserve">月 </w:t>
      </w:r>
      <w:r>
        <w:rPr>
          <w:rFonts w:hint="eastAsia" w:ascii="新宋体" w:hAnsi="新宋体" w:eastAsia="新宋体"/>
          <w:color w:val="FF0000"/>
          <w:szCs w:val="21"/>
          <w:u w:val="single"/>
        </w:rPr>
        <w:t xml:space="preserve">      </w:t>
      </w:r>
      <w:r>
        <w:rPr>
          <w:rFonts w:hint="eastAsia" w:ascii="新宋体" w:hAnsi="新宋体" w:eastAsia="新宋体"/>
          <w:color w:val="FF0000"/>
          <w:szCs w:val="21"/>
        </w:rPr>
        <w:t>日</w:t>
      </w:r>
    </w:p>
    <w:p>
      <w:pPr>
        <w:spacing w:line="360" w:lineRule="auto"/>
        <w:rPr>
          <w:rFonts w:ascii="新宋体" w:hAnsi="新宋体" w:eastAsia="新宋体"/>
          <w:szCs w:val="21"/>
        </w:rPr>
      </w:pPr>
    </w:p>
    <w:p>
      <w:pPr>
        <w:spacing w:line="360" w:lineRule="auto"/>
        <w:rPr>
          <w:rFonts w:ascii="新宋体" w:hAnsi="新宋体" w:eastAsia="新宋体"/>
          <w:b/>
          <w:color w:val="FF0000"/>
          <w:szCs w:val="21"/>
        </w:rPr>
      </w:pPr>
      <w:r>
        <w:rPr>
          <w:rFonts w:hint="eastAsia" w:ascii="新宋体" w:hAnsi="新宋体" w:eastAsia="新宋体"/>
          <w:b/>
          <w:color w:val="FF0000"/>
          <w:szCs w:val="21"/>
        </w:rPr>
        <w:t>附： 请提供授权委托代理人身份证扫描件（正反两面）。</w:t>
      </w:r>
    </w:p>
    <w:p>
      <w:pPr>
        <w:spacing w:line="360" w:lineRule="auto"/>
        <w:rPr>
          <w:rFonts w:ascii="新宋体" w:hAnsi="新宋体" w:eastAsia="新宋体"/>
          <w:b/>
          <w:szCs w:val="21"/>
        </w:rPr>
      </w:pPr>
    </w:p>
    <w:p>
      <w:pPr>
        <w:pStyle w:val="3"/>
        <w:spacing w:line="360" w:lineRule="auto"/>
        <w:jc w:val="center"/>
        <w:rPr>
          <w:rFonts w:ascii="新宋体" w:hAnsi="新宋体" w:eastAsia="新宋体"/>
          <w:b w:val="0"/>
          <w:kern w:val="0"/>
          <w:sz w:val="21"/>
          <w:szCs w:val="21"/>
          <w:highlight w:val="yellow"/>
        </w:rPr>
      </w:pPr>
      <w:r>
        <w:rPr>
          <w:rFonts w:hint="eastAsia" w:ascii="新宋体" w:hAnsi="新宋体" w:eastAsia="新宋体"/>
          <w:b w:val="0"/>
          <w:kern w:val="0"/>
          <w:sz w:val="21"/>
          <w:szCs w:val="21"/>
          <w:highlight w:val="yellow"/>
        </w:rPr>
        <w:t>三、实质性条款响应情况表</w:t>
      </w:r>
    </w:p>
    <w:tbl>
      <w:tblPr>
        <w:tblStyle w:val="43"/>
        <w:tblW w:w="7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664"/>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jc w:val="center"/>
              <w:rPr>
                <w:rFonts w:ascii="新宋体" w:hAnsi="新宋体" w:eastAsia="新宋体"/>
                <w:kern w:val="0"/>
                <w:szCs w:val="21"/>
              </w:rPr>
            </w:pPr>
            <w:r>
              <w:rPr>
                <w:rFonts w:hint="eastAsia" w:ascii="新宋体" w:hAnsi="新宋体" w:eastAsia="新宋体"/>
                <w:kern w:val="0"/>
                <w:szCs w:val="21"/>
              </w:rPr>
              <w:t>序号</w:t>
            </w:r>
          </w:p>
        </w:tc>
        <w:tc>
          <w:tcPr>
            <w:tcW w:w="2664" w:type="dxa"/>
          </w:tcPr>
          <w:p>
            <w:pPr>
              <w:adjustRightInd w:val="0"/>
              <w:snapToGrid w:val="0"/>
              <w:spacing w:line="360" w:lineRule="auto"/>
              <w:jc w:val="center"/>
              <w:rPr>
                <w:rFonts w:ascii="新宋体" w:hAnsi="新宋体" w:eastAsia="新宋体"/>
                <w:kern w:val="0"/>
                <w:szCs w:val="21"/>
              </w:rPr>
            </w:pPr>
            <w:r>
              <w:rPr>
                <w:rFonts w:hint="eastAsia" w:ascii="新宋体" w:hAnsi="新宋体" w:eastAsia="新宋体"/>
                <w:kern w:val="0"/>
                <w:szCs w:val="21"/>
              </w:rPr>
              <w:t>采购人要求内容</w:t>
            </w:r>
          </w:p>
        </w:tc>
        <w:tc>
          <w:tcPr>
            <w:tcW w:w="3827" w:type="dxa"/>
          </w:tcPr>
          <w:p>
            <w:pPr>
              <w:adjustRightInd w:val="0"/>
              <w:snapToGrid w:val="0"/>
              <w:spacing w:line="360" w:lineRule="auto"/>
              <w:jc w:val="center"/>
              <w:rPr>
                <w:rFonts w:ascii="新宋体" w:hAnsi="新宋体" w:eastAsia="新宋体"/>
                <w:kern w:val="0"/>
                <w:szCs w:val="21"/>
              </w:rPr>
            </w:pPr>
            <w:r>
              <w:rPr>
                <w:rFonts w:hint="eastAsia" w:ascii="新宋体" w:hAnsi="新宋体" w:eastAsia="新宋体"/>
                <w:kern w:val="0"/>
                <w:szCs w:val="21"/>
              </w:rPr>
              <w:t>投标人响应情况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新宋体" w:hAnsi="新宋体" w:eastAsia="新宋体"/>
                <w:kern w:val="0"/>
                <w:szCs w:val="21"/>
              </w:rPr>
            </w:pPr>
            <w:r>
              <w:rPr>
                <w:rFonts w:hint="eastAsia" w:ascii="新宋体" w:hAnsi="新宋体" w:eastAsia="新宋体"/>
                <w:kern w:val="0"/>
                <w:szCs w:val="21"/>
              </w:rPr>
              <w:t>1</w:t>
            </w:r>
          </w:p>
        </w:tc>
        <w:tc>
          <w:tcPr>
            <w:tcW w:w="2664" w:type="dxa"/>
          </w:tcPr>
          <w:p>
            <w:pPr>
              <w:adjustRightInd w:val="0"/>
              <w:snapToGrid w:val="0"/>
              <w:spacing w:line="360" w:lineRule="auto"/>
              <w:rPr>
                <w:rFonts w:ascii="新宋体" w:hAnsi="新宋体" w:eastAsia="新宋体"/>
                <w:kern w:val="0"/>
                <w:szCs w:val="21"/>
              </w:rPr>
            </w:pPr>
          </w:p>
        </w:tc>
        <w:tc>
          <w:tcPr>
            <w:tcW w:w="3827" w:type="dxa"/>
          </w:tcPr>
          <w:p>
            <w:pPr>
              <w:adjustRightInd w:val="0"/>
              <w:snapToGrid w:val="0"/>
              <w:spacing w:line="360" w:lineRule="auto"/>
              <w:rPr>
                <w:rFonts w:ascii="新宋体" w:hAnsi="新宋体" w:eastAsia="新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新宋体" w:hAnsi="新宋体" w:eastAsia="新宋体"/>
                <w:kern w:val="0"/>
                <w:szCs w:val="21"/>
              </w:rPr>
            </w:pPr>
            <w:r>
              <w:rPr>
                <w:rFonts w:hint="eastAsia" w:ascii="新宋体" w:hAnsi="新宋体" w:eastAsia="新宋体"/>
                <w:kern w:val="0"/>
                <w:szCs w:val="21"/>
              </w:rPr>
              <w:t>2</w:t>
            </w:r>
          </w:p>
        </w:tc>
        <w:tc>
          <w:tcPr>
            <w:tcW w:w="2664" w:type="dxa"/>
          </w:tcPr>
          <w:p>
            <w:pPr>
              <w:adjustRightInd w:val="0"/>
              <w:snapToGrid w:val="0"/>
              <w:spacing w:line="360" w:lineRule="auto"/>
              <w:rPr>
                <w:rFonts w:ascii="新宋体" w:hAnsi="新宋体" w:eastAsia="新宋体"/>
                <w:kern w:val="0"/>
                <w:szCs w:val="21"/>
              </w:rPr>
            </w:pPr>
          </w:p>
        </w:tc>
        <w:tc>
          <w:tcPr>
            <w:tcW w:w="3827" w:type="dxa"/>
          </w:tcPr>
          <w:p>
            <w:pPr>
              <w:adjustRightInd w:val="0"/>
              <w:snapToGrid w:val="0"/>
              <w:spacing w:line="360" w:lineRule="auto"/>
              <w:rPr>
                <w:rFonts w:ascii="新宋体" w:hAnsi="新宋体" w:eastAsia="新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新宋体" w:hAnsi="新宋体" w:eastAsia="新宋体"/>
                <w:kern w:val="0"/>
                <w:szCs w:val="21"/>
              </w:rPr>
            </w:pPr>
            <w:r>
              <w:rPr>
                <w:rFonts w:hint="eastAsia" w:ascii="新宋体" w:hAnsi="新宋体" w:eastAsia="新宋体"/>
                <w:kern w:val="0"/>
                <w:szCs w:val="21"/>
              </w:rPr>
              <w:t>……</w:t>
            </w:r>
          </w:p>
        </w:tc>
        <w:tc>
          <w:tcPr>
            <w:tcW w:w="2664" w:type="dxa"/>
          </w:tcPr>
          <w:p>
            <w:pPr>
              <w:adjustRightInd w:val="0"/>
              <w:snapToGrid w:val="0"/>
              <w:spacing w:line="360" w:lineRule="auto"/>
              <w:rPr>
                <w:rFonts w:ascii="新宋体" w:hAnsi="新宋体" w:eastAsia="新宋体"/>
                <w:kern w:val="0"/>
                <w:szCs w:val="21"/>
              </w:rPr>
            </w:pPr>
          </w:p>
        </w:tc>
        <w:tc>
          <w:tcPr>
            <w:tcW w:w="3827" w:type="dxa"/>
          </w:tcPr>
          <w:p>
            <w:pPr>
              <w:adjustRightInd w:val="0"/>
              <w:snapToGrid w:val="0"/>
              <w:spacing w:line="360" w:lineRule="auto"/>
              <w:rPr>
                <w:rFonts w:ascii="新宋体" w:hAnsi="新宋体" w:eastAsia="新宋体"/>
                <w:kern w:val="0"/>
                <w:szCs w:val="21"/>
              </w:rPr>
            </w:pPr>
          </w:p>
        </w:tc>
      </w:tr>
    </w:tbl>
    <w:p>
      <w:pPr>
        <w:spacing w:line="360" w:lineRule="auto"/>
        <w:rPr>
          <w:rFonts w:ascii="新宋体" w:hAnsi="新宋体" w:eastAsia="新宋体"/>
          <w:b/>
          <w:szCs w:val="21"/>
        </w:rPr>
      </w:pPr>
    </w:p>
    <w:p>
      <w:pPr>
        <w:spacing w:line="360" w:lineRule="auto"/>
        <w:rPr>
          <w:rFonts w:ascii="新宋体" w:hAnsi="新宋体" w:eastAsia="新宋体"/>
          <w:b/>
          <w:szCs w:val="21"/>
        </w:rPr>
      </w:pPr>
      <w:r>
        <w:rPr>
          <w:rFonts w:hint="eastAsia" w:ascii="新宋体" w:hAnsi="新宋体" w:eastAsia="新宋体"/>
          <w:b/>
          <w:szCs w:val="21"/>
        </w:rPr>
        <w:t>注：1. 上表所列内容为不可负偏离条款。</w:t>
      </w:r>
    </w:p>
    <w:p>
      <w:pPr>
        <w:spacing w:line="360" w:lineRule="auto"/>
        <w:ind w:firstLine="422" w:firstLineChars="200"/>
        <w:rPr>
          <w:rFonts w:ascii="新宋体" w:hAnsi="新宋体" w:eastAsia="新宋体"/>
          <w:b/>
          <w:szCs w:val="21"/>
        </w:rPr>
      </w:pPr>
      <w:r>
        <w:rPr>
          <w:rFonts w:hint="eastAsia" w:ascii="新宋体" w:hAnsi="新宋体" w:eastAsia="新宋体"/>
          <w:b/>
          <w:szCs w:val="21"/>
        </w:rPr>
        <w:t>2.“投标人响应情况”一栏应如实填写“响应”或“不响应”。</w:t>
      </w:r>
    </w:p>
    <w:p>
      <w:pPr>
        <w:spacing w:line="360" w:lineRule="auto"/>
        <w:ind w:firstLine="422" w:firstLineChars="200"/>
        <w:rPr>
          <w:rFonts w:ascii="新宋体" w:hAnsi="新宋体" w:eastAsia="新宋体"/>
          <w:b/>
          <w:szCs w:val="21"/>
        </w:rPr>
      </w:pPr>
      <w:r>
        <w:rPr>
          <w:rFonts w:hint="eastAsia" w:ascii="新宋体" w:hAnsi="新宋体" w:eastAsia="新宋体"/>
          <w:b/>
          <w:szCs w:val="21"/>
        </w:rPr>
        <w:t>3. “实质性响应条款响应情况”与投标文件其它内容冲突的，以“实质性响应条款响应情况”为准。</w:t>
      </w:r>
    </w:p>
    <w:p>
      <w:pPr>
        <w:spacing w:line="360" w:lineRule="auto"/>
        <w:rPr>
          <w:rFonts w:ascii="新宋体" w:hAnsi="新宋体" w:eastAsia="新宋体"/>
          <w:b/>
          <w:szCs w:val="21"/>
        </w:rPr>
      </w:pPr>
    </w:p>
    <w:p>
      <w:pPr>
        <w:pStyle w:val="3"/>
        <w:spacing w:line="360" w:lineRule="auto"/>
        <w:jc w:val="center"/>
        <w:rPr>
          <w:rFonts w:ascii="新宋体" w:hAnsi="新宋体" w:eastAsia="新宋体"/>
          <w:b w:val="0"/>
          <w:sz w:val="21"/>
          <w:szCs w:val="21"/>
        </w:rPr>
      </w:pPr>
      <w:r>
        <w:rPr>
          <w:rFonts w:hint="eastAsia" w:ascii="新宋体" w:hAnsi="新宋体" w:eastAsia="新宋体"/>
          <w:b w:val="0"/>
          <w:sz w:val="21"/>
          <w:szCs w:val="21"/>
        </w:rPr>
        <w:t>四、项目实施方案</w:t>
      </w:r>
    </w:p>
    <w:p>
      <w:pPr>
        <w:spacing w:line="360" w:lineRule="auto"/>
        <w:rPr>
          <w:rFonts w:ascii="新宋体" w:hAnsi="新宋体" w:eastAsia="新宋体"/>
          <w:szCs w:val="21"/>
        </w:rPr>
      </w:pPr>
      <w:r>
        <w:rPr>
          <w:rFonts w:hint="eastAsia" w:ascii="新宋体" w:hAnsi="新宋体" w:eastAsia="新宋体"/>
          <w:szCs w:val="21"/>
        </w:rPr>
        <w:t>主要内容应包括(根据项目实际情况适当调整内容)：</w:t>
      </w:r>
    </w:p>
    <w:p>
      <w:pPr>
        <w:spacing w:line="360" w:lineRule="auto"/>
        <w:rPr>
          <w:rFonts w:ascii="新宋体" w:hAnsi="新宋体" w:eastAsia="新宋体"/>
          <w:szCs w:val="21"/>
        </w:rPr>
      </w:pPr>
    </w:p>
    <w:p>
      <w:pPr>
        <w:spacing w:line="360" w:lineRule="auto"/>
        <w:rPr>
          <w:rFonts w:ascii="新宋体" w:hAnsi="新宋体" w:eastAsia="新宋体"/>
          <w:szCs w:val="21"/>
        </w:rPr>
      </w:pPr>
      <w:r>
        <w:rPr>
          <w:rFonts w:hint="eastAsia" w:ascii="新宋体" w:hAnsi="新宋体" w:eastAsia="新宋体"/>
          <w:szCs w:val="21"/>
        </w:rPr>
        <w:t>1、项目交货期、实施进度表</w:t>
      </w:r>
    </w:p>
    <w:p>
      <w:pPr>
        <w:spacing w:line="360" w:lineRule="auto"/>
        <w:rPr>
          <w:rFonts w:ascii="新宋体" w:hAnsi="新宋体" w:eastAsia="新宋体"/>
          <w:szCs w:val="21"/>
        </w:rPr>
      </w:pPr>
      <w:r>
        <w:rPr>
          <w:rFonts w:hint="eastAsia" w:ascii="新宋体" w:hAnsi="新宋体" w:eastAsia="新宋体"/>
          <w:szCs w:val="21"/>
        </w:rPr>
        <w:t>2、相关配套措施</w:t>
      </w:r>
    </w:p>
    <w:p>
      <w:pPr>
        <w:spacing w:line="360" w:lineRule="auto"/>
        <w:rPr>
          <w:rFonts w:ascii="新宋体" w:hAnsi="新宋体" w:eastAsia="新宋体"/>
          <w:b/>
          <w:bCs/>
          <w:color w:val="FF0000"/>
          <w:szCs w:val="21"/>
        </w:rPr>
      </w:pPr>
      <w:r>
        <w:rPr>
          <w:rFonts w:hint="eastAsia" w:ascii="新宋体" w:hAnsi="新宋体" w:eastAsia="新宋体"/>
          <w:b/>
          <w:bCs/>
          <w:color w:val="FF0000"/>
          <w:szCs w:val="21"/>
        </w:rPr>
        <w:t>（备注：该部分须与“技术保障措施”、“施工安全保障措施”、“商务需求”等部分承诺的内容相呼应，不得前后矛盾。）</w:t>
      </w:r>
    </w:p>
    <w:p>
      <w:pPr>
        <w:spacing w:line="360" w:lineRule="auto"/>
        <w:rPr>
          <w:rFonts w:ascii="新宋体" w:hAnsi="新宋体" w:eastAsia="新宋体"/>
          <w:b/>
          <w:bCs/>
          <w:szCs w:val="21"/>
        </w:rPr>
      </w:pPr>
    </w:p>
    <w:p>
      <w:pPr>
        <w:pStyle w:val="3"/>
        <w:spacing w:line="360" w:lineRule="auto"/>
        <w:jc w:val="center"/>
        <w:rPr>
          <w:rFonts w:ascii="新宋体" w:hAnsi="新宋体" w:eastAsia="新宋体"/>
          <w:b w:val="0"/>
          <w:sz w:val="21"/>
          <w:szCs w:val="21"/>
        </w:rPr>
      </w:pPr>
      <w:r>
        <w:rPr>
          <w:rFonts w:hint="eastAsia" w:ascii="新宋体" w:hAnsi="新宋体" w:eastAsia="新宋体"/>
          <w:b w:val="0"/>
          <w:sz w:val="21"/>
          <w:szCs w:val="21"/>
        </w:rPr>
        <w:t>五、售后服务方案</w:t>
      </w:r>
    </w:p>
    <w:p>
      <w:pPr>
        <w:spacing w:line="360" w:lineRule="auto"/>
        <w:rPr>
          <w:rFonts w:ascii="新宋体" w:hAnsi="新宋体" w:eastAsia="新宋体"/>
          <w:szCs w:val="21"/>
        </w:rPr>
      </w:pPr>
    </w:p>
    <w:p>
      <w:pPr>
        <w:spacing w:line="360" w:lineRule="auto"/>
        <w:rPr>
          <w:rFonts w:ascii="新宋体" w:hAnsi="新宋体" w:eastAsia="新宋体"/>
          <w:szCs w:val="21"/>
        </w:rPr>
      </w:pPr>
      <w:r>
        <w:rPr>
          <w:rFonts w:hint="eastAsia" w:ascii="新宋体" w:hAnsi="新宋体" w:eastAsia="新宋体"/>
          <w:szCs w:val="21"/>
        </w:rPr>
        <w:t>主要内容应包括(根据项目实际情况适当调整内容)：</w:t>
      </w:r>
    </w:p>
    <w:p>
      <w:pPr>
        <w:spacing w:line="360" w:lineRule="auto"/>
        <w:rPr>
          <w:rFonts w:ascii="新宋体" w:hAnsi="新宋体" w:eastAsia="新宋体"/>
          <w:szCs w:val="21"/>
        </w:rPr>
      </w:pPr>
      <w:r>
        <w:rPr>
          <w:rFonts w:ascii="新宋体" w:hAnsi="新宋体" w:eastAsia="新宋体"/>
          <w:szCs w:val="21"/>
        </w:rPr>
        <w:t>1</w:t>
      </w:r>
      <w:r>
        <w:rPr>
          <w:rFonts w:hint="eastAsia" w:ascii="新宋体" w:hAnsi="新宋体" w:eastAsia="新宋体"/>
          <w:szCs w:val="21"/>
        </w:rPr>
        <w:t>、免费保修期；</w:t>
      </w:r>
    </w:p>
    <w:p>
      <w:pPr>
        <w:spacing w:line="360" w:lineRule="auto"/>
        <w:rPr>
          <w:rFonts w:ascii="新宋体" w:hAnsi="新宋体" w:eastAsia="新宋体"/>
          <w:szCs w:val="21"/>
        </w:rPr>
      </w:pPr>
      <w:r>
        <w:rPr>
          <w:rFonts w:ascii="新宋体" w:hAnsi="新宋体" w:eastAsia="新宋体"/>
          <w:szCs w:val="21"/>
        </w:rPr>
        <w:t>2</w:t>
      </w:r>
      <w:r>
        <w:rPr>
          <w:rFonts w:hint="eastAsia" w:ascii="新宋体" w:hAnsi="新宋体" w:eastAsia="新宋体"/>
          <w:szCs w:val="21"/>
        </w:rPr>
        <w:t>、故障或技术支持响应时间；</w:t>
      </w:r>
    </w:p>
    <w:p>
      <w:pPr>
        <w:spacing w:line="360" w:lineRule="auto"/>
        <w:rPr>
          <w:rFonts w:ascii="新宋体" w:hAnsi="新宋体" w:eastAsia="新宋体"/>
          <w:szCs w:val="21"/>
        </w:rPr>
      </w:pPr>
      <w:r>
        <w:rPr>
          <w:rFonts w:ascii="新宋体" w:hAnsi="新宋体" w:eastAsia="新宋体"/>
          <w:szCs w:val="21"/>
        </w:rPr>
        <w:t>3</w:t>
      </w:r>
      <w:r>
        <w:rPr>
          <w:rFonts w:hint="eastAsia" w:ascii="新宋体" w:hAnsi="新宋体" w:eastAsia="新宋体"/>
          <w:szCs w:val="21"/>
        </w:rPr>
        <w:t>、投标人承诺的其他维修维护方案、措施</w:t>
      </w:r>
    </w:p>
    <w:p>
      <w:pPr>
        <w:spacing w:line="360" w:lineRule="auto"/>
        <w:rPr>
          <w:rFonts w:ascii="新宋体" w:hAnsi="新宋体" w:eastAsia="新宋体"/>
          <w:szCs w:val="21"/>
        </w:rPr>
      </w:pPr>
      <w:r>
        <w:rPr>
          <w:rFonts w:ascii="新宋体" w:hAnsi="新宋体" w:eastAsia="新宋体"/>
          <w:szCs w:val="21"/>
        </w:rPr>
        <w:t>4</w:t>
      </w:r>
      <w:r>
        <w:rPr>
          <w:rFonts w:hint="eastAsia" w:ascii="新宋体" w:hAnsi="新宋体" w:eastAsia="新宋体"/>
          <w:szCs w:val="21"/>
        </w:rPr>
        <w:t>、质量保证及违约承诺。</w:t>
      </w:r>
    </w:p>
    <w:p>
      <w:pPr>
        <w:spacing w:line="360" w:lineRule="auto"/>
        <w:rPr>
          <w:rFonts w:ascii="新宋体" w:hAnsi="新宋体" w:eastAsia="新宋体"/>
          <w:b/>
          <w:color w:val="FF0000"/>
          <w:szCs w:val="21"/>
        </w:rPr>
      </w:pPr>
      <w:r>
        <w:rPr>
          <w:rFonts w:hint="eastAsia" w:ascii="新宋体" w:hAnsi="新宋体" w:eastAsia="新宋体"/>
          <w:b/>
          <w:color w:val="FF0000"/>
          <w:szCs w:val="21"/>
        </w:rPr>
        <w:t>（备注：该部分须与“商务需求”承诺的内容相呼应，不得前后矛盾。）</w:t>
      </w: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rPr>
          <w:rFonts w:ascii="新宋体" w:hAnsi="新宋体" w:eastAsia="新宋体"/>
          <w:szCs w:val="21"/>
        </w:rPr>
      </w:pPr>
    </w:p>
    <w:p>
      <w:pPr>
        <w:pStyle w:val="5"/>
        <w:spacing w:line="360" w:lineRule="auto"/>
        <w:rPr>
          <w:rFonts w:ascii="新宋体" w:hAnsi="新宋体" w:eastAsia="新宋体"/>
          <w:sz w:val="21"/>
          <w:szCs w:val="21"/>
        </w:rPr>
      </w:pPr>
      <w:r>
        <w:rPr>
          <w:rFonts w:hint="eastAsia" w:ascii="新宋体" w:hAnsi="新宋体" w:eastAsia="新宋体"/>
          <w:sz w:val="21"/>
          <w:szCs w:val="21"/>
        </w:rPr>
        <w:t>第四章  合同及履约情况反馈格式</w:t>
      </w:r>
    </w:p>
    <w:p>
      <w:pPr>
        <w:spacing w:line="360" w:lineRule="auto"/>
        <w:ind w:firstLine="411" w:firstLineChars="196"/>
        <w:rPr>
          <w:rFonts w:ascii="新宋体" w:hAnsi="新宋体" w:eastAsia="新宋体"/>
          <w:szCs w:val="21"/>
        </w:rPr>
      </w:pPr>
    </w:p>
    <w:p>
      <w:pPr>
        <w:pStyle w:val="3"/>
        <w:spacing w:line="360" w:lineRule="auto"/>
        <w:jc w:val="center"/>
        <w:rPr>
          <w:rFonts w:ascii="新宋体" w:hAnsi="新宋体" w:eastAsia="新宋体"/>
          <w:b w:val="0"/>
          <w:kern w:val="0"/>
          <w:sz w:val="21"/>
          <w:szCs w:val="21"/>
        </w:rPr>
      </w:pPr>
      <w:r>
        <w:rPr>
          <w:rFonts w:hint="eastAsia" w:ascii="新宋体" w:hAnsi="新宋体" w:eastAsia="新宋体"/>
          <w:b w:val="0"/>
          <w:kern w:val="0"/>
          <w:sz w:val="21"/>
          <w:szCs w:val="21"/>
        </w:rPr>
        <w:t>一、合同条款及格式（仅供参考）</w:t>
      </w:r>
    </w:p>
    <w:p>
      <w:pPr>
        <w:spacing w:line="360" w:lineRule="auto"/>
        <w:ind w:firstLine="411" w:firstLineChars="196"/>
        <w:jc w:val="center"/>
        <w:rPr>
          <w:rFonts w:ascii="新宋体" w:hAnsi="新宋体" w:eastAsia="新宋体"/>
          <w:szCs w:val="21"/>
        </w:rPr>
      </w:pPr>
      <w:bookmarkStart w:id="26" w:name="_Toc101074886"/>
      <w:bookmarkStart w:id="27" w:name="_Toc73521592"/>
      <w:bookmarkStart w:id="28" w:name="_Toc84303603"/>
      <w:bookmarkStart w:id="29" w:name="_Toc73518163"/>
      <w:bookmarkStart w:id="30" w:name="_Toc73521680"/>
      <w:bookmarkStart w:id="31" w:name="_Toc73517685"/>
      <w:bookmarkStart w:id="32" w:name="_Toc100052414"/>
    </w:p>
    <w:p>
      <w:pPr>
        <w:spacing w:line="360" w:lineRule="auto"/>
        <w:ind w:firstLine="411" w:firstLineChars="196"/>
        <w:jc w:val="center"/>
        <w:rPr>
          <w:rFonts w:ascii="新宋体" w:hAnsi="新宋体" w:eastAsia="新宋体"/>
          <w:szCs w:val="21"/>
        </w:rPr>
      </w:pPr>
    </w:p>
    <w:p>
      <w:pPr>
        <w:spacing w:line="360" w:lineRule="auto"/>
        <w:jc w:val="center"/>
        <w:rPr>
          <w:rFonts w:ascii="新宋体" w:hAnsi="新宋体" w:eastAsia="新宋体"/>
          <w:b/>
          <w:szCs w:val="21"/>
        </w:rPr>
      </w:pPr>
      <w:r>
        <w:rPr>
          <w:rFonts w:hint="eastAsia" w:ascii="新宋体" w:hAnsi="新宋体" w:eastAsia="新宋体"/>
          <w:b/>
          <w:szCs w:val="21"/>
        </w:rPr>
        <w:t>合同条款</w:t>
      </w:r>
      <w:bookmarkEnd w:id="26"/>
      <w:bookmarkEnd w:id="27"/>
      <w:bookmarkEnd w:id="28"/>
      <w:bookmarkEnd w:id="29"/>
      <w:bookmarkEnd w:id="30"/>
      <w:bookmarkEnd w:id="31"/>
      <w:bookmarkEnd w:id="32"/>
    </w:p>
    <w:p>
      <w:pPr>
        <w:spacing w:line="360" w:lineRule="auto"/>
        <w:jc w:val="center"/>
        <w:rPr>
          <w:rFonts w:ascii="新宋体" w:hAnsi="新宋体" w:eastAsia="新宋体"/>
          <w:szCs w:val="21"/>
        </w:rPr>
      </w:pPr>
      <w:r>
        <w:rPr>
          <w:rFonts w:hint="eastAsia" w:ascii="新宋体" w:hAnsi="新宋体" w:eastAsia="新宋体"/>
          <w:b/>
          <w:szCs w:val="21"/>
        </w:rPr>
        <w:t>（仅供参考，项目具体要求以招标项目需求为准）</w:t>
      </w:r>
    </w:p>
    <w:p>
      <w:pPr>
        <w:spacing w:line="360" w:lineRule="auto"/>
        <w:rPr>
          <w:rFonts w:ascii="新宋体" w:hAnsi="新宋体" w:eastAsia="新宋体"/>
          <w:b/>
          <w:bCs/>
          <w:szCs w:val="21"/>
        </w:rPr>
      </w:pPr>
      <w:r>
        <w:rPr>
          <w:rFonts w:hint="eastAsia" w:ascii="新宋体" w:hAnsi="新宋体" w:eastAsia="新宋体"/>
          <w:b/>
          <w:bCs/>
          <w:szCs w:val="21"/>
        </w:rPr>
        <w:t>甲方：</w:t>
      </w:r>
      <w:r>
        <w:rPr>
          <w:rFonts w:ascii="新宋体" w:hAnsi="新宋体" w:eastAsia="新宋体"/>
          <w:b/>
          <w:bCs/>
          <w:szCs w:val="21"/>
        </w:rPr>
        <w:t xml:space="preserve"> </w:t>
      </w:r>
      <w:r>
        <w:rPr>
          <w:rFonts w:hint="eastAsia" w:ascii="新宋体" w:hAnsi="新宋体" w:eastAsia="新宋体"/>
          <w:b/>
          <w:bCs/>
          <w:szCs w:val="21"/>
        </w:rPr>
        <w:t xml:space="preserve"> </w:t>
      </w:r>
      <w:r>
        <w:rPr>
          <w:rFonts w:ascii="新宋体" w:hAnsi="新宋体" w:eastAsia="新宋体"/>
          <w:b/>
          <w:bCs/>
          <w:szCs w:val="21"/>
        </w:rPr>
        <w:t xml:space="preserve"> </w:t>
      </w:r>
    </w:p>
    <w:p>
      <w:pPr>
        <w:spacing w:line="360" w:lineRule="auto"/>
        <w:rPr>
          <w:rFonts w:ascii="新宋体" w:hAnsi="新宋体" w:eastAsia="新宋体"/>
          <w:b/>
          <w:bCs/>
          <w:szCs w:val="21"/>
        </w:rPr>
      </w:pPr>
      <w:r>
        <w:rPr>
          <w:rFonts w:hint="eastAsia" w:ascii="新宋体" w:hAnsi="新宋体" w:eastAsia="新宋体"/>
          <w:b/>
          <w:bCs/>
          <w:szCs w:val="21"/>
        </w:rPr>
        <w:t>乙方：</w:t>
      </w:r>
      <w:r>
        <w:rPr>
          <w:rFonts w:ascii="新宋体" w:hAnsi="新宋体" w:eastAsia="新宋体"/>
          <w:b/>
          <w:bCs/>
          <w:szCs w:val="21"/>
        </w:rPr>
        <w:t xml:space="preserve">            </w:t>
      </w:r>
      <w:r>
        <w:rPr>
          <w:rFonts w:hint="eastAsia" w:ascii="新宋体" w:hAnsi="新宋体" w:eastAsia="新宋体"/>
          <w:b/>
          <w:bCs/>
          <w:szCs w:val="21"/>
        </w:rPr>
        <w:t xml:space="preserve">                            </w:t>
      </w:r>
      <w:r>
        <w:rPr>
          <w:rFonts w:ascii="新宋体" w:hAnsi="新宋体" w:eastAsia="新宋体"/>
          <w:b/>
          <w:bCs/>
          <w:szCs w:val="21"/>
        </w:rPr>
        <w:t xml:space="preserve">  </w:t>
      </w:r>
    </w:p>
    <w:p>
      <w:pPr>
        <w:spacing w:line="360" w:lineRule="auto"/>
        <w:rPr>
          <w:rFonts w:ascii="新宋体" w:hAnsi="新宋体" w:eastAsia="新宋体"/>
          <w:szCs w:val="21"/>
        </w:rPr>
      </w:pPr>
    </w:p>
    <w:p>
      <w:pPr>
        <w:spacing w:line="360" w:lineRule="auto"/>
        <w:rPr>
          <w:rFonts w:ascii="新宋体" w:hAnsi="新宋体" w:eastAsia="新宋体"/>
          <w:szCs w:val="21"/>
        </w:rPr>
      </w:pPr>
    </w:p>
    <w:p>
      <w:pPr>
        <w:spacing w:line="360" w:lineRule="auto"/>
        <w:ind w:firstLine="560"/>
        <w:jc w:val="left"/>
        <w:rPr>
          <w:rFonts w:ascii="新宋体" w:hAnsi="新宋体" w:eastAsia="新宋体"/>
          <w:szCs w:val="21"/>
        </w:rPr>
      </w:pPr>
      <w:r>
        <w:rPr>
          <w:rFonts w:hint="eastAsia" w:ascii="新宋体" w:hAnsi="新宋体" w:eastAsia="新宋体"/>
          <w:szCs w:val="21"/>
        </w:rPr>
        <w:t>根据</w:t>
      </w:r>
      <w:r>
        <w:rPr>
          <w:rFonts w:hint="eastAsia" w:ascii="新宋体" w:hAnsi="新宋体" w:eastAsia="新宋体" w:cs="宋体"/>
          <w:kern w:val="0"/>
          <w:szCs w:val="21"/>
        </w:rPr>
        <w:t>深圳市瑞凝信招标咨询有限公司</w:t>
      </w:r>
      <w:r>
        <w:rPr>
          <w:rFonts w:hint="eastAsia" w:ascii="新宋体" w:hAnsi="新宋体" w:eastAsia="新宋体"/>
          <w:szCs w:val="21"/>
          <w:u w:val="single"/>
        </w:rPr>
        <w:t xml:space="preserve">        </w:t>
      </w:r>
      <w:r>
        <w:rPr>
          <w:rFonts w:hint="eastAsia" w:ascii="新宋体" w:hAnsi="新宋体" w:eastAsia="新宋体"/>
          <w:szCs w:val="21"/>
        </w:rPr>
        <w:t>号招标项目的投标结果，由</w:t>
      </w:r>
      <w:r>
        <w:rPr>
          <w:rFonts w:hint="eastAsia" w:ascii="新宋体" w:hAnsi="新宋体" w:eastAsia="新宋体"/>
          <w:szCs w:val="21"/>
          <w:u w:val="single"/>
        </w:rPr>
        <w:t xml:space="preserve">       </w:t>
      </w:r>
      <w:r>
        <w:rPr>
          <w:rFonts w:hint="eastAsia" w:ascii="新宋体" w:hAnsi="新宋体" w:eastAsia="新宋体"/>
          <w:szCs w:val="21"/>
        </w:rPr>
        <w:t>单位为中标方。按照《中华人民共和国合同法》和《深圳经济特区政府采购条例》，经深圳市</w:t>
      </w:r>
      <w:r>
        <w:rPr>
          <w:rFonts w:hint="eastAsia" w:ascii="新宋体" w:hAnsi="新宋体" w:eastAsia="新宋体"/>
          <w:szCs w:val="21"/>
          <w:u w:val="single"/>
        </w:rPr>
        <w:t xml:space="preserve">           </w:t>
      </w:r>
      <w:r>
        <w:rPr>
          <w:rFonts w:hint="eastAsia" w:ascii="新宋体" w:hAnsi="新宋体" w:eastAsia="新宋体"/>
          <w:szCs w:val="21"/>
        </w:rPr>
        <w:t>（以下简称甲方）和</w:t>
      </w:r>
      <w:r>
        <w:rPr>
          <w:rFonts w:hint="eastAsia" w:ascii="新宋体" w:hAnsi="新宋体" w:eastAsia="新宋体"/>
          <w:szCs w:val="21"/>
          <w:u w:val="single"/>
        </w:rPr>
        <w:t xml:space="preserve">           </w:t>
      </w:r>
      <w:r>
        <w:rPr>
          <w:rFonts w:hint="eastAsia" w:ascii="新宋体" w:hAnsi="新宋体" w:eastAsia="新宋体"/>
          <w:szCs w:val="21"/>
        </w:rPr>
        <w:t>单位（以下简称乙方）协商，达成以下合同条款：</w:t>
      </w:r>
    </w:p>
    <w:p>
      <w:pPr>
        <w:spacing w:line="360" w:lineRule="auto"/>
        <w:ind w:firstLine="560"/>
        <w:jc w:val="left"/>
        <w:rPr>
          <w:rFonts w:ascii="新宋体" w:hAnsi="新宋体" w:eastAsia="新宋体"/>
          <w:b/>
          <w:szCs w:val="21"/>
        </w:rPr>
      </w:pPr>
      <w:r>
        <w:rPr>
          <w:rFonts w:hint="eastAsia" w:ascii="新宋体" w:hAnsi="新宋体" w:eastAsia="新宋体"/>
          <w:b/>
          <w:szCs w:val="21"/>
        </w:rPr>
        <w:t>第一条  合同标的</w:t>
      </w:r>
    </w:p>
    <w:p>
      <w:pPr>
        <w:spacing w:line="360" w:lineRule="auto"/>
        <w:ind w:firstLine="560"/>
        <w:jc w:val="left"/>
        <w:rPr>
          <w:rFonts w:ascii="新宋体" w:hAnsi="新宋体" w:eastAsia="新宋体"/>
          <w:szCs w:val="21"/>
        </w:rPr>
      </w:pPr>
      <w:r>
        <w:rPr>
          <w:rFonts w:hint="eastAsia" w:ascii="新宋体" w:hAnsi="新宋体" w:eastAsia="新宋体"/>
          <w:szCs w:val="21"/>
        </w:rPr>
        <w:t>乙方根据甲方需求提供下列货物：</w:t>
      </w:r>
    </w:p>
    <w:p>
      <w:pPr>
        <w:spacing w:line="360" w:lineRule="auto"/>
        <w:ind w:firstLine="560"/>
        <w:jc w:val="left"/>
        <w:rPr>
          <w:rFonts w:ascii="新宋体" w:hAnsi="新宋体" w:eastAsia="新宋体"/>
          <w:szCs w:val="21"/>
        </w:rPr>
      </w:pPr>
      <w:r>
        <w:rPr>
          <w:rFonts w:hint="eastAsia" w:ascii="新宋体" w:hAnsi="新宋体" w:eastAsia="新宋体"/>
          <w:szCs w:val="21"/>
        </w:rPr>
        <w:t>货物名称、规格及数量详见</w:t>
      </w:r>
      <w:r>
        <w:rPr>
          <w:rFonts w:hint="eastAsia" w:ascii="新宋体" w:hAnsi="新宋体" w:eastAsia="新宋体"/>
          <w:b/>
          <w:szCs w:val="21"/>
          <w:u w:val="single"/>
        </w:rPr>
        <w:t xml:space="preserve">                  </w:t>
      </w:r>
      <w:r>
        <w:rPr>
          <w:rFonts w:hint="eastAsia" w:ascii="新宋体" w:hAnsi="新宋体" w:eastAsia="新宋体"/>
          <w:szCs w:val="21"/>
        </w:rPr>
        <w:t>。</w:t>
      </w:r>
    </w:p>
    <w:p>
      <w:pPr>
        <w:spacing w:line="360" w:lineRule="auto"/>
        <w:ind w:firstLine="560"/>
        <w:jc w:val="left"/>
        <w:rPr>
          <w:rFonts w:ascii="新宋体" w:hAnsi="新宋体" w:eastAsia="新宋体"/>
          <w:b/>
          <w:szCs w:val="21"/>
        </w:rPr>
      </w:pPr>
      <w:r>
        <w:rPr>
          <w:rFonts w:hint="eastAsia" w:ascii="新宋体" w:hAnsi="新宋体" w:eastAsia="新宋体"/>
          <w:b/>
          <w:szCs w:val="21"/>
        </w:rPr>
        <w:t>第二条  合同价款</w:t>
      </w:r>
    </w:p>
    <w:p>
      <w:pPr>
        <w:spacing w:line="360" w:lineRule="auto"/>
        <w:ind w:firstLine="560"/>
        <w:jc w:val="left"/>
        <w:rPr>
          <w:rFonts w:ascii="新宋体" w:hAnsi="新宋体" w:eastAsia="新宋体"/>
          <w:szCs w:val="21"/>
        </w:rPr>
      </w:pPr>
      <w:r>
        <w:rPr>
          <w:rFonts w:hint="eastAsia" w:ascii="新宋体" w:hAnsi="新宋体" w:eastAsia="新宋体"/>
          <w:szCs w:val="21"/>
        </w:rPr>
        <w:t>本合同项下总价款为</w:t>
      </w:r>
      <w:r>
        <w:rPr>
          <w:rFonts w:hint="eastAsia" w:ascii="新宋体" w:hAnsi="新宋体" w:eastAsia="新宋体"/>
          <w:szCs w:val="21"/>
          <w:u w:val="single"/>
        </w:rPr>
        <w:t xml:space="preserve">              </w:t>
      </w:r>
      <w:r>
        <w:rPr>
          <w:rFonts w:hint="eastAsia" w:ascii="新宋体" w:hAnsi="新宋体" w:eastAsia="新宋体"/>
          <w:szCs w:val="21"/>
        </w:rPr>
        <w:t>（大写）人民币，分项价款详见</w:t>
      </w:r>
      <w:r>
        <w:rPr>
          <w:rFonts w:hint="eastAsia" w:ascii="新宋体" w:hAnsi="新宋体" w:eastAsia="新宋体"/>
          <w:b/>
          <w:szCs w:val="21"/>
          <w:u w:val="single"/>
        </w:rPr>
        <w:t xml:space="preserve">          </w:t>
      </w:r>
      <w:r>
        <w:rPr>
          <w:rFonts w:hint="eastAsia" w:ascii="新宋体" w:hAnsi="新宋体" w:eastAsia="新宋体"/>
          <w:szCs w:val="21"/>
        </w:rPr>
        <w:t>。本合同总价款已包括乙方为履行本合同义务所发生的一切费用，系固定不变价格，且不随通货膨胀的影响而波动。</w:t>
      </w:r>
    </w:p>
    <w:p>
      <w:pPr>
        <w:spacing w:line="360" w:lineRule="auto"/>
        <w:ind w:firstLine="560"/>
        <w:jc w:val="left"/>
        <w:rPr>
          <w:rFonts w:ascii="新宋体" w:hAnsi="新宋体" w:eastAsia="新宋体"/>
          <w:b/>
          <w:szCs w:val="21"/>
        </w:rPr>
      </w:pPr>
      <w:r>
        <w:rPr>
          <w:rFonts w:hint="eastAsia" w:ascii="新宋体" w:hAnsi="新宋体" w:eastAsia="新宋体"/>
          <w:b/>
          <w:szCs w:val="21"/>
        </w:rPr>
        <w:t>第三条  权利保证</w:t>
      </w:r>
    </w:p>
    <w:p>
      <w:pPr>
        <w:spacing w:line="360" w:lineRule="auto"/>
        <w:ind w:firstLine="560"/>
        <w:jc w:val="left"/>
        <w:rPr>
          <w:rFonts w:ascii="新宋体" w:hAnsi="新宋体" w:eastAsia="新宋体"/>
          <w:szCs w:val="21"/>
        </w:rPr>
      </w:pPr>
      <w:r>
        <w:rPr>
          <w:rFonts w:hint="eastAsia" w:ascii="新宋体" w:hAnsi="新宋体" w:eastAsia="新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ind w:firstLine="560"/>
        <w:jc w:val="left"/>
        <w:rPr>
          <w:rFonts w:ascii="新宋体" w:hAnsi="新宋体" w:eastAsia="新宋体"/>
          <w:b/>
          <w:szCs w:val="21"/>
        </w:rPr>
      </w:pPr>
      <w:r>
        <w:rPr>
          <w:rFonts w:hint="eastAsia" w:ascii="新宋体" w:hAnsi="新宋体" w:eastAsia="新宋体"/>
          <w:b/>
          <w:szCs w:val="21"/>
        </w:rPr>
        <w:t>第四条  质量保证</w:t>
      </w:r>
    </w:p>
    <w:p>
      <w:pPr>
        <w:spacing w:line="360" w:lineRule="auto"/>
        <w:ind w:firstLine="560"/>
        <w:jc w:val="left"/>
        <w:rPr>
          <w:rFonts w:ascii="新宋体" w:hAnsi="新宋体" w:eastAsia="新宋体"/>
          <w:szCs w:val="21"/>
        </w:rPr>
      </w:pPr>
      <w:r>
        <w:rPr>
          <w:rFonts w:hint="eastAsia" w:ascii="新宋体" w:hAnsi="新宋体" w:eastAsia="新宋体"/>
          <w:szCs w:val="21"/>
        </w:rPr>
        <w:t>1、乙方所提供的货物的技术规格符合招标文件规定的技术规格，货物符合中华人民共和国的设计和制造生产标准或行业标准。</w:t>
      </w:r>
    </w:p>
    <w:p>
      <w:pPr>
        <w:spacing w:line="360" w:lineRule="auto"/>
        <w:ind w:firstLine="560"/>
        <w:jc w:val="left"/>
        <w:rPr>
          <w:rFonts w:ascii="新宋体" w:hAnsi="新宋体" w:eastAsia="新宋体"/>
          <w:szCs w:val="21"/>
        </w:rPr>
      </w:pPr>
      <w:r>
        <w:rPr>
          <w:rFonts w:hint="eastAsia" w:ascii="新宋体" w:hAnsi="新宋体" w:eastAsia="新宋体"/>
          <w:szCs w:val="21"/>
        </w:rPr>
        <w:t>2、乙方应保证货物是全新、未使用过的原装合格正品（包括零部件），并完全符合甲方要求的质量、规格和性能的要求。如货物安装或配置了软件的，乙方保证相关软件均为正版软件。</w:t>
      </w:r>
    </w:p>
    <w:p>
      <w:pPr>
        <w:spacing w:line="360" w:lineRule="auto"/>
        <w:ind w:firstLine="560"/>
        <w:jc w:val="left"/>
        <w:rPr>
          <w:rFonts w:ascii="新宋体" w:hAnsi="新宋体" w:eastAsia="新宋体"/>
          <w:szCs w:val="21"/>
        </w:rPr>
      </w:pPr>
      <w:r>
        <w:rPr>
          <w:rFonts w:hint="eastAsia" w:ascii="新宋体" w:hAnsi="新宋体" w:eastAsia="新宋体"/>
          <w:szCs w:val="21"/>
        </w:rPr>
        <w:t>3、乙方保证交货时一并提供货物的质量合格凭证或文件。</w:t>
      </w: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b/>
          <w:szCs w:val="21"/>
        </w:rPr>
      </w:pPr>
      <w:r>
        <w:rPr>
          <w:rFonts w:hint="eastAsia" w:ascii="新宋体" w:hAnsi="新宋体" w:eastAsia="新宋体"/>
          <w:b/>
          <w:szCs w:val="21"/>
        </w:rPr>
        <w:t>第五条  交货和验收</w:t>
      </w:r>
    </w:p>
    <w:p>
      <w:pPr>
        <w:spacing w:line="360" w:lineRule="auto"/>
        <w:ind w:firstLine="560"/>
        <w:jc w:val="left"/>
        <w:rPr>
          <w:rFonts w:ascii="新宋体" w:hAnsi="新宋体" w:eastAsia="新宋体"/>
          <w:szCs w:val="21"/>
        </w:rPr>
      </w:pPr>
      <w:r>
        <w:rPr>
          <w:rFonts w:hint="eastAsia" w:ascii="新宋体" w:hAnsi="新宋体" w:eastAsia="新宋体"/>
          <w:szCs w:val="21"/>
        </w:rPr>
        <w:t>1、乙方应按照本合同或招投标文件规定的时间和方式向甲方交付货物，交货地点由甲方指定。因交货产生的费用由乙方自行承担。</w:t>
      </w:r>
    </w:p>
    <w:p>
      <w:pPr>
        <w:spacing w:line="360" w:lineRule="auto"/>
        <w:ind w:firstLine="560"/>
        <w:jc w:val="left"/>
        <w:rPr>
          <w:rFonts w:ascii="新宋体" w:hAnsi="新宋体" w:eastAsia="新宋体"/>
          <w:szCs w:val="21"/>
        </w:rPr>
      </w:pPr>
      <w:r>
        <w:rPr>
          <w:rFonts w:hint="eastAsia" w:ascii="新宋体" w:hAnsi="新宋体" w:eastAsia="新宋体"/>
          <w:szCs w:val="21"/>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firstLine="560"/>
        <w:jc w:val="left"/>
        <w:rPr>
          <w:rFonts w:ascii="新宋体" w:hAnsi="新宋体" w:eastAsia="新宋体"/>
          <w:szCs w:val="21"/>
        </w:rPr>
      </w:pPr>
      <w:r>
        <w:rPr>
          <w:rFonts w:hint="eastAsia" w:ascii="新宋体" w:hAnsi="新宋体" w:eastAsia="新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firstLine="560"/>
        <w:jc w:val="left"/>
        <w:rPr>
          <w:rFonts w:ascii="新宋体" w:hAnsi="新宋体" w:eastAsia="新宋体"/>
          <w:szCs w:val="21"/>
        </w:rPr>
      </w:pPr>
      <w:r>
        <w:rPr>
          <w:rFonts w:hint="eastAsia" w:ascii="新宋体" w:hAnsi="新宋体" w:eastAsia="新宋体"/>
          <w:szCs w:val="21"/>
        </w:rPr>
        <w:t>4、甲方应当在到货后的</w:t>
      </w:r>
      <w:r>
        <w:rPr>
          <w:rFonts w:hint="eastAsia" w:ascii="新宋体" w:hAnsi="新宋体" w:eastAsia="新宋体"/>
          <w:szCs w:val="21"/>
          <w:u w:val="single"/>
        </w:rPr>
        <w:t xml:space="preserve">       </w:t>
      </w:r>
      <w:r>
        <w:rPr>
          <w:rFonts w:hint="eastAsia" w:ascii="新宋体" w:hAnsi="新宋体" w:eastAsia="新宋体"/>
          <w:szCs w:val="21"/>
        </w:rPr>
        <w:t>个工作日内对货物进行验收；需要乙方对货物或系统进行安装调试的，甲方应在货物安装调试完毕后的</w:t>
      </w:r>
      <w:r>
        <w:rPr>
          <w:rFonts w:hint="eastAsia" w:ascii="新宋体" w:hAnsi="新宋体" w:eastAsia="新宋体"/>
          <w:szCs w:val="21"/>
          <w:u w:val="single"/>
        </w:rPr>
        <w:t xml:space="preserve">       </w:t>
      </w:r>
      <w:r>
        <w:rPr>
          <w:rFonts w:hint="eastAsia" w:ascii="新宋体" w:hAnsi="新宋体" w:eastAsia="新宋体"/>
          <w:szCs w:val="21"/>
        </w:rPr>
        <w:t>个工作日内进行质量验收。</w:t>
      </w:r>
    </w:p>
    <w:p>
      <w:pPr>
        <w:spacing w:line="360" w:lineRule="auto"/>
        <w:ind w:firstLine="560"/>
        <w:jc w:val="left"/>
        <w:rPr>
          <w:rFonts w:ascii="新宋体" w:hAnsi="新宋体" w:eastAsia="新宋体"/>
          <w:b/>
          <w:szCs w:val="21"/>
        </w:rPr>
      </w:pPr>
      <w:r>
        <w:rPr>
          <w:rFonts w:hint="eastAsia" w:ascii="新宋体" w:hAnsi="新宋体" w:eastAsia="新宋体"/>
          <w:b/>
          <w:szCs w:val="21"/>
        </w:rPr>
        <w:t>第六条  保修及其他服务</w:t>
      </w:r>
    </w:p>
    <w:p>
      <w:pPr>
        <w:spacing w:line="360" w:lineRule="auto"/>
        <w:ind w:firstLine="560"/>
        <w:jc w:val="left"/>
        <w:rPr>
          <w:rFonts w:ascii="新宋体" w:hAnsi="新宋体" w:eastAsia="新宋体"/>
          <w:szCs w:val="21"/>
        </w:rPr>
      </w:pPr>
      <w:r>
        <w:rPr>
          <w:rFonts w:hint="eastAsia" w:ascii="新宋体" w:hAnsi="新宋体" w:eastAsia="新宋体"/>
          <w:szCs w:val="21"/>
        </w:rPr>
        <w:t>1、乙方应按照国家有关法律法规规章和“三包”规定和招标文件的要求及乙方在投标文件的相关承诺提供保修及其他服务。</w:t>
      </w:r>
    </w:p>
    <w:p>
      <w:pPr>
        <w:spacing w:line="360" w:lineRule="auto"/>
        <w:ind w:firstLine="560"/>
        <w:jc w:val="left"/>
        <w:rPr>
          <w:rFonts w:ascii="新宋体" w:hAnsi="新宋体" w:eastAsia="新宋体"/>
          <w:szCs w:val="21"/>
        </w:rPr>
      </w:pPr>
      <w:r>
        <w:rPr>
          <w:rFonts w:hint="eastAsia" w:ascii="新宋体" w:hAnsi="新宋体" w:eastAsia="新宋体"/>
          <w:szCs w:val="21"/>
        </w:rPr>
        <w:t>2、</w:t>
      </w:r>
      <w:r>
        <w:rPr>
          <w:rFonts w:ascii="新宋体" w:hAnsi="新宋体" w:eastAsia="新宋体"/>
          <w:szCs w:val="21"/>
        </w:rPr>
        <w:t>保修期内，乙方负责对其提供的货物进行维修和系统维护，不再收取任何费用。</w:t>
      </w:r>
      <w:r>
        <w:rPr>
          <w:rFonts w:hint="eastAsia" w:ascii="新宋体" w:hAnsi="新宋体" w:eastAsia="新宋体"/>
          <w:szCs w:val="21"/>
        </w:rPr>
        <w:t>所有货物保修服务方式均为乙方上门保修，即由乙方派员到货物使用现场维修，由此产生的一切费用均由乙方承担。保修期后的货物维护另行协商。</w:t>
      </w:r>
    </w:p>
    <w:p>
      <w:pPr>
        <w:spacing w:line="360" w:lineRule="auto"/>
        <w:ind w:firstLine="560"/>
        <w:jc w:val="left"/>
        <w:rPr>
          <w:rFonts w:ascii="新宋体" w:hAnsi="新宋体" w:eastAsia="新宋体"/>
          <w:b/>
          <w:szCs w:val="21"/>
        </w:rPr>
      </w:pPr>
      <w:r>
        <w:rPr>
          <w:rFonts w:hint="eastAsia" w:ascii="新宋体" w:hAnsi="新宋体" w:eastAsia="新宋体"/>
          <w:b/>
          <w:szCs w:val="21"/>
        </w:rPr>
        <w:t>第七条  履约保证金</w:t>
      </w:r>
    </w:p>
    <w:p>
      <w:pPr>
        <w:spacing w:line="360" w:lineRule="auto"/>
        <w:ind w:firstLine="560"/>
        <w:jc w:val="left"/>
        <w:rPr>
          <w:rFonts w:ascii="新宋体" w:hAnsi="新宋体" w:eastAsia="新宋体"/>
          <w:szCs w:val="21"/>
        </w:rPr>
      </w:pPr>
      <w:r>
        <w:rPr>
          <w:rFonts w:hint="eastAsia" w:ascii="新宋体" w:hAnsi="新宋体" w:eastAsia="新宋体"/>
          <w:szCs w:val="21"/>
        </w:rPr>
        <w:t>1、乙方应在签订本合同之日，向甲方或甲方指定的机构提交履约保证金_________元。</w:t>
      </w:r>
    </w:p>
    <w:p>
      <w:pPr>
        <w:spacing w:line="360" w:lineRule="auto"/>
        <w:ind w:firstLine="560"/>
        <w:jc w:val="left"/>
        <w:rPr>
          <w:rFonts w:ascii="新宋体" w:hAnsi="新宋体" w:eastAsia="新宋体"/>
          <w:szCs w:val="21"/>
        </w:rPr>
      </w:pPr>
      <w:r>
        <w:rPr>
          <w:rFonts w:hint="eastAsia" w:ascii="新宋体" w:hAnsi="新宋体" w:eastAsia="新宋体"/>
          <w:szCs w:val="21"/>
        </w:rPr>
        <w:t>2、如乙方未能履行合同规定的义务，甲方有权从履约保证金中取得补偿。</w:t>
      </w:r>
    </w:p>
    <w:p>
      <w:pPr>
        <w:spacing w:line="360" w:lineRule="auto"/>
        <w:ind w:firstLine="560"/>
        <w:jc w:val="left"/>
        <w:rPr>
          <w:rFonts w:ascii="新宋体" w:hAnsi="新宋体" w:eastAsia="新宋体"/>
          <w:szCs w:val="21"/>
        </w:rPr>
      </w:pPr>
      <w:r>
        <w:rPr>
          <w:rFonts w:hint="eastAsia" w:ascii="新宋体" w:hAnsi="新宋体" w:eastAsia="新宋体"/>
          <w:szCs w:val="21"/>
        </w:rPr>
        <w:t>3、甲方在乙方履行完毕本合同项下全部义务后______天内无息退还乙方。</w:t>
      </w: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b/>
          <w:szCs w:val="21"/>
        </w:rPr>
      </w:pPr>
      <w:r>
        <w:rPr>
          <w:rFonts w:hint="eastAsia" w:ascii="新宋体" w:hAnsi="新宋体" w:eastAsia="新宋体"/>
          <w:b/>
          <w:szCs w:val="21"/>
        </w:rPr>
        <w:t>第八条   货款支付</w:t>
      </w: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b/>
          <w:szCs w:val="21"/>
        </w:rPr>
      </w:pPr>
      <w:r>
        <w:rPr>
          <w:rFonts w:hint="eastAsia" w:ascii="新宋体" w:hAnsi="新宋体" w:eastAsia="新宋体"/>
          <w:b/>
          <w:szCs w:val="21"/>
        </w:rPr>
        <w:t>第九条    违约责任</w:t>
      </w:r>
    </w:p>
    <w:p>
      <w:pPr>
        <w:spacing w:line="360" w:lineRule="auto"/>
        <w:ind w:firstLine="560"/>
        <w:jc w:val="left"/>
        <w:rPr>
          <w:rFonts w:ascii="新宋体" w:hAnsi="新宋体" w:eastAsia="新宋体"/>
          <w:szCs w:val="21"/>
        </w:rPr>
      </w:pPr>
      <w:r>
        <w:rPr>
          <w:rFonts w:hint="eastAsia" w:ascii="新宋体" w:hAnsi="新宋体" w:eastAsia="新宋体"/>
          <w:szCs w:val="21"/>
        </w:rPr>
        <w:t>１、甲方无正当理由拒收货物、拒付货物款的，由甲方向乙方偿付合同总价的【】%违约金。</w:t>
      </w:r>
    </w:p>
    <w:p>
      <w:pPr>
        <w:spacing w:line="360" w:lineRule="auto"/>
        <w:ind w:firstLine="560"/>
        <w:jc w:val="left"/>
        <w:rPr>
          <w:rFonts w:ascii="新宋体" w:hAnsi="新宋体" w:eastAsia="新宋体"/>
          <w:szCs w:val="21"/>
        </w:rPr>
      </w:pPr>
      <w:r>
        <w:rPr>
          <w:rFonts w:hint="eastAsia" w:ascii="新宋体" w:hAnsi="新宋体" w:eastAsia="新宋体"/>
          <w:szCs w:val="21"/>
        </w:rPr>
        <w:t>２、甲方未按合同规定的期限向乙方支付货款的，每逾期1天甲方向乙方偿付欠款总额的【】‰滞纳金，但累计滞纳金总额不超过欠款总额的【】% 。</w:t>
      </w:r>
    </w:p>
    <w:p>
      <w:pPr>
        <w:spacing w:line="360" w:lineRule="auto"/>
        <w:ind w:firstLine="560"/>
        <w:jc w:val="left"/>
        <w:rPr>
          <w:rFonts w:ascii="新宋体" w:hAnsi="新宋体" w:eastAsia="新宋体"/>
          <w:szCs w:val="21"/>
        </w:rPr>
      </w:pPr>
      <w:r>
        <w:rPr>
          <w:rFonts w:hint="eastAsia" w:ascii="新宋体" w:hAnsi="新宋体" w:eastAsia="新宋体"/>
          <w:szCs w:val="21"/>
        </w:rPr>
        <w:t>３、</w:t>
      </w:r>
      <w:r>
        <w:rPr>
          <w:rFonts w:ascii="新宋体" w:hAnsi="新宋体" w:eastAsia="新宋体"/>
          <w:szCs w:val="21"/>
        </w:rPr>
        <w:t>乙方逾期交付货物的，每逾期1天，乙方向甲方偿付逾期交货部分货款总额的</w:t>
      </w:r>
      <w:r>
        <w:rPr>
          <w:rFonts w:hint="eastAsia" w:ascii="新宋体" w:hAnsi="新宋体" w:eastAsia="新宋体"/>
          <w:szCs w:val="21"/>
        </w:rPr>
        <w:t>【】</w:t>
      </w:r>
      <w:r>
        <w:rPr>
          <w:rFonts w:ascii="新宋体" w:hAnsi="新宋体" w:eastAsia="新宋体"/>
          <w:szCs w:val="21"/>
        </w:rPr>
        <w:t>‰的滞纳金</w:t>
      </w:r>
      <w:r>
        <w:rPr>
          <w:rFonts w:hint="eastAsia" w:ascii="新宋体" w:hAnsi="新宋体" w:eastAsia="新宋体"/>
          <w:szCs w:val="21"/>
        </w:rPr>
        <w:t>。如乙方逾期交货达</w:t>
      </w:r>
      <w:r>
        <w:rPr>
          <w:rFonts w:hint="eastAsia" w:ascii="新宋体" w:hAnsi="新宋体" w:eastAsia="新宋体"/>
          <w:szCs w:val="21"/>
          <w:u w:val="single"/>
        </w:rPr>
        <w:t xml:space="preserve">    </w:t>
      </w:r>
      <w:r>
        <w:rPr>
          <w:rFonts w:hint="eastAsia" w:ascii="新宋体" w:hAnsi="新宋体" w:eastAsia="新宋体"/>
          <w:szCs w:val="21"/>
        </w:rPr>
        <w:t>天，甲方有权解除合同，履约保证金不予退回，同时乙方应向甲方支付合同总价【】％的违约金。</w:t>
      </w:r>
    </w:p>
    <w:p>
      <w:pPr>
        <w:spacing w:line="360" w:lineRule="auto"/>
        <w:ind w:firstLine="560"/>
        <w:jc w:val="left"/>
        <w:rPr>
          <w:rFonts w:ascii="新宋体" w:hAnsi="新宋体" w:eastAsia="新宋体"/>
          <w:szCs w:val="21"/>
        </w:rPr>
      </w:pPr>
      <w:r>
        <w:rPr>
          <w:rFonts w:hint="eastAsia" w:ascii="新宋体" w:hAnsi="新宋体" w:eastAsia="新宋体"/>
          <w:szCs w:val="21"/>
        </w:rPr>
        <w:t>4、乙方所交付的货物品种、型号、规格不符合合同规定的，甲方有权拒收。甲方拒收的，乙方应向甲方支付货款总额【】%的违约金。</w:t>
      </w:r>
    </w:p>
    <w:p>
      <w:pPr>
        <w:spacing w:line="360" w:lineRule="auto"/>
        <w:ind w:firstLine="560"/>
        <w:jc w:val="left"/>
        <w:rPr>
          <w:rFonts w:ascii="新宋体" w:hAnsi="新宋体" w:eastAsia="新宋体"/>
          <w:szCs w:val="21"/>
        </w:rPr>
      </w:pPr>
      <w:r>
        <w:rPr>
          <w:rFonts w:hint="eastAsia" w:ascii="新宋体" w:hAnsi="新宋体" w:eastAsia="新宋体"/>
          <w:szCs w:val="21"/>
        </w:rPr>
        <w:t>5、在乙方承诺的或国家规定的质量保证期内（取两者中最长的期限），</w:t>
      </w:r>
      <w:r>
        <w:rPr>
          <w:rFonts w:ascii="新宋体" w:hAnsi="新宋体" w:eastAsia="新宋体"/>
          <w:szCs w:val="21"/>
        </w:rPr>
        <w:t>如经乙方两次维修</w:t>
      </w:r>
      <w:r>
        <w:rPr>
          <w:rFonts w:hint="eastAsia" w:ascii="新宋体" w:hAnsi="新宋体" w:eastAsia="新宋体"/>
          <w:szCs w:val="21"/>
        </w:rPr>
        <w:t>或更换</w:t>
      </w:r>
      <w:r>
        <w:rPr>
          <w:rFonts w:ascii="新宋体" w:hAnsi="新宋体" w:eastAsia="新宋体"/>
          <w:szCs w:val="21"/>
        </w:rPr>
        <w:t>，货物仍不能达到合同约定</w:t>
      </w:r>
      <w:r>
        <w:rPr>
          <w:rFonts w:hint="eastAsia" w:ascii="新宋体" w:hAnsi="新宋体" w:eastAsia="新宋体"/>
          <w:szCs w:val="21"/>
        </w:rPr>
        <w:t>的</w:t>
      </w:r>
      <w:r>
        <w:rPr>
          <w:rFonts w:ascii="新宋体" w:hAnsi="新宋体" w:eastAsia="新宋体"/>
          <w:szCs w:val="21"/>
        </w:rPr>
        <w:t>质量标准，甲方有权退货，乙方</w:t>
      </w:r>
      <w:r>
        <w:rPr>
          <w:rFonts w:hint="eastAsia" w:ascii="新宋体" w:hAnsi="新宋体" w:eastAsia="新宋体"/>
          <w:szCs w:val="21"/>
        </w:rPr>
        <w:t>应</w:t>
      </w:r>
      <w:r>
        <w:rPr>
          <w:rFonts w:ascii="新宋体" w:hAnsi="新宋体" w:eastAsia="新宋体"/>
          <w:szCs w:val="21"/>
        </w:rPr>
        <w:t>退回全部货款</w:t>
      </w:r>
      <w:r>
        <w:rPr>
          <w:rFonts w:hint="eastAsia" w:ascii="新宋体" w:hAnsi="新宋体" w:eastAsia="新宋体"/>
          <w:szCs w:val="21"/>
        </w:rPr>
        <w:t>并</w:t>
      </w:r>
      <w:r>
        <w:rPr>
          <w:rFonts w:ascii="新宋体" w:hAnsi="新宋体" w:eastAsia="新宋体"/>
          <w:szCs w:val="21"/>
        </w:rPr>
        <w:t>赔偿甲方因此遭受的损失。</w:t>
      </w:r>
    </w:p>
    <w:p>
      <w:pPr>
        <w:spacing w:line="360" w:lineRule="auto"/>
        <w:ind w:firstLine="560"/>
        <w:jc w:val="left"/>
        <w:rPr>
          <w:rFonts w:ascii="新宋体" w:hAnsi="新宋体" w:eastAsia="新宋体"/>
          <w:szCs w:val="21"/>
        </w:rPr>
      </w:pPr>
      <w:r>
        <w:rPr>
          <w:rFonts w:hint="eastAsia" w:ascii="新宋体" w:hAnsi="新宋体" w:eastAsia="新宋体"/>
          <w:szCs w:val="21"/>
        </w:rPr>
        <w:t>6、乙方未履行本合同项下的其他义务或违反其在投标文件中的相关承诺的，应按合同总价款的【】%向甲方承担违约责任。</w:t>
      </w:r>
    </w:p>
    <w:p>
      <w:pPr>
        <w:spacing w:line="360" w:lineRule="auto"/>
        <w:ind w:firstLine="560"/>
        <w:jc w:val="left"/>
        <w:rPr>
          <w:rFonts w:ascii="新宋体" w:hAnsi="新宋体" w:eastAsia="新宋体"/>
          <w:szCs w:val="21"/>
        </w:rPr>
      </w:pPr>
      <w:r>
        <w:rPr>
          <w:rFonts w:hint="eastAsia" w:ascii="新宋体" w:hAnsi="新宋体" w:eastAsia="新宋体"/>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560"/>
        <w:jc w:val="left"/>
        <w:rPr>
          <w:rFonts w:ascii="新宋体" w:hAnsi="新宋体" w:eastAsia="新宋体"/>
          <w:b/>
          <w:szCs w:val="21"/>
        </w:rPr>
      </w:pPr>
      <w:r>
        <w:rPr>
          <w:rFonts w:hint="eastAsia" w:ascii="新宋体" w:hAnsi="新宋体" w:eastAsia="新宋体"/>
          <w:b/>
          <w:szCs w:val="21"/>
        </w:rPr>
        <w:t>第十条    合同的变更和终止</w:t>
      </w:r>
    </w:p>
    <w:p>
      <w:pPr>
        <w:spacing w:line="360" w:lineRule="auto"/>
        <w:ind w:firstLine="560"/>
        <w:jc w:val="left"/>
        <w:rPr>
          <w:rFonts w:ascii="新宋体" w:hAnsi="新宋体" w:eastAsia="新宋体"/>
          <w:szCs w:val="21"/>
        </w:rPr>
      </w:pPr>
      <w:r>
        <w:rPr>
          <w:rFonts w:hint="eastAsia" w:ascii="新宋体" w:hAnsi="新宋体" w:eastAsia="新宋体"/>
          <w:szCs w:val="21"/>
        </w:rPr>
        <w:t>除《中华人民共和国政府采购法》第４９条、第５０条第二款规定的情形外，本合同一经签订，甲乙双方不得擅自变更、中止或终止合同。</w:t>
      </w:r>
    </w:p>
    <w:p>
      <w:pPr>
        <w:spacing w:line="360" w:lineRule="auto"/>
        <w:ind w:firstLine="560"/>
        <w:jc w:val="left"/>
        <w:rPr>
          <w:rFonts w:ascii="新宋体" w:hAnsi="新宋体" w:eastAsia="新宋体"/>
          <w:b/>
          <w:szCs w:val="21"/>
        </w:rPr>
      </w:pPr>
      <w:r>
        <w:rPr>
          <w:rFonts w:hint="eastAsia" w:ascii="新宋体" w:hAnsi="新宋体" w:eastAsia="新宋体"/>
          <w:b/>
          <w:szCs w:val="21"/>
        </w:rPr>
        <w:t>第十一条   争议的解决</w:t>
      </w:r>
    </w:p>
    <w:p>
      <w:pPr>
        <w:spacing w:line="360" w:lineRule="auto"/>
        <w:ind w:firstLine="560"/>
        <w:jc w:val="left"/>
        <w:rPr>
          <w:rFonts w:ascii="新宋体" w:hAnsi="新宋体" w:eastAsia="新宋体"/>
          <w:szCs w:val="21"/>
        </w:rPr>
      </w:pPr>
      <w:r>
        <w:rPr>
          <w:rFonts w:hint="eastAsia" w:ascii="新宋体" w:hAnsi="新宋体" w:eastAsia="新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560"/>
        <w:jc w:val="left"/>
        <w:rPr>
          <w:rFonts w:ascii="新宋体" w:hAnsi="新宋体" w:eastAsia="新宋体"/>
          <w:szCs w:val="21"/>
        </w:rPr>
      </w:pPr>
      <w:r>
        <w:rPr>
          <w:rFonts w:hint="eastAsia" w:ascii="新宋体" w:hAnsi="新宋体" w:eastAsia="新宋体"/>
          <w:szCs w:val="21"/>
        </w:rPr>
        <w:t>2、因履行本合同引起的或与本合同有关的争议，甲、乙双方应首先通过友好协商解决，如果协商不能解决争议，则向甲方所在地有管辖权的人民法院提起诉讼；</w:t>
      </w:r>
    </w:p>
    <w:p>
      <w:pPr>
        <w:spacing w:line="360" w:lineRule="auto"/>
        <w:ind w:firstLine="560"/>
        <w:jc w:val="left"/>
        <w:rPr>
          <w:rFonts w:ascii="新宋体" w:hAnsi="新宋体" w:eastAsia="新宋体"/>
          <w:b/>
          <w:szCs w:val="21"/>
        </w:rPr>
      </w:pPr>
      <w:r>
        <w:rPr>
          <w:rFonts w:hint="eastAsia" w:ascii="新宋体" w:hAnsi="新宋体" w:eastAsia="新宋体"/>
          <w:b/>
          <w:szCs w:val="21"/>
        </w:rPr>
        <w:t>第十二条   合同生效及其他</w:t>
      </w:r>
    </w:p>
    <w:p>
      <w:pPr>
        <w:spacing w:line="360" w:lineRule="auto"/>
        <w:ind w:firstLine="560"/>
        <w:jc w:val="left"/>
        <w:rPr>
          <w:rFonts w:ascii="新宋体" w:hAnsi="新宋体" w:eastAsia="新宋体"/>
          <w:szCs w:val="21"/>
        </w:rPr>
      </w:pPr>
      <w:r>
        <w:rPr>
          <w:rFonts w:hint="eastAsia" w:ascii="新宋体" w:hAnsi="新宋体" w:eastAsia="新宋体"/>
          <w:szCs w:val="21"/>
        </w:rPr>
        <w:t>1、下列文件均为本合同的组成部分：</w:t>
      </w:r>
    </w:p>
    <w:p>
      <w:pPr>
        <w:spacing w:line="360" w:lineRule="auto"/>
        <w:ind w:firstLine="560"/>
        <w:jc w:val="left"/>
        <w:rPr>
          <w:rFonts w:ascii="新宋体" w:hAnsi="新宋体" w:eastAsia="新宋体"/>
          <w:szCs w:val="21"/>
        </w:rPr>
      </w:pPr>
      <w:r>
        <w:rPr>
          <w:rFonts w:hint="eastAsia" w:ascii="新宋体" w:hAnsi="新宋体" w:eastAsia="新宋体"/>
          <w:szCs w:val="21"/>
        </w:rPr>
        <w:t>（1）</w:t>
      </w:r>
      <w:r>
        <w:rPr>
          <w:rFonts w:hint="eastAsia" w:ascii="新宋体" w:hAnsi="新宋体" w:eastAsia="新宋体"/>
          <w:szCs w:val="21"/>
          <w:u w:val="single"/>
        </w:rPr>
        <w:t xml:space="preserve">         </w:t>
      </w:r>
      <w:r>
        <w:rPr>
          <w:rFonts w:hint="eastAsia" w:ascii="新宋体" w:hAnsi="新宋体" w:eastAsia="新宋体"/>
          <w:szCs w:val="21"/>
        </w:rPr>
        <w:t>号招标文件、答疑及补充通知；</w:t>
      </w:r>
    </w:p>
    <w:p>
      <w:pPr>
        <w:spacing w:line="360" w:lineRule="auto"/>
        <w:ind w:firstLine="560"/>
        <w:jc w:val="left"/>
        <w:rPr>
          <w:rFonts w:ascii="新宋体" w:hAnsi="新宋体" w:eastAsia="新宋体"/>
          <w:szCs w:val="21"/>
        </w:rPr>
      </w:pPr>
      <w:r>
        <w:rPr>
          <w:rFonts w:hint="eastAsia" w:ascii="新宋体" w:hAnsi="新宋体" w:eastAsia="新宋体"/>
          <w:szCs w:val="21"/>
        </w:rPr>
        <w:t>（2）乙方的投标文件；</w:t>
      </w:r>
    </w:p>
    <w:p>
      <w:pPr>
        <w:spacing w:line="360" w:lineRule="auto"/>
        <w:ind w:firstLine="560"/>
        <w:jc w:val="left"/>
        <w:rPr>
          <w:rFonts w:ascii="新宋体" w:hAnsi="新宋体" w:eastAsia="新宋体"/>
          <w:szCs w:val="21"/>
        </w:rPr>
      </w:pPr>
      <w:r>
        <w:rPr>
          <w:rFonts w:hint="eastAsia" w:ascii="新宋体" w:hAnsi="新宋体" w:eastAsia="新宋体"/>
          <w:szCs w:val="21"/>
        </w:rPr>
        <w:t>（3）本合同执行中甲乙双方共同签署的补充与修正文件。</w:t>
      </w:r>
    </w:p>
    <w:p>
      <w:pPr>
        <w:spacing w:line="360" w:lineRule="auto"/>
        <w:ind w:firstLine="560"/>
        <w:jc w:val="left"/>
        <w:rPr>
          <w:rFonts w:ascii="新宋体" w:hAnsi="新宋体" w:eastAsia="新宋体"/>
          <w:szCs w:val="21"/>
        </w:rPr>
      </w:pPr>
      <w:r>
        <w:rPr>
          <w:rFonts w:hint="eastAsia" w:ascii="新宋体" w:hAnsi="新宋体" w:eastAsia="新宋体"/>
          <w:szCs w:val="21"/>
        </w:rPr>
        <w:t>2、本合同一式</w:t>
      </w:r>
      <w:r>
        <w:rPr>
          <w:rFonts w:hint="eastAsia" w:ascii="新宋体" w:hAnsi="新宋体" w:eastAsia="新宋体"/>
          <w:szCs w:val="21"/>
          <w:u w:val="single"/>
        </w:rPr>
        <w:t xml:space="preserve">     </w:t>
      </w:r>
      <w:r>
        <w:rPr>
          <w:rFonts w:hint="eastAsia" w:ascii="新宋体" w:hAnsi="新宋体" w:eastAsia="新宋体"/>
          <w:szCs w:val="21"/>
        </w:rPr>
        <w:t>份，甲、乙方双方各执</w:t>
      </w:r>
      <w:r>
        <w:rPr>
          <w:rFonts w:hint="eastAsia" w:ascii="新宋体" w:hAnsi="新宋体" w:eastAsia="新宋体"/>
          <w:szCs w:val="21"/>
          <w:u w:val="single"/>
        </w:rPr>
        <w:t xml:space="preserve">     </w:t>
      </w:r>
      <w:r>
        <w:rPr>
          <w:rFonts w:hint="eastAsia" w:ascii="新宋体" w:hAnsi="新宋体" w:eastAsia="新宋体"/>
          <w:szCs w:val="21"/>
        </w:rPr>
        <w:t>份，具有同等法律效力。本合同自双方法定代表人（或授权代表）签字并盖章之日起生效。</w:t>
      </w: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szCs w:val="21"/>
        </w:rPr>
      </w:pPr>
    </w:p>
    <w:p>
      <w:pPr>
        <w:spacing w:line="360" w:lineRule="auto"/>
        <w:ind w:firstLine="560"/>
        <w:jc w:val="left"/>
        <w:rPr>
          <w:rFonts w:ascii="新宋体" w:hAnsi="新宋体" w:eastAsia="新宋体"/>
          <w:szCs w:val="21"/>
        </w:rPr>
      </w:pPr>
      <w:r>
        <w:rPr>
          <w:rFonts w:hint="eastAsia" w:ascii="新宋体" w:hAnsi="新宋体" w:eastAsia="新宋体"/>
          <w:szCs w:val="21"/>
        </w:rPr>
        <w:t>甲方（采购人）：   （盖章）       乙方（供应商）：    （盖章）</w:t>
      </w:r>
    </w:p>
    <w:p>
      <w:pPr>
        <w:spacing w:line="360" w:lineRule="auto"/>
        <w:ind w:firstLine="560"/>
        <w:jc w:val="left"/>
        <w:rPr>
          <w:rFonts w:ascii="新宋体" w:hAnsi="新宋体" w:eastAsia="新宋体"/>
          <w:szCs w:val="21"/>
        </w:rPr>
      </w:pPr>
      <w:r>
        <w:rPr>
          <w:rFonts w:hint="eastAsia" w:ascii="新宋体" w:hAnsi="新宋体" w:eastAsia="新宋体"/>
          <w:szCs w:val="21"/>
        </w:rPr>
        <w:t xml:space="preserve">法定代表人：                     法定代表人： </w:t>
      </w:r>
    </w:p>
    <w:p>
      <w:pPr>
        <w:spacing w:line="360" w:lineRule="auto"/>
        <w:ind w:firstLine="560"/>
        <w:jc w:val="left"/>
        <w:rPr>
          <w:rFonts w:ascii="新宋体" w:hAnsi="新宋体" w:eastAsia="新宋体"/>
          <w:szCs w:val="21"/>
        </w:rPr>
      </w:pPr>
      <w:r>
        <w:rPr>
          <w:rFonts w:hint="eastAsia" w:ascii="新宋体" w:hAnsi="新宋体" w:eastAsia="新宋体"/>
          <w:szCs w:val="21"/>
        </w:rPr>
        <w:t>委托代理人：                     委托代理人：</w:t>
      </w:r>
    </w:p>
    <w:p>
      <w:pPr>
        <w:spacing w:line="360" w:lineRule="auto"/>
        <w:ind w:firstLine="525" w:firstLineChars="250"/>
        <w:rPr>
          <w:rFonts w:ascii="新宋体" w:hAnsi="新宋体" w:eastAsia="新宋体"/>
          <w:b/>
          <w:szCs w:val="21"/>
        </w:rPr>
      </w:pPr>
      <w:r>
        <w:rPr>
          <w:rFonts w:hint="eastAsia" w:ascii="新宋体" w:hAnsi="新宋体" w:eastAsia="新宋体"/>
          <w:szCs w:val="21"/>
        </w:rPr>
        <w:t>日期：   年     月    日         日期：   年     月    日</w:t>
      </w:r>
    </w:p>
    <w:p>
      <w:pPr>
        <w:spacing w:line="360" w:lineRule="auto"/>
        <w:rPr>
          <w:rFonts w:ascii="新宋体" w:hAnsi="新宋体" w:eastAsia="新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3"/>
        <w:jc w:val="center"/>
        <w:rPr>
          <w:rFonts w:ascii="黑体" w:eastAsia="黑体"/>
          <w:b w:val="0"/>
          <w:kern w:val="0"/>
          <w:sz w:val="24"/>
          <w:szCs w:val="24"/>
        </w:rPr>
      </w:pPr>
      <w:r>
        <w:rPr>
          <w:rFonts w:hint="eastAsia" w:ascii="黑体" w:eastAsia="黑体"/>
          <w:b w:val="0"/>
          <w:kern w:val="0"/>
          <w:sz w:val="24"/>
          <w:szCs w:val="24"/>
        </w:rPr>
        <w:t>三、政府采购履约情况反馈表</w:t>
      </w:r>
    </w:p>
    <w:p>
      <w:pPr>
        <w:spacing w:line="240" w:lineRule="atLeast"/>
        <w:rPr>
          <w:rFonts w:ascii="宋体" w:hAnsi="宋体"/>
          <w:b/>
          <w:szCs w:val="21"/>
        </w:rPr>
      </w:pPr>
      <w:r>
        <w:rPr>
          <w:rFonts w:hint="eastAsia" w:ascii="宋体" w:hAnsi="宋体"/>
          <w:b/>
          <w:szCs w:val="21"/>
        </w:rPr>
        <w:t>采购人名称：                       联系人及电话：</w:t>
      </w:r>
    </w:p>
    <w:p>
      <w:pPr>
        <w:spacing w:line="60" w:lineRule="exact"/>
        <w:rPr>
          <w:rFonts w:ascii="宋体" w:hAnsi="宋体"/>
          <w:b/>
          <w:szCs w:val="21"/>
        </w:rPr>
      </w:pPr>
    </w:p>
    <w:tbl>
      <w:tblPr>
        <w:tblStyle w:val="43"/>
        <w:tblW w:w="891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2"/>
        <w:gridCol w:w="720"/>
        <w:gridCol w:w="720"/>
        <w:gridCol w:w="2520"/>
        <w:gridCol w:w="1980"/>
        <w:gridCol w:w="21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282" w:type="dxa"/>
            <w:gridSpan w:val="3"/>
            <w:vAlign w:val="center"/>
          </w:tcPr>
          <w:p>
            <w:pPr>
              <w:spacing w:line="240" w:lineRule="atLeast"/>
              <w:jc w:val="center"/>
              <w:rPr>
                <w:rFonts w:ascii="宋体" w:hAnsi="宋体"/>
                <w:szCs w:val="21"/>
              </w:rPr>
            </w:pPr>
            <w:r>
              <w:rPr>
                <w:rFonts w:hint="eastAsia" w:ascii="宋体" w:hAnsi="宋体"/>
                <w:szCs w:val="21"/>
              </w:rPr>
              <w:t>采购项目名称</w:t>
            </w:r>
          </w:p>
        </w:tc>
        <w:tc>
          <w:tcPr>
            <w:tcW w:w="2520" w:type="dxa"/>
            <w:vAlign w:val="center"/>
          </w:tcPr>
          <w:p>
            <w:pPr>
              <w:spacing w:line="240" w:lineRule="atLeast"/>
              <w:jc w:val="center"/>
              <w:rPr>
                <w:rFonts w:ascii="宋体" w:hAnsi="宋体"/>
                <w:szCs w:val="21"/>
              </w:rPr>
            </w:pPr>
          </w:p>
        </w:tc>
        <w:tc>
          <w:tcPr>
            <w:tcW w:w="1980" w:type="dxa"/>
            <w:vAlign w:val="center"/>
          </w:tcPr>
          <w:p>
            <w:pPr>
              <w:spacing w:line="240" w:lineRule="atLeast"/>
              <w:jc w:val="center"/>
              <w:rPr>
                <w:rFonts w:ascii="宋体" w:hAnsi="宋体"/>
                <w:szCs w:val="21"/>
              </w:rPr>
            </w:pPr>
            <w:r>
              <w:rPr>
                <w:rFonts w:hint="eastAsia" w:ascii="宋体" w:hAnsi="宋体"/>
                <w:szCs w:val="21"/>
              </w:rPr>
              <w:t>项目编号</w:t>
            </w:r>
          </w:p>
        </w:tc>
        <w:tc>
          <w:tcPr>
            <w:tcW w:w="2135" w:type="dxa"/>
            <w:vAlign w:val="center"/>
          </w:tcPr>
          <w:p>
            <w:pPr>
              <w:spacing w:line="240" w:lineRule="atLeas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2282" w:type="dxa"/>
            <w:gridSpan w:val="3"/>
            <w:vAlign w:val="center"/>
          </w:tcPr>
          <w:p>
            <w:pPr>
              <w:spacing w:line="240" w:lineRule="atLeast"/>
              <w:jc w:val="center"/>
              <w:rPr>
                <w:rFonts w:ascii="宋体" w:hAnsi="宋体"/>
                <w:szCs w:val="21"/>
              </w:rPr>
            </w:pPr>
            <w:r>
              <w:rPr>
                <w:rFonts w:hint="eastAsia" w:ascii="宋体" w:hAnsi="宋体"/>
                <w:szCs w:val="21"/>
              </w:rPr>
              <w:t>中标供应商名称</w:t>
            </w:r>
          </w:p>
        </w:tc>
        <w:tc>
          <w:tcPr>
            <w:tcW w:w="2520" w:type="dxa"/>
            <w:vAlign w:val="center"/>
          </w:tcPr>
          <w:p>
            <w:pPr>
              <w:spacing w:line="240" w:lineRule="atLeast"/>
              <w:jc w:val="center"/>
              <w:rPr>
                <w:rFonts w:ascii="宋体" w:hAnsi="宋体"/>
                <w:szCs w:val="21"/>
              </w:rPr>
            </w:pPr>
          </w:p>
        </w:tc>
        <w:tc>
          <w:tcPr>
            <w:tcW w:w="1980" w:type="dxa"/>
            <w:vAlign w:val="center"/>
          </w:tcPr>
          <w:p>
            <w:pPr>
              <w:spacing w:line="240" w:lineRule="atLeast"/>
              <w:jc w:val="center"/>
              <w:rPr>
                <w:rFonts w:ascii="宋体" w:hAnsi="宋体"/>
                <w:szCs w:val="21"/>
              </w:rPr>
            </w:pPr>
            <w:r>
              <w:rPr>
                <w:rFonts w:hint="eastAsia" w:ascii="宋体" w:hAnsi="宋体"/>
                <w:szCs w:val="21"/>
              </w:rPr>
              <w:t>供应商</w:t>
            </w:r>
          </w:p>
          <w:p>
            <w:pPr>
              <w:spacing w:line="240" w:lineRule="atLeast"/>
              <w:jc w:val="center"/>
              <w:rPr>
                <w:rFonts w:ascii="宋体" w:hAnsi="宋体"/>
                <w:szCs w:val="21"/>
              </w:rPr>
            </w:pPr>
            <w:r>
              <w:rPr>
                <w:rFonts w:hint="eastAsia" w:ascii="宋体" w:hAnsi="宋体"/>
                <w:szCs w:val="21"/>
              </w:rPr>
              <w:t>联系人及电话</w:t>
            </w:r>
          </w:p>
        </w:tc>
        <w:tc>
          <w:tcPr>
            <w:tcW w:w="2135" w:type="dxa"/>
            <w:vAlign w:val="center"/>
          </w:tcPr>
          <w:p>
            <w:pPr>
              <w:spacing w:line="240" w:lineRule="atLeast"/>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282" w:type="dxa"/>
            <w:gridSpan w:val="3"/>
            <w:vAlign w:val="center"/>
          </w:tcPr>
          <w:p>
            <w:pPr>
              <w:spacing w:line="240" w:lineRule="atLeast"/>
              <w:jc w:val="center"/>
              <w:rPr>
                <w:rFonts w:ascii="宋体" w:hAnsi="宋体"/>
                <w:szCs w:val="21"/>
              </w:rPr>
            </w:pPr>
            <w:r>
              <w:rPr>
                <w:rFonts w:hint="eastAsia" w:ascii="宋体" w:hAnsi="宋体"/>
                <w:szCs w:val="21"/>
              </w:rPr>
              <w:t>中标金额</w:t>
            </w:r>
          </w:p>
        </w:tc>
        <w:tc>
          <w:tcPr>
            <w:tcW w:w="2520" w:type="dxa"/>
            <w:vAlign w:val="center"/>
          </w:tcPr>
          <w:p>
            <w:pPr>
              <w:spacing w:line="240" w:lineRule="atLeast"/>
              <w:jc w:val="center"/>
              <w:rPr>
                <w:rFonts w:ascii="宋体" w:hAnsi="宋体"/>
                <w:szCs w:val="21"/>
              </w:rPr>
            </w:pPr>
          </w:p>
        </w:tc>
        <w:tc>
          <w:tcPr>
            <w:tcW w:w="1980" w:type="dxa"/>
            <w:vAlign w:val="center"/>
          </w:tcPr>
          <w:p>
            <w:pPr>
              <w:spacing w:line="240" w:lineRule="atLeast"/>
              <w:jc w:val="center"/>
              <w:rPr>
                <w:rFonts w:ascii="宋体" w:hAnsi="宋体"/>
                <w:szCs w:val="21"/>
              </w:rPr>
            </w:pPr>
            <w:r>
              <w:rPr>
                <w:rFonts w:hint="eastAsia" w:ascii="宋体" w:hAnsi="宋体"/>
                <w:szCs w:val="21"/>
              </w:rPr>
              <w:t>合同履约时间</w:t>
            </w:r>
          </w:p>
        </w:tc>
        <w:tc>
          <w:tcPr>
            <w:tcW w:w="2135" w:type="dxa"/>
            <w:vAlign w:val="center"/>
          </w:tcPr>
          <w:p>
            <w:pPr>
              <w:spacing w:line="240" w:lineRule="atLeast"/>
              <w:rPr>
                <w:rFonts w:ascii="宋体" w:hAnsi="宋体"/>
                <w:szCs w:val="21"/>
              </w:rPr>
            </w:pPr>
            <w:r>
              <w:rPr>
                <w:rFonts w:hint="eastAsia" w:ascii="宋体" w:hAnsi="宋体"/>
                <w:szCs w:val="21"/>
              </w:rPr>
              <w:t>自       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42" w:type="dxa"/>
            <w:vMerge w:val="restart"/>
            <w:vAlign w:val="center"/>
          </w:tcPr>
          <w:p>
            <w:pPr>
              <w:spacing w:line="240" w:lineRule="atLeast"/>
              <w:jc w:val="center"/>
              <w:rPr>
                <w:rFonts w:ascii="宋体" w:hAnsi="宋体"/>
                <w:b/>
                <w:szCs w:val="21"/>
              </w:rPr>
            </w:pPr>
            <w:r>
              <w:rPr>
                <w:rFonts w:hint="eastAsia" w:ascii="宋体" w:hAnsi="宋体"/>
                <w:b/>
                <w:szCs w:val="21"/>
              </w:rPr>
              <w:t>履约情况评价</w:t>
            </w:r>
          </w:p>
        </w:tc>
        <w:tc>
          <w:tcPr>
            <w:tcW w:w="1440" w:type="dxa"/>
            <w:gridSpan w:val="2"/>
            <w:tcBorders>
              <w:right w:val="single" w:color="auto" w:sz="4" w:space="0"/>
            </w:tcBorders>
            <w:vAlign w:val="center"/>
          </w:tcPr>
          <w:p>
            <w:pPr>
              <w:spacing w:line="240" w:lineRule="atLeast"/>
              <w:jc w:val="center"/>
              <w:rPr>
                <w:rFonts w:ascii="宋体" w:hAnsi="宋体"/>
                <w:szCs w:val="21"/>
              </w:rPr>
            </w:pPr>
            <w:r>
              <w:rPr>
                <w:rFonts w:hint="eastAsia" w:ascii="宋体" w:hAnsi="宋体"/>
                <w:szCs w:val="21"/>
              </w:rPr>
              <w:t>总体评价</w:t>
            </w:r>
          </w:p>
        </w:tc>
        <w:tc>
          <w:tcPr>
            <w:tcW w:w="6635" w:type="dxa"/>
            <w:gridSpan w:val="3"/>
            <w:tcBorders>
              <w:left w:val="single" w:color="auto" w:sz="4" w:space="0"/>
            </w:tcBorders>
            <w:vAlign w:val="center"/>
          </w:tcPr>
          <w:p>
            <w:pPr>
              <w:spacing w:line="240" w:lineRule="atLeast"/>
              <w:ind w:firstLine="105" w:firstLineChars="50"/>
              <w:jc w:val="center"/>
              <w:rPr>
                <w:rFonts w:ascii="宋体" w:hAnsi="宋体"/>
                <w:szCs w:val="21"/>
              </w:rPr>
            </w:pPr>
            <w:r>
              <w:rPr>
                <w:rFonts w:hint="eastAsia" w:ascii="宋体" w:hAnsi="宋体"/>
                <w:szCs w:val="21"/>
              </w:rPr>
              <w:t>□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restart"/>
            <w:tcBorders>
              <w:right w:val="single" w:color="auto" w:sz="4" w:space="0"/>
            </w:tcBorders>
            <w:vAlign w:val="center"/>
          </w:tcPr>
          <w:p>
            <w:pPr>
              <w:spacing w:line="240" w:lineRule="atLeast"/>
              <w:jc w:val="center"/>
              <w:rPr>
                <w:rFonts w:ascii="宋体" w:hAnsi="宋体"/>
                <w:szCs w:val="21"/>
              </w:rPr>
            </w:pPr>
            <w:r>
              <w:rPr>
                <w:rFonts w:hint="eastAsia" w:ascii="宋体" w:hAnsi="宋体"/>
                <w:szCs w:val="21"/>
              </w:rPr>
              <w:t>分项评价</w:t>
            </w: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质量方面</w:t>
            </w:r>
          </w:p>
        </w:tc>
        <w:tc>
          <w:tcPr>
            <w:tcW w:w="6635" w:type="dxa"/>
            <w:gridSpan w:val="3"/>
            <w:tcBorders>
              <w:left w:val="single" w:color="auto" w:sz="4" w:space="0"/>
            </w:tcBorders>
            <w:vAlign w:val="center"/>
          </w:tcPr>
          <w:p>
            <w:pPr>
              <w:spacing w:line="240" w:lineRule="atLeast"/>
              <w:jc w:val="center"/>
              <w:rPr>
                <w:rFonts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continue"/>
            <w:tcBorders>
              <w:right w:val="single" w:color="auto" w:sz="4" w:space="0"/>
            </w:tcBorders>
            <w:vAlign w:val="center"/>
          </w:tcPr>
          <w:p>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价格方面</w:t>
            </w:r>
          </w:p>
        </w:tc>
        <w:tc>
          <w:tcPr>
            <w:tcW w:w="6635" w:type="dxa"/>
            <w:gridSpan w:val="3"/>
            <w:tcBorders>
              <w:left w:val="single" w:color="auto" w:sz="4" w:space="0"/>
            </w:tcBorders>
            <w:vAlign w:val="center"/>
          </w:tcPr>
          <w:p>
            <w:pPr>
              <w:spacing w:line="240" w:lineRule="atLeast"/>
              <w:jc w:val="center"/>
              <w:rPr>
                <w:rFonts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continue"/>
            <w:tcBorders>
              <w:right w:val="single" w:color="auto" w:sz="4" w:space="0"/>
            </w:tcBorders>
            <w:vAlign w:val="center"/>
          </w:tcPr>
          <w:p>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服务方面</w:t>
            </w:r>
          </w:p>
        </w:tc>
        <w:tc>
          <w:tcPr>
            <w:tcW w:w="6635" w:type="dxa"/>
            <w:gridSpan w:val="3"/>
            <w:tcBorders>
              <w:left w:val="single" w:color="auto" w:sz="4" w:space="0"/>
            </w:tcBorders>
            <w:vAlign w:val="center"/>
          </w:tcPr>
          <w:p>
            <w:pPr>
              <w:spacing w:line="240" w:lineRule="atLeast"/>
              <w:jc w:val="center"/>
              <w:rPr>
                <w:rFonts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continue"/>
            <w:tcBorders>
              <w:right w:val="single" w:color="auto" w:sz="4" w:space="0"/>
            </w:tcBorders>
            <w:vAlign w:val="center"/>
          </w:tcPr>
          <w:p>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时间方面</w:t>
            </w:r>
          </w:p>
        </w:tc>
        <w:tc>
          <w:tcPr>
            <w:tcW w:w="6635" w:type="dxa"/>
            <w:gridSpan w:val="3"/>
            <w:tcBorders>
              <w:left w:val="single" w:color="auto" w:sz="4" w:space="0"/>
            </w:tcBorders>
            <w:vAlign w:val="center"/>
          </w:tcPr>
          <w:p>
            <w:pPr>
              <w:spacing w:line="240" w:lineRule="atLeast"/>
              <w:jc w:val="center"/>
              <w:rPr>
                <w:rFonts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continue"/>
            <w:tcBorders>
              <w:right w:val="single" w:color="auto" w:sz="4" w:space="0"/>
            </w:tcBorders>
            <w:vAlign w:val="center"/>
          </w:tcPr>
          <w:p>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环境保护</w:t>
            </w:r>
          </w:p>
        </w:tc>
        <w:tc>
          <w:tcPr>
            <w:tcW w:w="6635" w:type="dxa"/>
            <w:gridSpan w:val="3"/>
            <w:tcBorders>
              <w:left w:val="single" w:color="auto" w:sz="4" w:space="0"/>
            </w:tcBorders>
            <w:vAlign w:val="center"/>
          </w:tcPr>
          <w:p>
            <w:pPr>
              <w:spacing w:line="240" w:lineRule="atLeast"/>
              <w:jc w:val="center"/>
              <w:rPr>
                <w:rFonts w:ascii="宋体" w:hAnsi="宋体"/>
                <w:szCs w:val="21"/>
              </w:rPr>
            </w:pPr>
            <w:r>
              <w:rPr>
                <w:rFonts w:hint="eastAsia" w:ascii="宋体" w:hAnsi="宋体"/>
                <w:szCs w:val="21"/>
              </w:rPr>
              <w:t xml:space="preserve">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8" w:hRule="atLeast"/>
          <w:jc w:val="center"/>
        </w:trPr>
        <w:tc>
          <w:tcPr>
            <w:tcW w:w="842" w:type="dxa"/>
            <w:vMerge w:val="continue"/>
            <w:vAlign w:val="center"/>
          </w:tcPr>
          <w:p>
            <w:pPr>
              <w:spacing w:line="240" w:lineRule="atLeast"/>
              <w:jc w:val="center"/>
              <w:rPr>
                <w:rFonts w:ascii="宋体" w:hAnsi="宋体"/>
                <w:szCs w:val="21"/>
              </w:rPr>
            </w:pPr>
          </w:p>
        </w:tc>
        <w:tc>
          <w:tcPr>
            <w:tcW w:w="720" w:type="dxa"/>
            <w:vMerge w:val="continue"/>
            <w:tcBorders>
              <w:right w:val="single" w:color="auto" w:sz="4" w:space="0"/>
            </w:tcBorders>
            <w:vAlign w:val="center"/>
          </w:tcPr>
          <w:p>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pPr>
              <w:spacing w:line="240" w:lineRule="atLeast"/>
              <w:jc w:val="center"/>
              <w:rPr>
                <w:rFonts w:ascii="宋体" w:hAnsi="宋体"/>
                <w:szCs w:val="21"/>
              </w:rPr>
            </w:pPr>
            <w:r>
              <w:rPr>
                <w:rFonts w:hint="eastAsia" w:ascii="宋体" w:hAnsi="宋体"/>
                <w:szCs w:val="21"/>
              </w:rPr>
              <w:t>其他</w:t>
            </w:r>
          </w:p>
        </w:tc>
        <w:tc>
          <w:tcPr>
            <w:tcW w:w="6635" w:type="dxa"/>
            <w:gridSpan w:val="3"/>
            <w:tcBorders>
              <w:left w:val="single" w:color="auto" w:sz="4" w:space="0"/>
            </w:tcBorders>
            <w:vAlign w:val="center"/>
          </w:tcPr>
          <w:p>
            <w:pPr>
              <w:spacing w:before="120" w:beforeLines="50" w:after="120" w:afterLines="50" w:line="240" w:lineRule="atLeast"/>
              <w:rPr>
                <w:rFonts w:ascii="宋体" w:hAnsi="宋体"/>
                <w:szCs w:val="21"/>
                <w:u w:val="single"/>
              </w:rPr>
            </w:pPr>
            <w:r>
              <w:rPr>
                <w:rFonts w:hint="eastAsia" w:ascii="宋体" w:hAnsi="宋体"/>
                <w:szCs w:val="21"/>
              </w:rPr>
              <w:t>评价内容为：</w:t>
            </w:r>
            <w:r>
              <w:rPr>
                <w:rFonts w:hint="eastAsia" w:ascii="宋体" w:hAnsi="宋体"/>
                <w:szCs w:val="21"/>
                <w:u w:val="single"/>
              </w:rPr>
              <w:t xml:space="preserve">                    </w:t>
            </w:r>
          </w:p>
          <w:p>
            <w:pPr>
              <w:spacing w:before="120" w:beforeLines="50" w:after="120" w:afterLines="50" w:line="240" w:lineRule="atLeast"/>
              <w:rPr>
                <w:rFonts w:ascii="宋体" w:hAnsi="宋体"/>
                <w:szCs w:val="21"/>
              </w:rPr>
            </w:pPr>
            <w:r>
              <w:rPr>
                <w:rFonts w:hint="eastAsia" w:ascii="宋体" w:hAnsi="宋体"/>
                <w:szCs w:val="21"/>
              </w:rPr>
              <w:t>评价等级为：  □ 优       □ 良        □ 中         □ 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61" w:hRule="atLeast"/>
          <w:jc w:val="center"/>
        </w:trPr>
        <w:tc>
          <w:tcPr>
            <w:tcW w:w="1562" w:type="dxa"/>
            <w:gridSpan w:val="2"/>
            <w:vAlign w:val="center"/>
          </w:tcPr>
          <w:p>
            <w:pPr>
              <w:spacing w:line="240" w:lineRule="atLeast"/>
              <w:jc w:val="center"/>
              <w:rPr>
                <w:rFonts w:ascii="宋体" w:hAnsi="宋体"/>
                <w:szCs w:val="21"/>
              </w:rPr>
            </w:pPr>
            <w:r>
              <w:rPr>
                <w:rFonts w:hint="eastAsia" w:ascii="宋体" w:hAnsi="宋体"/>
                <w:szCs w:val="21"/>
              </w:rPr>
              <w:t>具体情况说明</w:t>
            </w:r>
          </w:p>
        </w:tc>
        <w:tc>
          <w:tcPr>
            <w:tcW w:w="7355" w:type="dxa"/>
            <w:gridSpan w:val="4"/>
          </w:tcPr>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510" w:hRule="atLeast"/>
          <w:jc w:val="center"/>
        </w:trPr>
        <w:tc>
          <w:tcPr>
            <w:tcW w:w="1562" w:type="dxa"/>
            <w:gridSpan w:val="2"/>
            <w:vAlign w:val="center"/>
          </w:tcPr>
          <w:p>
            <w:pPr>
              <w:spacing w:line="240" w:lineRule="atLeast"/>
              <w:jc w:val="center"/>
              <w:rPr>
                <w:rFonts w:ascii="宋体" w:hAnsi="宋体"/>
                <w:szCs w:val="21"/>
              </w:rPr>
            </w:pPr>
            <w:r>
              <w:rPr>
                <w:rFonts w:hint="eastAsia" w:ascii="宋体" w:hAnsi="宋体"/>
                <w:szCs w:val="21"/>
              </w:rPr>
              <w:t>采购人意见</w:t>
            </w:r>
          </w:p>
          <w:p>
            <w:pPr>
              <w:spacing w:line="240" w:lineRule="atLeast"/>
              <w:jc w:val="center"/>
              <w:rPr>
                <w:rFonts w:ascii="宋体" w:hAnsi="宋体"/>
                <w:szCs w:val="21"/>
              </w:rPr>
            </w:pPr>
            <w:r>
              <w:rPr>
                <w:rFonts w:hint="eastAsia" w:ascii="宋体" w:hAnsi="宋体"/>
                <w:szCs w:val="21"/>
              </w:rPr>
              <w:t>（公章）</w:t>
            </w:r>
          </w:p>
        </w:tc>
        <w:tc>
          <w:tcPr>
            <w:tcW w:w="7355" w:type="dxa"/>
            <w:gridSpan w:val="4"/>
            <w:vAlign w:val="center"/>
          </w:tcPr>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p>
          <w:p>
            <w:pPr>
              <w:spacing w:line="240" w:lineRule="atLeast"/>
              <w:rPr>
                <w:rFonts w:ascii="宋体" w:hAnsi="宋体"/>
                <w:szCs w:val="21"/>
              </w:rPr>
            </w:pPr>
            <w:r>
              <w:rPr>
                <w:rFonts w:hint="eastAsia" w:ascii="宋体" w:hAnsi="宋体"/>
                <w:szCs w:val="21"/>
              </w:rPr>
              <w:t xml:space="preserve">                                        </w:t>
            </w:r>
          </w:p>
          <w:p>
            <w:pPr>
              <w:spacing w:line="240" w:lineRule="atLeast"/>
              <w:ind w:firstLine="3780" w:firstLineChars="1800"/>
              <w:rPr>
                <w:rFonts w:ascii="宋体" w:hAnsi="宋体"/>
                <w:szCs w:val="21"/>
              </w:rPr>
            </w:pPr>
          </w:p>
          <w:p>
            <w:pPr>
              <w:spacing w:line="240" w:lineRule="atLeast"/>
              <w:ind w:firstLine="3780" w:firstLineChars="1800"/>
              <w:rPr>
                <w:rFonts w:ascii="宋体" w:hAnsi="宋体"/>
                <w:szCs w:val="21"/>
              </w:rPr>
            </w:pPr>
            <w:r>
              <w:rPr>
                <w:rFonts w:hint="eastAsia" w:ascii="宋体" w:hAnsi="宋体"/>
                <w:szCs w:val="21"/>
              </w:rPr>
              <w:t>日期：   年   月   日</w:t>
            </w:r>
          </w:p>
        </w:tc>
      </w:tr>
    </w:tbl>
    <w:p>
      <w:pPr>
        <w:spacing w:line="240" w:lineRule="atLeast"/>
        <w:rPr>
          <w:rFonts w:ascii="宋体" w:hAnsi="宋体"/>
          <w:szCs w:val="21"/>
        </w:rPr>
      </w:pPr>
      <w:r>
        <w:rPr>
          <w:rFonts w:hint="eastAsia" w:ascii="宋体" w:hAnsi="宋体"/>
          <w:szCs w:val="21"/>
        </w:rPr>
        <w:t>说明：</w:t>
      </w:r>
    </w:p>
    <w:p>
      <w:pPr>
        <w:spacing w:line="240" w:lineRule="atLeast"/>
        <w:rPr>
          <w:rFonts w:ascii="宋体" w:hAnsi="宋体"/>
          <w:szCs w:val="21"/>
        </w:rPr>
      </w:pPr>
      <w:r>
        <w:rPr>
          <w:rFonts w:hint="eastAsia" w:ascii="宋体" w:hAnsi="宋体"/>
          <w:szCs w:val="21"/>
        </w:rPr>
        <w:t>1、本表为采购人向深圳市政府采购中心反映政府采购项目履约情况时所用；</w:t>
      </w:r>
    </w:p>
    <w:p>
      <w:pPr>
        <w:spacing w:line="240" w:lineRule="atLeast"/>
        <w:rPr>
          <w:rFonts w:ascii="宋体" w:hAnsi="宋体"/>
          <w:szCs w:val="21"/>
        </w:rPr>
      </w:pPr>
      <w:r>
        <w:rPr>
          <w:rFonts w:hint="eastAsia" w:ascii="宋体" w:hAnsi="宋体"/>
          <w:szCs w:val="21"/>
        </w:rPr>
        <w:t>2、履约情况评价分为优、良、中、差四个等级，请在对应的框前打“√”，然后在“具体情况说明”一栏详细说明有关情况。</w:t>
      </w:r>
    </w:p>
    <w:sectPr>
      <w:headerReference r:id="rId3" w:type="first"/>
      <w:footerReference r:id="rId4" w:type="default"/>
      <w:footerReference r:id="rId5" w:type="even"/>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
    <w:altName w:val="宋体"/>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t xml:space="preserve">- </w:t>
    </w:r>
    <w:r>
      <w:fldChar w:fldCharType="begin"/>
    </w:r>
    <w:r>
      <w:instrText xml:space="preserve"> PAGE </w:instrText>
    </w:r>
    <w:r>
      <w:fldChar w:fldCharType="separate"/>
    </w:r>
    <w:r>
      <w:t>6</w:t>
    </w:r>
    <w:r>
      <w:fldChar w:fldCharType="end"/>
    </w:r>
    <w:r>
      <w:t xml:space="preserve"> -</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2205C"/>
    <w:multiLevelType w:val="singleLevel"/>
    <w:tmpl w:val="C5B2205C"/>
    <w:lvl w:ilvl="0" w:tentative="0">
      <w:start w:val="1"/>
      <w:numFmt w:val="decimal"/>
      <w:suff w:val="nothing"/>
      <w:lvlText w:val="%1、"/>
      <w:lvlJc w:val="left"/>
      <w:rPr>
        <w:b w:val="0"/>
        <w:i w:val="0"/>
      </w:rPr>
    </w:lvl>
  </w:abstractNum>
  <w:abstractNum w:abstractNumId="1">
    <w:nsid w:val="FFFFFF7C"/>
    <w:multiLevelType w:val="singleLevel"/>
    <w:tmpl w:val="FFFFFF7C"/>
    <w:lvl w:ilvl="0" w:tentative="0">
      <w:start w:val="1"/>
      <w:numFmt w:val="decimal"/>
      <w:pStyle w:val="59"/>
      <w:lvlText w:val="%1."/>
      <w:lvlJc w:val="left"/>
      <w:pPr>
        <w:tabs>
          <w:tab w:val="left" w:pos="2040"/>
        </w:tabs>
        <w:ind w:left="2040" w:leftChars="800" w:hanging="360" w:hangingChars="200"/>
      </w:pPr>
    </w:lvl>
  </w:abstractNum>
  <w:abstractNum w:abstractNumId="2">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3">
    <w:nsid w:val="12503483"/>
    <w:multiLevelType w:val="multilevel"/>
    <w:tmpl w:val="12503483"/>
    <w:lvl w:ilvl="0" w:tentative="0">
      <w:start w:val="1"/>
      <w:numFmt w:val="bullet"/>
      <w:pStyle w:val="107"/>
      <w:lvlText w:val=""/>
      <w:lvlJc w:val="left"/>
      <w:pPr>
        <w:tabs>
          <w:tab w:val="left" w:pos="420"/>
        </w:tabs>
        <w:ind w:left="420" w:hanging="420"/>
      </w:pPr>
      <w:rPr>
        <w:rFonts w:hint="default" w:ascii="Wingdings" w:hAnsi="Wingdings"/>
      </w:rPr>
    </w:lvl>
    <w:lvl w:ilvl="1" w:tentative="0">
      <w:start w:val="1"/>
      <w:numFmt w:val="bullet"/>
      <w:pStyle w:val="10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60D20D0"/>
    <w:multiLevelType w:val="multilevel"/>
    <w:tmpl w:val="160D20D0"/>
    <w:lvl w:ilvl="0" w:tentative="0">
      <w:start w:val="1"/>
      <w:numFmt w:val="bullet"/>
      <w:pStyle w:val="75"/>
      <w:lvlText w:val=""/>
      <w:lvlJc w:val="left"/>
      <w:pPr>
        <w:tabs>
          <w:tab w:val="left" w:pos="840"/>
        </w:tabs>
        <w:ind w:left="840" w:hanging="420"/>
      </w:pPr>
      <w:rPr>
        <w:rFonts w:hint="default" w:ascii="Wingdings" w:hAnsi="Wingdings"/>
      </w:rPr>
    </w:lvl>
    <w:lvl w:ilvl="1" w:tentative="0">
      <w:start w:val="1"/>
      <w:numFmt w:val="bullet"/>
      <w:pStyle w:val="7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29347054"/>
    <w:multiLevelType w:val="multilevel"/>
    <w:tmpl w:val="2934705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F395B7B"/>
    <w:multiLevelType w:val="multilevel"/>
    <w:tmpl w:val="2F395B7B"/>
    <w:lvl w:ilvl="0" w:tentative="0">
      <w:start w:val="1"/>
      <w:numFmt w:val="bullet"/>
      <w:pStyle w:val="16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7">
    <w:nsid w:val="45882EC0"/>
    <w:multiLevelType w:val="multilevel"/>
    <w:tmpl w:val="45882EC0"/>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EC17BB9"/>
    <w:multiLevelType w:val="multilevel"/>
    <w:tmpl w:val="4EC17BB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7AEF7716"/>
    <w:multiLevelType w:val="multilevel"/>
    <w:tmpl w:val="7AEF7716"/>
    <w:lvl w:ilvl="0" w:tentative="0">
      <w:start w:val="1"/>
      <w:numFmt w:val="chineseCountingThousand"/>
      <w:pStyle w:val="12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4"/>
  </w:num>
  <w:num w:numId="4">
    <w:abstractNumId w:val="3"/>
  </w:num>
  <w:num w:numId="5">
    <w:abstractNumId w:val="9"/>
  </w:num>
  <w:num w:numId="6">
    <w:abstractNumId w:val="6"/>
  </w:num>
  <w:num w:numId="7">
    <w:abstractNumId w:val="8"/>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683"/>
    <w:rsid w:val="00000AD9"/>
    <w:rsid w:val="000043C0"/>
    <w:rsid w:val="000050CA"/>
    <w:rsid w:val="000051C6"/>
    <w:rsid w:val="00005215"/>
    <w:rsid w:val="00005A10"/>
    <w:rsid w:val="00005D3D"/>
    <w:rsid w:val="0000667D"/>
    <w:rsid w:val="00006F7B"/>
    <w:rsid w:val="00007951"/>
    <w:rsid w:val="00010063"/>
    <w:rsid w:val="00010102"/>
    <w:rsid w:val="0001019E"/>
    <w:rsid w:val="00011EA6"/>
    <w:rsid w:val="00012640"/>
    <w:rsid w:val="00012B21"/>
    <w:rsid w:val="0001300F"/>
    <w:rsid w:val="0001480D"/>
    <w:rsid w:val="00014A5C"/>
    <w:rsid w:val="00015388"/>
    <w:rsid w:val="000170F6"/>
    <w:rsid w:val="0001716B"/>
    <w:rsid w:val="00017F81"/>
    <w:rsid w:val="000211EA"/>
    <w:rsid w:val="000234B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088"/>
    <w:rsid w:val="00036A2B"/>
    <w:rsid w:val="00040D3C"/>
    <w:rsid w:val="00042C84"/>
    <w:rsid w:val="00043621"/>
    <w:rsid w:val="00043739"/>
    <w:rsid w:val="00043A89"/>
    <w:rsid w:val="0004435D"/>
    <w:rsid w:val="00044BCF"/>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267A"/>
    <w:rsid w:val="0006335B"/>
    <w:rsid w:val="00063C25"/>
    <w:rsid w:val="00064892"/>
    <w:rsid w:val="00066026"/>
    <w:rsid w:val="0006660A"/>
    <w:rsid w:val="0006670C"/>
    <w:rsid w:val="00067960"/>
    <w:rsid w:val="0007003A"/>
    <w:rsid w:val="00070210"/>
    <w:rsid w:val="000707BF"/>
    <w:rsid w:val="00072CB4"/>
    <w:rsid w:val="000734CD"/>
    <w:rsid w:val="00074403"/>
    <w:rsid w:val="000750DC"/>
    <w:rsid w:val="0007583C"/>
    <w:rsid w:val="00075E26"/>
    <w:rsid w:val="00076057"/>
    <w:rsid w:val="000770EC"/>
    <w:rsid w:val="00080613"/>
    <w:rsid w:val="00082667"/>
    <w:rsid w:val="00082AD2"/>
    <w:rsid w:val="00083DC6"/>
    <w:rsid w:val="00084857"/>
    <w:rsid w:val="000850AF"/>
    <w:rsid w:val="000852EB"/>
    <w:rsid w:val="000869D8"/>
    <w:rsid w:val="00086CA6"/>
    <w:rsid w:val="0008797A"/>
    <w:rsid w:val="00090213"/>
    <w:rsid w:val="00092FC7"/>
    <w:rsid w:val="00093133"/>
    <w:rsid w:val="0009395E"/>
    <w:rsid w:val="000954D5"/>
    <w:rsid w:val="00095723"/>
    <w:rsid w:val="00095A74"/>
    <w:rsid w:val="0009618D"/>
    <w:rsid w:val="0009709B"/>
    <w:rsid w:val="000975E3"/>
    <w:rsid w:val="000A1DD1"/>
    <w:rsid w:val="000A21A5"/>
    <w:rsid w:val="000A3908"/>
    <w:rsid w:val="000A4C29"/>
    <w:rsid w:val="000A6E2B"/>
    <w:rsid w:val="000A79D3"/>
    <w:rsid w:val="000B05E2"/>
    <w:rsid w:val="000B2568"/>
    <w:rsid w:val="000B41BB"/>
    <w:rsid w:val="000B5357"/>
    <w:rsid w:val="000B597F"/>
    <w:rsid w:val="000B634D"/>
    <w:rsid w:val="000B7465"/>
    <w:rsid w:val="000C14CB"/>
    <w:rsid w:val="000C18BC"/>
    <w:rsid w:val="000C1EE4"/>
    <w:rsid w:val="000C1FF9"/>
    <w:rsid w:val="000C4151"/>
    <w:rsid w:val="000C4425"/>
    <w:rsid w:val="000C4B12"/>
    <w:rsid w:val="000C5FA7"/>
    <w:rsid w:val="000C7E71"/>
    <w:rsid w:val="000D16AA"/>
    <w:rsid w:val="000D1A7D"/>
    <w:rsid w:val="000D2309"/>
    <w:rsid w:val="000D2CCA"/>
    <w:rsid w:val="000D366B"/>
    <w:rsid w:val="000D38F9"/>
    <w:rsid w:val="000D5D6B"/>
    <w:rsid w:val="000D7A20"/>
    <w:rsid w:val="000E161C"/>
    <w:rsid w:val="000E2C39"/>
    <w:rsid w:val="000E355C"/>
    <w:rsid w:val="000E4445"/>
    <w:rsid w:val="000E470B"/>
    <w:rsid w:val="000E4DE8"/>
    <w:rsid w:val="000E50F5"/>
    <w:rsid w:val="000E5E99"/>
    <w:rsid w:val="000E6A66"/>
    <w:rsid w:val="000F0067"/>
    <w:rsid w:val="000F0C3B"/>
    <w:rsid w:val="000F0E9F"/>
    <w:rsid w:val="000F1540"/>
    <w:rsid w:val="000F2065"/>
    <w:rsid w:val="000F2A88"/>
    <w:rsid w:val="000F2C23"/>
    <w:rsid w:val="000F2D1B"/>
    <w:rsid w:val="000F3658"/>
    <w:rsid w:val="000F3B37"/>
    <w:rsid w:val="000F3C85"/>
    <w:rsid w:val="000F3F12"/>
    <w:rsid w:val="000F565B"/>
    <w:rsid w:val="000F5C6C"/>
    <w:rsid w:val="000F5F3F"/>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281E"/>
    <w:rsid w:val="00132FD3"/>
    <w:rsid w:val="001339CF"/>
    <w:rsid w:val="0013673A"/>
    <w:rsid w:val="001410EB"/>
    <w:rsid w:val="00143554"/>
    <w:rsid w:val="00143653"/>
    <w:rsid w:val="00143934"/>
    <w:rsid w:val="00143B3A"/>
    <w:rsid w:val="00143E43"/>
    <w:rsid w:val="00143FFC"/>
    <w:rsid w:val="00145760"/>
    <w:rsid w:val="00146ABB"/>
    <w:rsid w:val="00146D42"/>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6BD"/>
    <w:rsid w:val="00162C33"/>
    <w:rsid w:val="0016340E"/>
    <w:rsid w:val="00163CCF"/>
    <w:rsid w:val="00164E23"/>
    <w:rsid w:val="0016595F"/>
    <w:rsid w:val="00166A2C"/>
    <w:rsid w:val="00166BF2"/>
    <w:rsid w:val="00166CC3"/>
    <w:rsid w:val="00170A9E"/>
    <w:rsid w:val="0017121A"/>
    <w:rsid w:val="00171401"/>
    <w:rsid w:val="00171777"/>
    <w:rsid w:val="001719FB"/>
    <w:rsid w:val="00172B65"/>
    <w:rsid w:val="00172EF5"/>
    <w:rsid w:val="001732E1"/>
    <w:rsid w:val="0017613E"/>
    <w:rsid w:val="00177167"/>
    <w:rsid w:val="00177753"/>
    <w:rsid w:val="00181A71"/>
    <w:rsid w:val="00182329"/>
    <w:rsid w:val="0018261B"/>
    <w:rsid w:val="001834A7"/>
    <w:rsid w:val="0018373B"/>
    <w:rsid w:val="00183C79"/>
    <w:rsid w:val="00183C8B"/>
    <w:rsid w:val="00183E75"/>
    <w:rsid w:val="001845CF"/>
    <w:rsid w:val="001846C2"/>
    <w:rsid w:val="001865BB"/>
    <w:rsid w:val="00187518"/>
    <w:rsid w:val="00187743"/>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6FAD"/>
    <w:rsid w:val="001C04B2"/>
    <w:rsid w:val="001C14C1"/>
    <w:rsid w:val="001C1FDE"/>
    <w:rsid w:val="001C2063"/>
    <w:rsid w:val="001C21E1"/>
    <w:rsid w:val="001C3426"/>
    <w:rsid w:val="001C4768"/>
    <w:rsid w:val="001C5839"/>
    <w:rsid w:val="001C6AF6"/>
    <w:rsid w:val="001C7129"/>
    <w:rsid w:val="001C77E1"/>
    <w:rsid w:val="001C7ADA"/>
    <w:rsid w:val="001C7B48"/>
    <w:rsid w:val="001D121D"/>
    <w:rsid w:val="001D3543"/>
    <w:rsid w:val="001D4151"/>
    <w:rsid w:val="001D58E5"/>
    <w:rsid w:val="001D7299"/>
    <w:rsid w:val="001E07AB"/>
    <w:rsid w:val="001E0FAB"/>
    <w:rsid w:val="001E2084"/>
    <w:rsid w:val="001E2502"/>
    <w:rsid w:val="001E292F"/>
    <w:rsid w:val="001E351C"/>
    <w:rsid w:val="001E474D"/>
    <w:rsid w:val="001E5194"/>
    <w:rsid w:val="001E5A81"/>
    <w:rsid w:val="001E62FB"/>
    <w:rsid w:val="001E6A0B"/>
    <w:rsid w:val="001E77DA"/>
    <w:rsid w:val="001E7A2F"/>
    <w:rsid w:val="001E7AB0"/>
    <w:rsid w:val="001E7DD0"/>
    <w:rsid w:val="001F0349"/>
    <w:rsid w:val="001F077B"/>
    <w:rsid w:val="001F0B74"/>
    <w:rsid w:val="001F2648"/>
    <w:rsid w:val="001F41B9"/>
    <w:rsid w:val="001F4BE8"/>
    <w:rsid w:val="001F4EB8"/>
    <w:rsid w:val="001F560A"/>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ADF"/>
    <w:rsid w:val="002134CF"/>
    <w:rsid w:val="00213A60"/>
    <w:rsid w:val="0021429B"/>
    <w:rsid w:val="00215699"/>
    <w:rsid w:val="002159DE"/>
    <w:rsid w:val="00215E99"/>
    <w:rsid w:val="0021667D"/>
    <w:rsid w:val="002166A1"/>
    <w:rsid w:val="002166A6"/>
    <w:rsid w:val="00216BB6"/>
    <w:rsid w:val="0022048B"/>
    <w:rsid w:val="0022175C"/>
    <w:rsid w:val="00222261"/>
    <w:rsid w:val="002227DF"/>
    <w:rsid w:val="00223AC8"/>
    <w:rsid w:val="00223C96"/>
    <w:rsid w:val="00224852"/>
    <w:rsid w:val="0022634D"/>
    <w:rsid w:val="00227512"/>
    <w:rsid w:val="0022766E"/>
    <w:rsid w:val="002278D5"/>
    <w:rsid w:val="00227C13"/>
    <w:rsid w:val="00227D49"/>
    <w:rsid w:val="00227FC7"/>
    <w:rsid w:val="00233A54"/>
    <w:rsid w:val="00234440"/>
    <w:rsid w:val="002347C9"/>
    <w:rsid w:val="00236E72"/>
    <w:rsid w:val="002411BD"/>
    <w:rsid w:val="00244711"/>
    <w:rsid w:val="00244AE4"/>
    <w:rsid w:val="00245EBE"/>
    <w:rsid w:val="002472C1"/>
    <w:rsid w:val="002473F4"/>
    <w:rsid w:val="00247D6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3E2"/>
    <w:rsid w:val="00262D6B"/>
    <w:rsid w:val="00262ED0"/>
    <w:rsid w:val="00263607"/>
    <w:rsid w:val="002638EE"/>
    <w:rsid w:val="00264965"/>
    <w:rsid w:val="002656E1"/>
    <w:rsid w:val="00265CFF"/>
    <w:rsid w:val="00270B4E"/>
    <w:rsid w:val="00271500"/>
    <w:rsid w:val="00272E57"/>
    <w:rsid w:val="00274663"/>
    <w:rsid w:val="00275641"/>
    <w:rsid w:val="0027569A"/>
    <w:rsid w:val="002767D9"/>
    <w:rsid w:val="00280382"/>
    <w:rsid w:val="00280F4B"/>
    <w:rsid w:val="002821E9"/>
    <w:rsid w:val="002827D2"/>
    <w:rsid w:val="002835B7"/>
    <w:rsid w:val="00284C1F"/>
    <w:rsid w:val="002851AF"/>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60D"/>
    <w:rsid w:val="002B7969"/>
    <w:rsid w:val="002C0031"/>
    <w:rsid w:val="002C0485"/>
    <w:rsid w:val="002C0762"/>
    <w:rsid w:val="002C257A"/>
    <w:rsid w:val="002C2BEC"/>
    <w:rsid w:val="002C30C0"/>
    <w:rsid w:val="002C4F4B"/>
    <w:rsid w:val="002C5997"/>
    <w:rsid w:val="002C6EC0"/>
    <w:rsid w:val="002C7258"/>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8A"/>
    <w:rsid w:val="002E505D"/>
    <w:rsid w:val="002E6F69"/>
    <w:rsid w:val="002E7296"/>
    <w:rsid w:val="002E73B8"/>
    <w:rsid w:val="002F0823"/>
    <w:rsid w:val="002F2471"/>
    <w:rsid w:val="002F2B7A"/>
    <w:rsid w:val="002F3105"/>
    <w:rsid w:val="002F5E6C"/>
    <w:rsid w:val="002F72FF"/>
    <w:rsid w:val="00300BF3"/>
    <w:rsid w:val="0030143F"/>
    <w:rsid w:val="00301A2B"/>
    <w:rsid w:val="00301BCD"/>
    <w:rsid w:val="00303ACF"/>
    <w:rsid w:val="0030463E"/>
    <w:rsid w:val="00304ED6"/>
    <w:rsid w:val="00306654"/>
    <w:rsid w:val="00306D5D"/>
    <w:rsid w:val="00306FF4"/>
    <w:rsid w:val="00310EE1"/>
    <w:rsid w:val="003122B0"/>
    <w:rsid w:val="00312390"/>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A1D"/>
    <w:rsid w:val="00324C55"/>
    <w:rsid w:val="003250B4"/>
    <w:rsid w:val="00325742"/>
    <w:rsid w:val="00327224"/>
    <w:rsid w:val="00327AB3"/>
    <w:rsid w:val="00327F9E"/>
    <w:rsid w:val="00330527"/>
    <w:rsid w:val="003318A6"/>
    <w:rsid w:val="003321A8"/>
    <w:rsid w:val="00332EB1"/>
    <w:rsid w:val="00333E63"/>
    <w:rsid w:val="00334044"/>
    <w:rsid w:val="00335188"/>
    <w:rsid w:val="00335234"/>
    <w:rsid w:val="003373B8"/>
    <w:rsid w:val="003413F4"/>
    <w:rsid w:val="00342DC1"/>
    <w:rsid w:val="00342EF7"/>
    <w:rsid w:val="003432B6"/>
    <w:rsid w:val="00343F41"/>
    <w:rsid w:val="00344BF3"/>
    <w:rsid w:val="00345CC1"/>
    <w:rsid w:val="00345EA7"/>
    <w:rsid w:val="0034652C"/>
    <w:rsid w:val="00346606"/>
    <w:rsid w:val="00346E73"/>
    <w:rsid w:val="0035067B"/>
    <w:rsid w:val="00350681"/>
    <w:rsid w:val="00350B6E"/>
    <w:rsid w:val="00351A4A"/>
    <w:rsid w:val="00351D95"/>
    <w:rsid w:val="00351FB4"/>
    <w:rsid w:val="00353860"/>
    <w:rsid w:val="00354CD9"/>
    <w:rsid w:val="003556C1"/>
    <w:rsid w:val="00355EEE"/>
    <w:rsid w:val="00357883"/>
    <w:rsid w:val="00360494"/>
    <w:rsid w:val="00360C00"/>
    <w:rsid w:val="00361633"/>
    <w:rsid w:val="00361935"/>
    <w:rsid w:val="00361FB5"/>
    <w:rsid w:val="003626AE"/>
    <w:rsid w:val="0036292A"/>
    <w:rsid w:val="00362AF3"/>
    <w:rsid w:val="00364BEE"/>
    <w:rsid w:val="0036508D"/>
    <w:rsid w:val="003651C8"/>
    <w:rsid w:val="00366321"/>
    <w:rsid w:val="003669F1"/>
    <w:rsid w:val="00366F10"/>
    <w:rsid w:val="003700A3"/>
    <w:rsid w:val="00370B40"/>
    <w:rsid w:val="00371C15"/>
    <w:rsid w:val="00372CDF"/>
    <w:rsid w:val="00373411"/>
    <w:rsid w:val="00373D40"/>
    <w:rsid w:val="003741F6"/>
    <w:rsid w:val="00374798"/>
    <w:rsid w:val="00374A29"/>
    <w:rsid w:val="00374FA4"/>
    <w:rsid w:val="003756C6"/>
    <w:rsid w:val="00376E35"/>
    <w:rsid w:val="003773A7"/>
    <w:rsid w:val="00377F6C"/>
    <w:rsid w:val="00380094"/>
    <w:rsid w:val="00380256"/>
    <w:rsid w:val="0038165D"/>
    <w:rsid w:val="00383071"/>
    <w:rsid w:val="00385175"/>
    <w:rsid w:val="00385444"/>
    <w:rsid w:val="00385F39"/>
    <w:rsid w:val="00386070"/>
    <w:rsid w:val="003900A5"/>
    <w:rsid w:val="003917AD"/>
    <w:rsid w:val="00391FAB"/>
    <w:rsid w:val="00392539"/>
    <w:rsid w:val="00392677"/>
    <w:rsid w:val="00393431"/>
    <w:rsid w:val="00393633"/>
    <w:rsid w:val="003945E2"/>
    <w:rsid w:val="00394981"/>
    <w:rsid w:val="00395100"/>
    <w:rsid w:val="003953A8"/>
    <w:rsid w:val="003958E6"/>
    <w:rsid w:val="00395D76"/>
    <w:rsid w:val="00396F7B"/>
    <w:rsid w:val="00396FA3"/>
    <w:rsid w:val="0039788E"/>
    <w:rsid w:val="00397F0D"/>
    <w:rsid w:val="003A0DC3"/>
    <w:rsid w:val="003A1CF5"/>
    <w:rsid w:val="003A2812"/>
    <w:rsid w:val="003A2D0C"/>
    <w:rsid w:val="003A3304"/>
    <w:rsid w:val="003A3551"/>
    <w:rsid w:val="003A38F0"/>
    <w:rsid w:val="003A443D"/>
    <w:rsid w:val="003A4DE4"/>
    <w:rsid w:val="003A6A5A"/>
    <w:rsid w:val="003A72E9"/>
    <w:rsid w:val="003B175A"/>
    <w:rsid w:val="003B3231"/>
    <w:rsid w:val="003B357A"/>
    <w:rsid w:val="003B499C"/>
    <w:rsid w:val="003B4CCD"/>
    <w:rsid w:val="003B53D4"/>
    <w:rsid w:val="003B56D7"/>
    <w:rsid w:val="003B5C43"/>
    <w:rsid w:val="003B7298"/>
    <w:rsid w:val="003C0FF8"/>
    <w:rsid w:val="003C1D0C"/>
    <w:rsid w:val="003C3C49"/>
    <w:rsid w:val="003C4FD5"/>
    <w:rsid w:val="003C582B"/>
    <w:rsid w:val="003C6BFF"/>
    <w:rsid w:val="003D2333"/>
    <w:rsid w:val="003D3241"/>
    <w:rsid w:val="003D3359"/>
    <w:rsid w:val="003D39AE"/>
    <w:rsid w:val="003D4804"/>
    <w:rsid w:val="003D5413"/>
    <w:rsid w:val="003D7685"/>
    <w:rsid w:val="003D7E9A"/>
    <w:rsid w:val="003E0366"/>
    <w:rsid w:val="003E100C"/>
    <w:rsid w:val="003E2DAF"/>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D2C"/>
    <w:rsid w:val="003F667B"/>
    <w:rsid w:val="003F7679"/>
    <w:rsid w:val="00400C13"/>
    <w:rsid w:val="00402311"/>
    <w:rsid w:val="0040239F"/>
    <w:rsid w:val="00402C97"/>
    <w:rsid w:val="00403364"/>
    <w:rsid w:val="0040415C"/>
    <w:rsid w:val="00404AA4"/>
    <w:rsid w:val="00404C61"/>
    <w:rsid w:val="004050C9"/>
    <w:rsid w:val="004051F0"/>
    <w:rsid w:val="00406314"/>
    <w:rsid w:val="00406376"/>
    <w:rsid w:val="00406896"/>
    <w:rsid w:val="00411B37"/>
    <w:rsid w:val="004125ED"/>
    <w:rsid w:val="00413B39"/>
    <w:rsid w:val="0041450E"/>
    <w:rsid w:val="0041456E"/>
    <w:rsid w:val="00415370"/>
    <w:rsid w:val="00415781"/>
    <w:rsid w:val="00416485"/>
    <w:rsid w:val="00416F40"/>
    <w:rsid w:val="00417769"/>
    <w:rsid w:val="00417F0D"/>
    <w:rsid w:val="00421EF2"/>
    <w:rsid w:val="00422668"/>
    <w:rsid w:val="00424946"/>
    <w:rsid w:val="0042602D"/>
    <w:rsid w:val="004261DA"/>
    <w:rsid w:val="00427004"/>
    <w:rsid w:val="00431AC1"/>
    <w:rsid w:val="00431DE1"/>
    <w:rsid w:val="004329C9"/>
    <w:rsid w:val="00432CD5"/>
    <w:rsid w:val="00432EF0"/>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6553"/>
    <w:rsid w:val="00446A92"/>
    <w:rsid w:val="004501B4"/>
    <w:rsid w:val="0045082F"/>
    <w:rsid w:val="00450C00"/>
    <w:rsid w:val="0045135E"/>
    <w:rsid w:val="00452434"/>
    <w:rsid w:val="00452C53"/>
    <w:rsid w:val="004539C7"/>
    <w:rsid w:val="00453DFA"/>
    <w:rsid w:val="00454597"/>
    <w:rsid w:val="004548E6"/>
    <w:rsid w:val="0045543A"/>
    <w:rsid w:val="0045543C"/>
    <w:rsid w:val="004556FB"/>
    <w:rsid w:val="00455880"/>
    <w:rsid w:val="004561F9"/>
    <w:rsid w:val="0045637C"/>
    <w:rsid w:val="004569A3"/>
    <w:rsid w:val="004578ED"/>
    <w:rsid w:val="0046064C"/>
    <w:rsid w:val="004611B6"/>
    <w:rsid w:val="00461997"/>
    <w:rsid w:val="00463F8B"/>
    <w:rsid w:val="004649AD"/>
    <w:rsid w:val="004650E7"/>
    <w:rsid w:val="0046687B"/>
    <w:rsid w:val="00466CB4"/>
    <w:rsid w:val="00470418"/>
    <w:rsid w:val="004704EA"/>
    <w:rsid w:val="0047071D"/>
    <w:rsid w:val="004727C4"/>
    <w:rsid w:val="00472F62"/>
    <w:rsid w:val="00473579"/>
    <w:rsid w:val="00473E50"/>
    <w:rsid w:val="00474E5A"/>
    <w:rsid w:val="0047558F"/>
    <w:rsid w:val="00475FD5"/>
    <w:rsid w:val="004812F4"/>
    <w:rsid w:val="0048231B"/>
    <w:rsid w:val="004838D4"/>
    <w:rsid w:val="004845AC"/>
    <w:rsid w:val="00484C31"/>
    <w:rsid w:val="00485E3C"/>
    <w:rsid w:val="00486F09"/>
    <w:rsid w:val="004877FB"/>
    <w:rsid w:val="004906DB"/>
    <w:rsid w:val="00490C0F"/>
    <w:rsid w:val="00491FF2"/>
    <w:rsid w:val="004925EE"/>
    <w:rsid w:val="00492735"/>
    <w:rsid w:val="00493EAE"/>
    <w:rsid w:val="004945E8"/>
    <w:rsid w:val="00494FC9"/>
    <w:rsid w:val="00495228"/>
    <w:rsid w:val="004963B6"/>
    <w:rsid w:val="004A1AB1"/>
    <w:rsid w:val="004A2013"/>
    <w:rsid w:val="004A201B"/>
    <w:rsid w:val="004A2B7A"/>
    <w:rsid w:val="004A3EB3"/>
    <w:rsid w:val="004A4377"/>
    <w:rsid w:val="004A57EB"/>
    <w:rsid w:val="004A5824"/>
    <w:rsid w:val="004A59D3"/>
    <w:rsid w:val="004A6D7C"/>
    <w:rsid w:val="004A6F11"/>
    <w:rsid w:val="004A74DD"/>
    <w:rsid w:val="004B00D1"/>
    <w:rsid w:val="004B0B57"/>
    <w:rsid w:val="004B0BBE"/>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CEB"/>
    <w:rsid w:val="004C5CBA"/>
    <w:rsid w:val="004C64F7"/>
    <w:rsid w:val="004C6C09"/>
    <w:rsid w:val="004C6EA3"/>
    <w:rsid w:val="004D000F"/>
    <w:rsid w:val="004D055D"/>
    <w:rsid w:val="004D1240"/>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707"/>
    <w:rsid w:val="004E6B8E"/>
    <w:rsid w:val="004F0543"/>
    <w:rsid w:val="004F0D33"/>
    <w:rsid w:val="004F2385"/>
    <w:rsid w:val="004F246C"/>
    <w:rsid w:val="004F3A97"/>
    <w:rsid w:val="004F5591"/>
    <w:rsid w:val="004F5D14"/>
    <w:rsid w:val="004F68DC"/>
    <w:rsid w:val="00500F7A"/>
    <w:rsid w:val="005012AD"/>
    <w:rsid w:val="005016E5"/>
    <w:rsid w:val="00501A56"/>
    <w:rsid w:val="00502317"/>
    <w:rsid w:val="005027BB"/>
    <w:rsid w:val="00503415"/>
    <w:rsid w:val="005037E1"/>
    <w:rsid w:val="00503B5C"/>
    <w:rsid w:val="0050456A"/>
    <w:rsid w:val="005068E1"/>
    <w:rsid w:val="005070B6"/>
    <w:rsid w:val="005077C5"/>
    <w:rsid w:val="00510B80"/>
    <w:rsid w:val="0051168A"/>
    <w:rsid w:val="005117D2"/>
    <w:rsid w:val="005118A6"/>
    <w:rsid w:val="005122F4"/>
    <w:rsid w:val="0051405F"/>
    <w:rsid w:val="0051444F"/>
    <w:rsid w:val="005156A6"/>
    <w:rsid w:val="00516393"/>
    <w:rsid w:val="00516669"/>
    <w:rsid w:val="005179A5"/>
    <w:rsid w:val="00520B4F"/>
    <w:rsid w:val="00524AD7"/>
    <w:rsid w:val="005254FD"/>
    <w:rsid w:val="005268A9"/>
    <w:rsid w:val="0052720F"/>
    <w:rsid w:val="00527421"/>
    <w:rsid w:val="005275C4"/>
    <w:rsid w:val="00527D36"/>
    <w:rsid w:val="00531076"/>
    <w:rsid w:val="00531D28"/>
    <w:rsid w:val="005328A8"/>
    <w:rsid w:val="005338EE"/>
    <w:rsid w:val="00533920"/>
    <w:rsid w:val="00534B50"/>
    <w:rsid w:val="00535141"/>
    <w:rsid w:val="00535324"/>
    <w:rsid w:val="00535504"/>
    <w:rsid w:val="005363B4"/>
    <w:rsid w:val="0053712D"/>
    <w:rsid w:val="005403F4"/>
    <w:rsid w:val="00541136"/>
    <w:rsid w:val="0054216F"/>
    <w:rsid w:val="00542F18"/>
    <w:rsid w:val="00544853"/>
    <w:rsid w:val="00544CA5"/>
    <w:rsid w:val="005450E2"/>
    <w:rsid w:val="00545B19"/>
    <w:rsid w:val="00547404"/>
    <w:rsid w:val="0055035F"/>
    <w:rsid w:val="005507FD"/>
    <w:rsid w:val="005511C0"/>
    <w:rsid w:val="0055232C"/>
    <w:rsid w:val="0055278E"/>
    <w:rsid w:val="00555488"/>
    <w:rsid w:val="0055549A"/>
    <w:rsid w:val="00555B18"/>
    <w:rsid w:val="00555C9C"/>
    <w:rsid w:val="00556A4D"/>
    <w:rsid w:val="00557319"/>
    <w:rsid w:val="0055764E"/>
    <w:rsid w:val="00560528"/>
    <w:rsid w:val="00560699"/>
    <w:rsid w:val="00561923"/>
    <w:rsid w:val="005622F8"/>
    <w:rsid w:val="0056310A"/>
    <w:rsid w:val="0056336F"/>
    <w:rsid w:val="00565AF7"/>
    <w:rsid w:val="00566024"/>
    <w:rsid w:val="00566379"/>
    <w:rsid w:val="0057189C"/>
    <w:rsid w:val="00571BD2"/>
    <w:rsid w:val="00571CD7"/>
    <w:rsid w:val="00571D59"/>
    <w:rsid w:val="00572E3E"/>
    <w:rsid w:val="005737FC"/>
    <w:rsid w:val="0057420B"/>
    <w:rsid w:val="0057593B"/>
    <w:rsid w:val="005762CE"/>
    <w:rsid w:val="00580280"/>
    <w:rsid w:val="00580B9E"/>
    <w:rsid w:val="00580DAB"/>
    <w:rsid w:val="0058135A"/>
    <w:rsid w:val="00581566"/>
    <w:rsid w:val="00581F7C"/>
    <w:rsid w:val="00583358"/>
    <w:rsid w:val="005839BF"/>
    <w:rsid w:val="00584058"/>
    <w:rsid w:val="005844A5"/>
    <w:rsid w:val="005846B4"/>
    <w:rsid w:val="005850E5"/>
    <w:rsid w:val="005851E0"/>
    <w:rsid w:val="00585571"/>
    <w:rsid w:val="005856F9"/>
    <w:rsid w:val="00585B91"/>
    <w:rsid w:val="00586BB0"/>
    <w:rsid w:val="00586BF1"/>
    <w:rsid w:val="00587DC4"/>
    <w:rsid w:val="005903E4"/>
    <w:rsid w:val="005907D5"/>
    <w:rsid w:val="005910C0"/>
    <w:rsid w:val="005913EE"/>
    <w:rsid w:val="00592461"/>
    <w:rsid w:val="00593AF0"/>
    <w:rsid w:val="005950D6"/>
    <w:rsid w:val="0059519C"/>
    <w:rsid w:val="00595524"/>
    <w:rsid w:val="005974F3"/>
    <w:rsid w:val="0059751C"/>
    <w:rsid w:val="00597919"/>
    <w:rsid w:val="005A0B9F"/>
    <w:rsid w:val="005A0EFC"/>
    <w:rsid w:val="005A44E7"/>
    <w:rsid w:val="005A5D8E"/>
    <w:rsid w:val="005A63D8"/>
    <w:rsid w:val="005A7C14"/>
    <w:rsid w:val="005A7DBE"/>
    <w:rsid w:val="005B152C"/>
    <w:rsid w:val="005B1C64"/>
    <w:rsid w:val="005B1DE8"/>
    <w:rsid w:val="005B2807"/>
    <w:rsid w:val="005B3606"/>
    <w:rsid w:val="005B3E08"/>
    <w:rsid w:val="005B49B6"/>
    <w:rsid w:val="005B56EE"/>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5D1D"/>
    <w:rsid w:val="005F60C9"/>
    <w:rsid w:val="005F64C6"/>
    <w:rsid w:val="006008F1"/>
    <w:rsid w:val="00601714"/>
    <w:rsid w:val="00601735"/>
    <w:rsid w:val="00602BD2"/>
    <w:rsid w:val="00604980"/>
    <w:rsid w:val="0060614D"/>
    <w:rsid w:val="00610871"/>
    <w:rsid w:val="00610E48"/>
    <w:rsid w:val="00610FE0"/>
    <w:rsid w:val="00613C47"/>
    <w:rsid w:val="00615086"/>
    <w:rsid w:val="00616201"/>
    <w:rsid w:val="00616225"/>
    <w:rsid w:val="0061705E"/>
    <w:rsid w:val="006176F1"/>
    <w:rsid w:val="00617914"/>
    <w:rsid w:val="00617A8B"/>
    <w:rsid w:val="00621904"/>
    <w:rsid w:val="00622248"/>
    <w:rsid w:val="00622FEA"/>
    <w:rsid w:val="00623CDF"/>
    <w:rsid w:val="00623DB1"/>
    <w:rsid w:val="006245F3"/>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F86"/>
    <w:rsid w:val="0065395E"/>
    <w:rsid w:val="00653C24"/>
    <w:rsid w:val="00653D68"/>
    <w:rsid w:val="00653E4E"/>
    <w:rsid w:val="00654275"/>
    <w:rsid w:val="0065446D"/>
    <w:rsid w:val="00654891"/>
    <w:rsid w:val="00654894"/>
    <w:rsid w:val="00655104"/>
    <w:rsid w:val="00656067"/>
    <w:rsid w:val="00660693"/>
    <w:rsid w:val="006606EE"/>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738E"/>
    <w:rsid w:val="00677F23"/>
    <w:rsid w:val="0068055B"/>
    <w:rsid w:val="006806B9"/>
    <w:rsid w:val="00680936"/>
    <w:rsid w:val="00680D8C"/>
    <w:rsid w:val="00680D99"/>
    <w:rsid w:val="006821B2"/>
    <w:rsid w:val="00682725"/>
    <w:rsid w:val="00682A1B"/>
    <w:rsid w:val="00682D73"/>
    <w:rsid w:val="00682ED3"/>
    <w:rsid w:val="00683993"/>
    <w:rsid w:val="006846E8"/>
    <w:rsid w:val="00685EBD"/>
    <w:rsid w:val="006861C3"/>
    <w:rsid w:val="00686AF3"/>
    <w:rsid w:val="00690F1F"/>
    <w:rsid w:val="006915BD"/>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AEE"/>
    <w:rsid w:val="006A6450"/>
    <w:rsid w:val="006A70BE"/>
    <w:rsid w:val="006A7934"/>
    <w:rsid w:val="006B0001"/>
    <w:rsid w:val="006B054B"/>
    <w:rsid w:val="006B059F"/>
    <w:rsid w:val="006B2048"/>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BDD"/>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404"/>
    <w:rsid w:val="006E7B97"/>
    <w:rsid w:val="006F05B9"/>
    <w:rsid w:val="006F1EA3"/>
    <w:rsid w:val="006F262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A58"/>
    <w:rsid w:val="00707517"/>
    <w:rsid w:val="007078ED"/>
    <w:rsid w:val="00710187"/>
    <w:rsid w:val="007110E1"/>
    <w:rsid w:val="00711B18"/>
    <w:rsid w:val="007126D1"/>
    <w:rsid w:val="00714394"/>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34510"/>
    <w:rsid w:val="00734887"/>
    <w:rsid w:val="007365B6"/>
    <w:rsid w:val="00737394"/>
    <w:rsid w:val="007401E2"/>
    <w:rsid w:val="00740205"/>
    <w:rsid w:val="007411E5"/>
    <w:rsid w:val="00741605"/>
    <w:rsid w:val="00742788"/>
    <w:rsid w:val="007436F2"/>
    <w:rsid w:val="0074436D"/>
    <w:rsid w:val="00746951"/>
    <w:rsid w:val="00746F65"/>
    <w:rsid w:val="007472C3"/>
    <w:rsid w:val="0074791E"/>
    <w:rsid w:val="00750948"/>
    <w:rsid w:val="0075115D"/>
    <w:rsid w:val="00751A33"/>
    <w:rsid w:val="00753890"/>
    <w:rsid w:val="007555DF"/>
    <w:rsid w:val="007569DC"/>
    <w:rsid w:val="0075711E"/>
    <w:rsid w:val="007579F2"/>
    <w:rsid w:val="00761434"/>
    <w:rsid w:val="00761FD5"/>
    <w:rsid w:val="00762BB6"/>
    <w:rsid w:val="0076337A"/>
    <w:rsid w:val="0076341D"/>
    <w:rsid w:val="0076446D"/>
    <w:rsid w:val="007647EF"/>
    <w:rsid w:val="00765DD8"/>
    <w:rsid w:val="00766B33"/>
    <w:rsid w:val="00766D36"/>
    <w:rsid w:val="00767607"/>
    <w:rsid w:val="00767ACD"/>
    <w:rsid w:val="007705B5"/>
    <w:rsid w:val="0077202C"/>
    <w:rsid w:val="0077270D"/>
    <w:rsid w:val="00773874"/>
    <w:rsid w:val="0077393B"/>
    <w:rsid w:val="00775D3B"/>
    <w:rsid w:val="0077615A"/>
    <w:rsid w:val="007806A0"/>
    <w:rsid w:val="00782346"/>
    <w:rsid w:val="007838CD"/>
    <w:rsid w:val="007840F3"/>
    <w:rsid w:val="007849BE"/>
    <w:rsid w:val="00785491"/>
    <w:rsid w:val="007858C0"/>
    <w:rsid w:val="0078679A"/>
    <w:rsid w:val="007871FE"/>
    <w:rsid w:val="00787C89"/>
    <w:rsid w:val="007908ED"/>
    <w:rsid w:val="00790F74"/>
    <w:rsid w:val="00792288"/>
    <w:rsid w:val="00792447"/>
    <w:rsid w:val="007928C6"/>
    <w:rsid w:val="00792E73"/>
    <w:rsid w:val="0079694C"/>
    <w:rsid w:val="007A0187"/>
    <w:rsid w:val="007A19AC"/>
    <w:rsid w:val="007A268F"/>
    <w:rsid w:val="007A29EC"/>
    <w:rsid w:val="007A4A53"/>
    <w:rsid w:val="007A4C93"/>
    <w:rsid w:val="007A4E17"/>
    <w:rsid w:val="007A7F6D"/>
    <w:rsid w:val="007B0FBD"/>
    <w:rsid w:val="007B1BAF"/>
    <w:rsid w:val="007B20C3"/>
    <w:rsid w:val="007B2FE8"/>
    <w:rsid w:val="007B35F7"/>
    <w:rsid w:val="007B4DD5"/>
    <w:rsid w:val="007B4F72"/>
    <w:rsid w:val="007B5148"/>
    <w:rsid w:val="007B5582"/>
    <w:rsid w:val="007B5A16"/>
    <w:rsid w:val="007B68CE"/>
    <w:rsid w:val="007B71AA"/>
    <w:rsid w:val="007B7F09"/>
    <w:rsid w:val="007C03FE"/>
    <w:rsid w:val="007C07AD"/>
    <w:rsid w:val="007C0E04"/>
    <w:rsid w:val="007C17D3"/>
    <w:rsid w:val="007C1FA2"/>
    <w:rsid w:val="007C2827"/>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563E"/>
    <w:rsid w:val="007D5A49"/>
    <w:rsid w:val="007D5FC1"/>
    <w:rsid w:val="007D6EB6"/>
    <w:rsid w:val="007D715A"/>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6758"/>
    <w:rsid w:val="007F6D96"/>
    <w:rsid w:val="00800D05"/>
    <w:rsid w:val="00801D7A"/>
    <w:rsid w:val="008020F2"/>
    <w:rsid w:val="00803F74"/>
    <w:rsid w:val="00804653"/>
    <w:rsid w:val="00804C48"/>
    <w:rsid w:val="0080505A"/>
    <w:rsid w:val="008060B3"/>
    <w:rsid w:val="00806639"/>
    <w:rsid w:val="00806A8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F7"/>
    <w:rsid w:val="008545DC"/>
    <w:rsid w:val="00854A7E"/>
    <w:rsid w:val="00855B06"/>
    <w:rsid w:val="00856B95"/>
    <w:rsid w:val="00856D1A"/>
    <w:rsid w:val="00857D29"/>
    <w:rsid w:val="0086161C"/>
    <w:rsid w:val="008617AF"/>
    <w:rsid w:val="00861DB0"/>
    <w:rsid w:val="00861E83"/>
    <w:rsid w:val="0086225C"/>
    <w:rsid w:val="008629A8"/>
    <w:rsid w:val="00863225"/>
    <w:rsid w:val="00863ADA"/>
    <w:rsid w:val="00865506"/>
    <w:rsid w:val="00865BAA"/>
    <w:rsid w:val="008677CB"/>
    <w:rsid w:val="0087056E"/>
    <w:rsid w:val="00870CB6"/>
    <w:rsid w:val="008737AE"/>
    <w:rsid w:val="00873FEA"/>
    <w:rsid w:val="0087419B"/>
    <w:rsid w:val="008744CC"/>
    <w:rsid w:val="00874592"/>
    <w:rsid w:val="008751C1"/>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18E6"/>
    <w:rsid w:val="00892833"/>
    <w:rsid w:val="00893479"/>
    <w:rsid w:val="0089375D"/>
    <w:rsid w:val="008943CB"/>
    <w:rsid w:val="008946B9"/>
    <w:rsid w:val="008A0882"/>
    <w:rsid w:val="008A10C1"/>
    <w:rsid w:val="008A181A"/>
    <w:rsid w:val="008A183F"/>
    <w:rsid w:val="008A1C47"/>
    <w:rsid w:val="008A2289"/>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A5"/>
    <w:rsid w:val="008C1DD7"/>
    <w:rsid w:val="008C26FA"/>
    <w:rsid w:val="008C2BC1"/>
    <w:rsid w:val="008C4566"/>
    <w:rsid w:val="008C46B6"/>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1953"/>
    <w:rsid w:val="00902166"/>
    <w:rsid w:val="00903C31"/>
    <w:rsid w:val="009040A1"/>
    <w:rsid w:val="0090473B"/>
    <w:rsid w:val="0090487F"/>
    <w:rsid w:val="00904EAC"/>
    <w:rsid w:val="00905282"/>
    <w:rsid w:val="00905908"/>
    <w:rsid w:val="009075A4"/>
    <w:rsid w:val="009101AF"/>
    <w:rsid w:val="00911808"/>
    <w:rsid w:val="009145FB"/>
    <w:rsid w:val="0091555E"/>
    <w:rsid w:val="00915786"/>
    <w:rsid w:val="0091746C"/>
    <w:rsid w:val="00917816"/>
    <w:rsid w:val="00917D06"/>
    <w:rsid w:val="009207DB"/>
    <w:rsid w:val="00922024"/>
    <w:rsid w:val="009222A3"/>
    <w:rsid w:val="00922D24"/>
    <w:rsid w:val="00924853"/>
    <w:rsid w:val="009252E0"/>
    <w:rsid w:val="00925501"/>
    <w:rsid w:val="00926982"/>
    <w:rsid w:val="00926D4C"/>
    <w:rsid w:val="009270C4"/>
    <w:rsid w:val="0093083B"/>
    <w:rsid w:val="0093092B"/>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6136"/>
    <w:rsid w:val="00946CD9"/>
    <w:rsid w:val="00946E7C"/>
    <w:rsid w:val="00947046"/>
    <w:rsid w:val="00950297"/>
    <w:rsid w:val="009505F4"/>
    <w:rsid w:val="00951216"/>
    <w:rsid w:val="0095279B"/>
    <w:rsid w:val="009533C3"/>
    <w:rsid w:val="00954282"/>
    <w:rsid w:val="00954427"/>
    <w:rsid w:val="0095611C"/>
    <w:rsid w:val="009564ED"/>
    <w:rsid w:val="00956CA2"/>
    <w:rsid w:val="0096079B"/>
    <w:rsid w:val="0096218D"/>
    <w:rsid w:val="00964509"/>
    <w:rsid w:val="0096501B"/>
    <w:rsid w:val="0096662B"/>
    <w:rsid w:val="009666AF"/>
    <w:rsid w:val="00967180"/>
    <w:rsid w:val="0096797D"/>
    <w:rsid w:val="00970704"/>
    <w:rsid w:val="00970B65"/>
    <w:rsid w:val="00971127"/>
    <w:rsid w:val="0097119E"/>
    <w:rsid w:val="009718E9"/>
    <w:rsid w:val="009734B8"/>
    <w:rsid w:val="00973514"/>
    <w:rsid w:val="009741E7"/>
    <w:rsid w:val="00975C75"/>
    <w:rsid w:val="00977506"/>
    <w:rsid w:val="00977DFD"/>
    <w:rsid w:val="0098177A"/>
    <w:rsid w:val="00983583"/>
    <w:rsid w:val="00983EFD"/>
    <w:rsid w:val="009855B0"/>
    <w:rsid w:val="009859A8"/>
    <w:rsid w:val="00986257"/>
    <w:rsid w:val="0098658A"/>
    <w:rsid w:val="00986861"/>
    <w:rsid w:val="00987CBC"/>
    <w:rsid w:val="00991EB0"/>
    <w:rsid w:val="0099212B"/>
    <w:rsid w:val="0099245F"/>
    <w:rsid w:val="00995768"/>
    <w:rsid w:val="00995F21"/>
    <w:rsid w:val="00996203"/>
    <w:rsid w:val="00996326"/>
    <w:rsid w:val="00996F95"/>
    <w:rsid w:val="00997B35"/>
    <w:rsid w:val="00997EA5"/>
    <w:rsid w:val="009A07D5"/>
    <w:rsid w:val="009A1FE7"/>
    <w:rsid w:val="009A2967"/>
    <w:rsid w:val="009A36B7"/>
    <w:rsid w:val="009A3720"/>
    <w:rsid w:val="009A392B"/>
    <w:rsid w:val="009A42CF"/>
    <w:rsid w:val="009A44E8"/>
    <w:rsid w:val="009A581E"/>
    <w:rsid w:val="009B1DA5"/>
    <w:rsid w:val="009B1E1D"/>
    <w:rsid w:val="009B28FD"/>
    <w:rsid w:val="009B2AD6"/>
    <w:rsid w:val="009B3172"/>
    <w:rsid w:val="009B461D"/>
    <w:rsid w:val="009B4F1F"/>
    <w:rsid w:val="009B5594"/>
    <w:rsid w:val="009B59ED"/>
    <w:rsid w:val="009B6405"/>
    <w:rsid w:val="009B729E"/>
    <w:rsid w:val="009B7498"/>
    <w:rsid w:val="009C264B"/>
    <w:rsid w:val="009C34F1"/>
    <w:rsid w:val="009C3B80"/>
    <w:rsid w:val="009C3D84"/>
    <w:rsid w:val="009C48C6"/>
    <w:rsid w:val="009C5D76"/>
    <w:rsid w:val="009C5DFB"/>
    <w:rsid w:val="009C5FDE"/>
    <w:rsid w:val="009C7B1D"/>
    <w:rsid w:val="009C7F10"/>
    <w:rsid w:val="009C7FF8"/>
    <w:rsid w:val="009D03F1"/>
    <w:rsid w:val="009D0921"/>
    <w:rsid w:val="009D101B"/>
    <w:rsid w:val="009D118E"/>
    <w:rsid w:val="009D1CF4"/>
    <w:rsid w:val="009D380F"/>
    <w:rsid w:val="009D57A7"/>
    <w:rsid w:val="009D65EE"/>
    <w:rsid w:val="009D6903"/>
    <w:rsid w:val="009E0525"/>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54CB"/>
    <w:rsid w:val="00A05E8F"/>
    <w:rsid w:val="00A06A54"/>
    <w:rsid w:val="00A10423"/>
    <w:rsid w:val="00A10A6F"/>
    <w:rsid w:val="00A115B1"/>
    <w:rsid w:val="00A118B4"/>
    <w:rsid w:val="00A129C6"/>
    <w:rsid w:val="00A14BDD"/>
    <w:rsid w:val="00A15A52"/>
    <w:rsid w:val="00A1706F"/>
    <w:rsid w:val="00A1721D"/>
    <w:rsid w:val="00A20630"/>
    <w:rsid w:val="00A20956"/>
    <w:rsid w:val="00A210DB"/>
    <w:rsid w:val="00A21667"/>
    <w:rsid w:val="00A220FB"/>
    <w:rsid w:val="00A223A5"/>
    <w:rsid w:val="00A245A1"/>
    <w:rsid w:val="00A24BC5"/>
    <w:rsid w:val="00A2504C"/>
    <w:rsid w:val="00A26CA4"/>
    <w:rsid w:val="00A26E5D"/>
    <w:rsid w:val="00A273B9"/>
    <w:rsid w:val="00A276A6"/>
    <w:rsid w:val="00A276FF"/>
    <w:rsid w:val="00A30C82"/>
    <w:rsid w:val="00A31A01"/>
    <w:rsid w:val="00A32211"/>
    <w:rsid w:val="00A33FDC"/>
    <w:rsid w:val="00A34114"/>
    <w:rsid w:val="00A34C81"/>
    <w:rsid w:val="00A34E19"/>
    <w:rsid w:val="00A35C90"/>
    <w:rsid w:val="00A362F9"/>
    <w:rsid w:val="00A36F35"/>
    <w:rsid w:val="00A373CC"/>
    <w:rsid w:val="00A3760C"/>
    <w:rsid w:val="00A37704"/>
    <w:rsid w:val="00A37E59"/>
    <w:rsid w:val="00A40108"/>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A2E"/>
    <w:rsid w:val="00A60A60"/>
    <w:rsid w:val="00A61263"/>
    <w:rsid w:val="00A614AD"/>
    <w:rsid w:val="00A61886"/>
    <w:rsid w:val="00A61E92"/>
    <w:rsid w:val="00A63D89"/>
    <w:rsid w:val="00A650F1"/>
    <w:rsid w:val="00A6526E"/>
    <w:rsid w:val="00A65DA4"/>
    <w:rsid w:val="00A66E04"/>
    <w:rsid w:val="00A67194"/>
    <w:rsid w:val="00A671B3"/>
    <w:rsid w:val="00A67864"/>
    <w:rsid w:val="00A7040E"/>
    <w:rsid w:val="00A7286F"/>
    <w:rsid w:val="00A734F2"/>
    <w:rsid w:val="00A73C36"/>
    <w:rsid w:val="00A73DEE"/>
    <w:rsid w:val="00A74678"/>
    <w:rsid w:val="00A75AEA"/>
    <w:rsid w:val="00A76063"/>
    <w:rsid w:val="00A767EB"/>
    <w:rsid w:val="00A771BF"/>
    <w:rsid w:val="00A77299"/>
    <w:rsid w:val="00A803C1"/>
    <w:rsid w:val="00A815B6"/>
    <w:rsid w:val="00A81953"/>
    <w:rsid w:val="00A827C9"/>
    <w:rsid w:val="00A85B31"/>
    <w:rsid w:val="00A861F3"/>
    <w:rsid w:val="00A86C48"/>
    <w:rsid w:val="00A86CB0"/>
    <w:rsid w:val="00A90DB1"/>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BA"/>
    <w:rsid w:val="00AA2D62"/>
    <w:rsid w:val="00AA2E2C"/>
    <w:rsid w:val="00AA2E90"/>
    <w:rsid w:val="00AA3077"/>
    <w:rsid w:val="00AA375B"/>
    <w:rsid w:val="00AA38AF"/>
    <w:rsid w:val="00AA450C"/>
    <w:rsid w:val="00AA4B62"/>
    <w:rsid w:val="00AA5EB3"/>
    <w:rsid w:val="00AA6916"/>
    <w:rsid w:val="00AA7822"/>
    <w:rsid w:val="00AB040A"/>
    <w:rsid w:val="00AB110E"/>
    <w:rsid w:val="00AB11CF"/>
    <w:rsid w:val="00AB1287"/>
    <w:rsid w:val="00AB1CE8"/>
    <w:rsid w:val="00AB23B0"/>
    <w:rsid w:val="00AB2F06"/>
    <w:rsid w:val="00AB4EB7"/>
    <w:rsid w:val="00AB4FFF"/>
    <w:rsid w:val="00AB5190"/>
    <w:rsid w:val="00AB5513"/>
    <w:rsid w:val="00AB6070"/>
    <w:rsid w:val="00AB6DFC"/>
    <w:rsid w:val="00AB7354"/>
    <w:rsid w:val="00AB7C46"/>
    <w:rsid w:val="00AC3637"/>
    <w:rsid w:val="00AC3D4F"/>
    <w:rsid w:val="00AC3DB7"/>
    <w:rsid w:val="00AC4699"/>
    <w:rsid w:val="00AC5650"/>
    <w:rsid w:val="00AC59DF"/>
    <w:rsid w:val="00AC72C7"/>
    <w:rsid w:val="00AC7899"/>
    <w:rsid w:val="00AD13D6"/>
    <w:rsid w:val="00AD4087"/>
    <w:rsid w:val="00AD6A21"/>
    <w:rsid w:val="00AD6BE0"/>
    <w:rsid w:val="00AD752F"/>
    <w:rsid w:val="00AE0B5D"/>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2315"/>
    <w:rsid w:val="00B02BF0"/>
    <w:rsid w:val="00B034DD"/>
    <w:rsid w:val="00B03AB4"/>
    <w:rsid w:val="00B05B91"/>
    <w:rsid w:val="00B06ED4"/>
    <w:rsid w:val="00B077CC"/>
    <w:rsid w:val="00B07A28"/>
    <w:rsid w:val="00B10E9C"/>
    <w:rsid w:val="00B12A63"/>
    <w:rsid w:val="00B13397"/>
    <w:rsid w:val="00B1400D"/>
    <w:rsid w:val="00B147C9"/>
    <w:rsid w:val="00B15BB2"/>
    <w:rsid w:val="00B16EBE"/>
    <w:rsid w:val="00B2113D"/>
    <w:rsid w:val="00B21D0E"/>
    <w:rsid w:val="00B22C57"/>
    <w:rsid w:val="00B23C76"/>
    <w:rsid w:val="00B23EEE"/>
    <w:rsid w:val="00B27298"/>
    <w:rsid w:val="00B27384"/>
    <w:rsid w:val="00B276E4"/>
    <w:rsid w:val="00B27A6D"/>
    <w:rsid w:val="00B309F9"/>
    <w:rsid w:val="00B30DAD"/>
    <w:rsid w:val="00B31782"/>
    <w:rsid w:val="00B36928"/>
    <w:rsid w:val="00B36A38"/>
    <w:rsid w:val="00B37293"/>
    <w:rsid w:val="00B4076A"/>
    <w:rsid w:val="00B413EB"/>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76E1"/>
    <w:rsid w:val="00B6088D"/>
    <w:rsid w:val="00B608F1"/>
    <w:rsid w:val="00B60F79"/>
    <w:rsid w:val="00B6252C"/>
    <w:rsid w:val="00B62CBE"/>
    <w:rsid w:val="00B62EFD"/>
    <w:rsid w:val="00B63999"/>
    <w:rsid w:val="00B63B4A"/>
    <w:rsid w:val="00B63E1F"/>
    <w:rsid w:val="00B641C5"/>
    <w:rsid w:val="00B64F8D"/>
    <w:rsid w:val="00B6533C"/>
    <w:rsid w:val="00B6731A"/>
    <w:rsid w:val="00B673CA"/>
    <w:rsid w:val="00B70903"/>
    <w:rsid w:val="00B7108D"/>
    <w:rsid w:val="00B7117A"/>
    <w:rsid w:val="00B713F0"/>
    <w:rsid w:val="00B72053"/>
    <w:rsid w:val="00B73BEF"/>
    <w:rsid w:val="00B74530"/>
    <w:rsid w:val="00B74E4D"/>
    <w:rsid w:val="00B75D3F"/>
    <w:rsid w:val="00B75D4C"/>
    <w:rsid w:val="00B76F2C"/>
    <w:rsid w:val="00B77723"/>
    <w:rsid w:val="00B77863"/>
    <w:rsid w:val="00B801AC"/>
    <w:rsid w:val="00B815D3"/>
    <w:rsid w:val="00B8270D"/>
    <w:rsid w:val="00B82B33"/>
    <w:rsid w:val="00B8384C"/>
    <w:rsid w:val="00B843A1"/>
    <w:rsid w:val="00B854BE"/>
    <w:rsid w:val="00B85704"/>
    <w:rsid w:val="00B866BF"/>
    <w:rsid w:val="00B868D6"/>
    <w:rsid w:val="00B86D0A"/>
    <w:rsid w:val="00B8748B"/>
    <w:rsid w:val="00B87B3F"/>
    <w:rsid w:val="00B91818"/>
    <w:rsid w:val="00B922D6"/>
    <w:rsid w:val="00B93E18"/>
    <w:rsid w:val="00B93E2C"/>
    <w:rsid w:val="00B94BE5"/>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219A"/>
    <w:rsid w:val="00BD2C42"/>
    <w:rsid w:val="00BD2EF9"/>
    <w:rsid w:val="00BD2F1D"/>
    <w:rsid w:val="00BD3997"/>
    <w:rsid w:val="00BD5D7E"/>
    <w:rsid w:val="00BD6EF9"/>
    <w:rsid w:val="00BD754C"/>
    <w:rsid w:val="00BD78C6"/>
    <w:rsid w:val="00BE01E1"/>
    <w:rsid w:val="00BE15DA"/>
    <w:rsid w:val="00BE19AD"/>
    <w:rsid w:val="00BE369C"/>
    <w:rsid w:val="00BE4FBC"/>
    <w:rsid w:val="00BE5B7C"/>
    <w:rsid w:val="00BE72FD"/>
    <w:rsid w:val="00BE733C"/>
    <w:rsid w:val="00BE73D4"/>
    <w:rsid w:val="00BE7AF2"/>
    <w:rsid w:val="00BF1EF8"/>
    <w:rsid w:val="00BF25A9"/>
    <w:rsid w:val="00BF2DE5"/>
    <w:rsid w:val="00BF4429"/>
    <w:rsid w:val="00BF4C49"/>
    <w:rsid w:val="00BF4D1A"/>
    <w:rsid w:val="00BF5168"/>
    <w:rsid w:val="00BF51C9"/>
    <w:rsid w:val="00BF5A5B"/>
    <w:rsid w:val="00BF6338"/>
    <w:rsid w:val="00BF6D56"/>
    <w:rsid w:val="00C00D03"/>
    <w:rsid w:val="00C00D9C"/>
    <w:rsid w:val="00C01DFC"/>
    <w:rsid w:val="00C0270E"/>
    <w:rsid w:val="00C0282B"/>
    <w:rsid w:val="00C047A4"/>
    <w:rsid w:val="00C05013"/>
    <w:rsid w:val="00C067E0"/>
    <w:rsid w:val="00C0773D"/>
    <w:rsid w:val="00C1025D"/>
    <w:rsid w:val="00C11733"/>
    <w:rsid w:val="00C12CC1"/>
    <w:rsid w:val="00C12D93"/>
    <w:rsid w:val="00C12EE2"/>
    <w:rsid w:val="00C1324B"/>
    <w:rsid w:val="00C139DE"/>
    <w:rsid w:val="00C13B55"/>
    <w:rsid w:val="00C13CB8"/>
    <w:rsid w:val="00C151CE"/>
    <w:rsid w:val="00C15BBB"/>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3782B"/>
    <w:rsid w:val="00C410D2"/>
    <w:rsid w:val="00C41363"/>
    <w:rsid w:val="00C42A78"/>
    <w:rsid w:val="00C437D6"/>
    <w:rsid w:val="00C4601D"/>
    <w:rsid w:val="00C509D2"/>
    <w:rsid w:val="00C51CCA"/>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FCE"/>
    <w:rsid w:val="00C7443F"/>
    <w:rsid w:val="00C745D7"/>
    <w:rsid w:val="00C7702A"/>
    <w:rsid w:val="00C7732F"/>
    <w:rsid w:val="00C773C8"/>
    <w:rsid w:val="00C80A25"/>
    <w:rsid w:val="00C80E5E"/>
    <w:rsid w:val="00C82930"/>
    <w:rsid w:val="00C82C9E"/>
    <w:rsid w:val="00C841BF"/>
    <w:rsid w:val="00C8531E"/>
    <w:rsid w:val="00C85560"/>
    <w:rsid w:val="00C85A50"/>
    <w:rsid w:val="00C85B6C"/>
    <w:rsid w:val="00C85ECE"/>
    <w:rsid w:val="00C86BFE"/>
    <w:rsid w:val="00C86D8A"/>
    <w:rsid w:val="00C86FF3"/>
    <w:rsid w:val="00C87E2F"/>
    <w:rsid w:val="00C900B0"/>
    <w:rsid w:val="00C9080B"/>
    <w:rsid w:val="00C90EA7"/>
    <w:rsid w:val="00C90EF9"/>
    <w:rsid w:val="00C9146C"/>
    <w:rsid w:val="00C91711"/>
    <w:rsid w:val="00C92931"/>
    <w:rsid w:val="00C92949"/>
    <w:rsid w:val="00C9312F"/>
    <w:rsid w:val="00C94499"/>
    <w:rsid w:val="00C9491A"/>
    <w:rsid w:val="00C94BE9"/>
    <w:rsid w:val="00C95DD7"/>
    <w:rsid w:val="00C95ED6"/>
    <w:rsid w:val="00C96BBB"/>
    <w:rsid w:val="00CA04D5"/>
    <w:rsid w:val="00CA1AC8"/>
    <w:rsid w:val="00CA1FB0"/>
    <w:rsid w:val="00CA24D1"/>
    <w:rsid w:val="00CA39CC"/>
    <w:rsid w:val="00CA403D"/>
    <w:rsid w:val="00CA4743"/>
    <w:rsid w:val="00CA57FE"/>
    <w:rsid w:val="00CA5FF6"/>
    <w:rsid w:val="00CA6F32"/>
    <w:rsid w:val="00CA735E"/>
    <w:rsid w:val="00CB01B1"/>
    <w:rsid w:val="00CB138F"/>
    <w:rsid w:val="00CB13CF"/>
    <w:rsid w:val="00CB13E0"/>
    <w:rsid w:val="00CB2F02"/>
    <w:rsid w:val="00CB44CC"/>
    <w:rsid w:val="00CB4522"/>
    <w:rsid w:val="00CB76B8"/>
    <w:rsid w:val="00CB7703"/>
    <w:rsid w:val="00CB77EE"/>
    <w:rsid w:val="00CB783B"/>
    <w:rsid w:val="00CB7AE2"/>
    <w:rsid w:val="00CC1C1E"/>
    <w:rsid w:val="00CC2611"/>
    <w:rsid w:val="00CC2803"/>
    <w:rsid w:val="00CC295E"/>
    <w:rsid w:val="00CC48D6"/>
    <w:rsid w:val="00CC544C"/>
    <w:rsid w:val="00CC559E"/>
    <w:rsid w:val="00CC707F"/>
    <w:rsid w:val="00CC708A"/>
    <w:rsid w:val="00CC79CD"/>
    <w:rsid w:val="00CD1447"/>
    <w:rsid w:val="00CD1841"/>
    <w:rsid w:val="00CD1BF1"/>
    <w:rsid w:val="00CD1D2E"/>
    <w:rsid w:val="00CD27CD"/>
    <w:rsid w:val="00CD4BF8"/>
    <w:rsid w:val="00CD52CD"/>
    <w:rsid w:val="00CD652E"/>
    <w:rsid w:val="00CD68DD"/>
    <w:rsid w:val="00CD7B8B"/>
    <w:rsid w:val="00CE01F8"/>
    <w:rsid w:val="00CE24B9"/>
    <w:rsid w:val="00CE2B04"/>
    <w:rsid w:val="00CE3E8B"/>
    <w:rsid w:val="00CE47DC"/>
    <w:rsid w:val="00CE5298"/>
    <w:rsid w:val="00CE5322"/>
    <w:rsid w:val="00CE58EB"/>
    <w:rsid w:val="00CE705F"/>
    <w:rsid w:val="00CF0041"/>
    <w:rsid w:val="00CF0D4B"/>
    <w:rsid w:val="00CF2605"/>
    <w:rsid w:val="00CF2804"/>
    <w:rsid w:val="00CF35B2"/>
    <w:rsid w:val="00CF36C4"/>
    <w:rsid w:val="00CF38D4"/>
    <w:rsid w:val="00CF5C07"/>
    <w:rsid w:val="00CF5CFC"/>
    <w:rsid w:val="00D00AF5"/>
    <w:rsid w:val="00D00E75"/>
    <w:rsid w:val="00D00EE2"/>
    <w:rsid w:val="00D01917"/>
    <w:rsid w:val="00D01EBC"/>
    <w:rsid w:val="00D03DE1"/>
    <w:rsid w:val="00D03EDD"/>
    <w:rsid w:val="00D03EEF"/>
    <w:rsid w:val="00D04F08"/>
    <w:rsid w:val="00D050BB"/>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7131"/>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EAF"/>
    <w:rsid w:val="00D50B2A"/>
    <w:rsid w:val="00D51517"/>
    <w:rsid w:val="00D52D7F"/>
    <w:rsid w:val="00D53034"/>
    <w:rsid w:val="00D541A8"/>
    <w:rsid w:val="00D55A05"/>
    <w:rsid w:val="00D562A8"/>
    <w:rsid w:val="00D61A9F"/>
    <w:rsid w:val="00D61EDD"/>
    <w:rsid w:val="00D628AF"/>
    <w:rsid w:val="00D6294B"/>
    <w:rsid w:val="00D654F8"/>
    <w:rsid w:val="00D66697"/>
    <w:rsid w:val="00D676B3"/>
    <w:rsid w:val="00D6787A"/>
    <w:rsid w:val="00D67ACA"/>
    <w:rsid w:val="00D67BE8"/>
    <w:rsid w:val="00D67F69"/>
    <w:rsid w:val="00D70865"/>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70D5"/>
    <w:rsid w:val="00D809B7"/>
    <w:rsid w:val="00D812A9"/>
    <w:rsid w:val="00D813B0"/>
    <w:rsid w:val="00D8141C"/>
    <w:rsid w:val="00D81A57"/>
    <w:rsid w:val="00D81A98"/>
    <w:rsid w:val="00D8269A"/>
    <w:rsid w:val="00D82962"/>
    <w:rsid w:val="00D82A4C"/>
    <w:rsid w:val="00D83A65"/>
    <w:rsid w:val="00D846CF"/>
    <w:rsid w:val="00D84999"/>
    <w:rsid w:val="00D85683"/>
    <w:rsid w:val="00D86D21"/>
    <w:rsid w:val="00D8772B"/>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16AA"/>
    <w:rsid w:val="00DA28A7"/>
    <w:rsid w:val="00DA2BB0"/>
    <w:rsid w:val="00DA2FCA"/>
    <w:rsid w:val="00DA348E"/>
    <w:rsid w:val="00DA373A"/>
    <w:rsid w:val="00DA3B2E"/>
    <w:rsid w:val="00DA59D2"/>
    <w:rsid w:val="00DA5A9C"/>
    <w:rsid w:val="00DA5F60"/>
    <w:rsid w:val="00DA6E9D"/>
    <w:rsid w:val="00DA6FF3"/>
    <w:rsid w:val="00DB0F33"/>
    <w:rsid w:val="00DB1595"/>
    <w:rsid w:val="00DB297D"/>
    <w:rsid w:val="00DB2B7E"/>
    <w:rsid w:val="00DB2BA7"/>
    <w:rsid w:val="00DB2F6C"/>
    <w:rsid w:val="00DB345D"/>
    <w:rsid w:val="00DB5719"/>
    <w:rsid w:val="00DB624E"/>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6998"/>
    <w:rsid w:val="00DD7F9B"/>
    <w:rsid w:val="00DE1C74"/>
    <w:rsid w:val="00DE3385"/>
    <w:rsid w:val="00DE3CA1"/>
    <w:rsid w:val="00DE4007"/>
    <w:rsid w:val="00DE4638"/>
    <w:rsid w:val="00DE4651"/>
    <w:rsid w:val="00DE534A"/>
    <w:rsid w:val="00DE55FD"/>
    <w:rsid w:val="00DE60A8"/>
    <w:rsid w:val="00DE7265"/>
    <w:rsid w:val="00DE7525"/>
    <w:rsid w:val="00DE7C1C"/>
    <w:rsid w:val="00DF0111"/>
    <w:rsid w:val="00DF2247"/>
    <w:rsid w:val="00DF2353"/>
    <w:rsid w:val="00DF3AB2"/>
    <w:rsid w:val="00DF4116"/>
    <w:rsid w:val="00DF5129"/>
    <w:rsid w:val="00DF5784"/>
    <w:rsid w:val="00DF58B8"/>
    <w:rsid w:val="00DF5FF8"/>
    <w:rsid w:val="00DF6EE5"/>
    <w:rsid w:val="00E0077B"/>
    <w:rsid w:val="00E00898"/>
    <w:rsid w:val="00E03634"/>
    <w:rsid w:val="00E050B6"/>
    <w:rsid w:val="00E0557E"/>
    <w:rsid w:val="00E05D14"/>
    <w:rsid w:val="00E0628E"/>
    <w:rsid w:val="00E06460"/>
    <w:rsid w:val="00E073CF"/>
    <w:rsid w:val="00E07997"/>
    <w:rsid w:val="00E07A6A"/>
    <w:rsid w:val="00E07EB8"/>
    <w:rsid w:val="00E107B2"/>
    <w:rsid w:val="00E1080E"/>
    <w:rsid w:val="00E10EB1"/>
    <w:rsid w:val="00E114CF"/>
    <w:rsid w:val="00E120E4"/>
    <w:rsid w:val="00E13636"/>
    <w:rsid w:val="00E149F4"/>
    <w:rsid w:val="00E17F53"/>
    <w:rsid w:val="00E20354"/>
    <w:rsid w:val="00E207DB"/>
    <w:rsid w:val="00E21F5A"/>
    <w:rsid w:val="00E221D8"/>
    <w:rsid w:val="00E25124"/>
    <w:rsid w:val="00E261F8"/>
    <w:rsid w:val="00E26E25"/>
    <w:rsid w:val="00E27DF3"/>
    <w:rsid w:val="00E304DD"/>
    <w:rsid w:val="00E3110A"/>
    <w:rsid w:val="00E319DC"/>
    <w:rsid w:val="00E324AD"/>
    <w:rsid w:val="00E3342D"/>
    <w:rsid w:val="00E33683"/>
    <w:rsid w:val="00E33734"/>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EEE"/>
    <w:rsid w:val="00E66F49"/>
    <w:rsid w:val="00E721A9"/>
    <w:rsid w:val="00E73549"/>
    <w:rsid w:val="00E7484F"/>
    <w:rsid w:val="00E74861"/>
    <w:rsid w:val="00E74B50"/>
    <w:rsid w:val="00E74EC9"/>
    <w:rsid w:val="00E7558F"/>
    <w:rsid w:val="00E75733"/>
    <w:rsid w:val="00E75A9D"/>
    <w:rsid w:val="00E7650D"/>
    <w:rsid w:val="00E77754"/>
    <w:rsid w:val="00E80CF7"/>
    <w:rsid w:val="00E80FB4"/>
    <w:rsid w:val="00E81B8E"/>
    <w:rsid w:val="00E81ED7"/>
    <w:rsid w:val="00E8369B"/>
    <w:rsid w:val="00E8377F"/>
    <w:rsid w:val="00E83850"/>
    <w:rsid w:val="00E85244"/>
    <w:rsid w:val="00E85A96"/>
    <w:rsid w:val="00E86159"/>
    <w:rsid w:val="00E86741"/>
    <w:rsid w:val="00E87AE4"/>
    <w:rsid w:val="00E90C1F"/>
    <w:rsid w:val="00E9124A"/>
    <w:rsid w:val="00E9222C"/>
    <w:rsid w:val="00E9296D"/>
    <w:rsid w:val="00E92AA5"/>
    <w:rsid w:val="00E94509"/>
    <w:rsid w:val="00E9558B"/>
    <w:rsid w:val="00E95D1B"/>
    <w:rsid w:val="00E969A4"/>
    <w:rsid w:val="00E9735C"/>
    <w:rsid w:val="00EA234B"/>
    <w:rsid w:val="00EA274B"/>
    <w:rsid w:val="00EA2EFA"/>
    <w:rsid w:val="00EA3184"/>
    <w:rsid w:val="00EA3732"/>
    <w:rsid w:val="00EA3CDD"/>
    <w:rsid w:val="00EA4124"/>
    <w:rsid w:val="00EA5028"/>
    <w:rsid w:val="00EA50D6"/>
    <w:rsid w:val="00EA5714"/>
    <w:rsid w:val="00EA5E70"/>
    <w:rsid w:val="00EA60EF"/>
    <w:rsid w:val="00EA6A30"/>
    <w:rsid w:val="00EA6A41"/>
    <w:rsid w:val="00EA7662"/>
    <w:rsid w:val="00EA7A9E"/>
    <w:rsid w:val="00EA7CC3"/>
    <w:rsid w:val="00EB016F"/>
    <w:rsid w:val="00EB04F4"/>
    <w:rsid w:val="00EB05E3"/>
    <w:rsid w:val="00EB2216"/>
    <w:rsid w:val="00EB27D1"/>
    <w:rsid w:val="00EB33F4"/>
    <w:rsid w:val="00EB3B9C"/>
    <w:rsid w:val="00EB4C04"/>
    <w:rsid w:val="00EB6502"/>
    <w:rsid w:val="00EB7D9C"/>
    <w:rsid w:val="00EC1406"/>
    <w:rsid w:val="00EC1526"/>
    <w:rsid w:val="00EC23F3"/>
    <w:rsid w:val="00EC2677"/>
    <w:rsid w:val="00EC2AB5"/>
    <w:rsid w:val="00EC36F2"/>
    <w:rsid w:val="00EC4B79"/>
    <w:rsid w:val="00EC4F33"/>
    <w:rsid w:val="00EC7E82"/>
    <w:rsid w:val="00ED0B81"/>
    <w:rsid w:val="00ED19B3"/>
    <w:rsid w:val="00ED1A64"/>
    <w:rsid w:val="00ED28DD"/>
    <w:rsid w:val="00ED421C"/>
    <w:rsid w:val="00ED43A6"/>
    <w:rsid w:val="00ED502A"/>
    <w:rsid w:val="00ED69B3"/>
    <w:rsid w:val="00ED6FB9"/>
    <w:rsid w:val="00ED7371"/>
    <w:rsid w:val="00ED7E2F"/>
    <w:rsid w:val="00ED7EA8"/>
    <w:rsid w:val="00EE1313"/>
    <w:rsid w:val="00EE2126"/>
    <w:rsid w:val="00EE3363"/>
    <w:rsid w:val="00EE3F3C"/>
    <w:rsid w:val="00EE4C7E"/>
    <w:rsid w:val="00EE556D"/>
    <w:rsid w:val="00EE60A2"/>
    <w:rsid w:val="00EE6184"/>
    <w:rsid w:val="00EE679C"/>
    <w:rsid w:val="00EE7A2C"/>
    <w:rsid w:val="00EF06D3"/>
    <w:rsid w:val="00EF09D3"/>
    <w:rsid w:val="00EF108A"/>
    <w:rsid w:val="00EF1240"/>
    <w:rsid w:val="00EF1F75"/>
    <w:rsid w:val="00EF2240"/>
    <w:rsid w:val="00EF3069"/>
    <w:rsid w:val="00EF31A5"/>
    <w:rsid w:val="00EF3742"/>
    <w:rsid w:val="00EF3EB5"/>
    <w:rsid w:val="00EF57B9"/>
    <w:rsid w:val="00EF57DF"/>
    <w:rsid w:val="00EF632B"/>
    <w:rsid w:val="00EF6556"/>
    <w:rsid w:val="00EF689A"/>
    <w:rsid w:val="00EF6E50"/>
    <w:rsid w:val="00F02BAD"/>
    <w:rsid w:val="00F0319D"/>
    <w:rsid w:val="00F07890"/>
    <w:rsid w:val="00F11635"/>
    <w:rsid w:val="00F12D86"/>
    <w:rsid w:val="00F131AA"/>
    <w:rsid w:val="00F131FD"/>
    <w:rsid w:val="00F1350B"/>
    <w:rsid w:val="00F13B05"/>
    <w:rsid w:val="00F13B5A"/>
    <w:rsid w:val="00F13EED"/>
    <w:rsid w:val="00F15AF2"/>
    <w:rsid w:val="00F21290"/>
    <w:rsid w:val="00F2299F"/>
    <w:rsid w:val="00F231F0"/>
    <w:rsid w:val="00F24787"/>
    <w:rsid w:val="00F259A5"/>
    <w:rsid w:val="00F263E5"/>
    <w:rsid w:val="00F301E0"/>
    <w:rsid w:val="00F307CC"/>
    <w:rsid w:val="00F30BBA"/>
    <w:rsid w:val="00F31630"/>
    <w:rsid w:val="00F31A8F"/>
    <w:rsid w:val="00F320C0"/>
    <w:rsid w:val="00F32D63"/>
    <w:rsid w:val="00F34012"/>
    <w:rsid w:val="00F343A3"/>
    <w:rsid w:val="00F34C99"/>
    <w:rsid w:val="00F3531A"/>
    <w:rsid w:val="00F3745E"/>
    <w:rsid w:val="00F41DB0"/>
    <w:rsid w:val="00F439BB"/>
    <w:rsid w:val="00F43CEB"/>
    <w:rsid w:val="00F449D7"/>
    <w:rsid w:val="00F460C4"/>
    <w:rsid w:val="00F461AE"/>
    <w:rsid w:val="00F467F9"/>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6E25"/>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2021"/>
    <w:rsid w:val="00F82080"/>
    <w:rsid w:val="00F82A7B"/>
    <w:rsid w:val="00F8356E"/>
    <w:rsid w:val="00F8476C"/>
    <w:rsid w:val="00F850A1"/>
    <w:rsid w:val="00F85CBD"/>
    <w:rsid w:val="00F87211"/>
    <w:rsid w:val="00F87810"/>
    <w:rsid w:val="00F905B8"/>
    <w:rsid w:val="00F91164"/>
    <w:rsid w:val="00F91D47"/>
    <w:rsid w:val="00F92B0F"/>
    <w:rsid w:val="00F9354E"/>
    <w:rsid w:val="00F941FC"/>
    <w:rsid w:val="00F96D24"/>
    <w:rsid w:val="00F97093"/>
    <w:rsid w:val="00F97FF3"/>
    <w:rsid w:val="00FA0091"/>
    <w:rsid w:val="00FA1AA9"/>
    <w:rsid w:val="00FA2C8B"/>
    <w:rsid w:val="00FA3E0C"/>
    <w:rsid w:val="00FA4FBA"/>
    <w:rsid w:val="00FA5580"/>
    <w:rsid w:val="00FA655A"/>
    <w:rsid w:val="00FA69C3"/>
    <w:rsid w:val="00FA6AAC"/>
    <w:rsid w:val="00FA6CBC"/>
    <w:rsid w:val="00FA6D48"/>
    <w:rsid w:val="00FA7027"/>
    <w:rsid w:val="00FA7EC0"/>
    <w:rsid w:val="00FB1729"/>
    <w:rsid w:val="00FB30A2"/>
    <w:rsid w:val="00FC072E"/>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5688"/>
    <w:rsid w:val="00FD5725"/>
    <w:rsid w:val="00FD5E1C"/>
    <w:rsid w:val="00FD5F36"/>
    <w:rsid w:val="00FD7F6B"/>
    <w:rsid w:val="00FE0948"/>
    <w:rsid w:val="00FE1880"/>
    <w:rsid w:val="00FE3256"/>
    <w:rsid w:val="00FE3F8E"/>
    <w:rsid w:val="00FE47ED"/>
    <w:rsid w:val="00FE5101"/>
    <w:rsid w:val="00FE61DC"/>
    <w:rsid w:val="00FE67D0"/>
    <w:rsid w:val="00FE689B"/>
    <w:rsid w:val="00FE7081"/>
    <w:rsid w:val="00FE79CE"/>
    <w:rsid w:val="00FF081E"/>
    <w:rsid w:val="00FF145C"/>
    <w:rsid w:val="00FF26EE"/>
    <w:rsid w:val="00FF28EC"/>
    <w:rsid w:val="00FF47A3"/>
    <w:rsid w:val="00FF4B3F"/>
    <w:rsid w:val="00FF4B43"/>
    <w:rsid w:val="00FF574F"/>
    <w:rsid w:val="090C7C1B"/>
    <w:rsid w:val="0C4C5587"/>
    <w:rsid w:val="16AE3DA9"/>
    <w:rsid w:val="24595E31"/>
    <w:rsid w:val="56FA4FCC"/>
    <w:rsid w:val="69D4537F"/>
    <w:rsid w:val="7F481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qFormat="1" w:unhideWhenUsed="0" w:uiPriority="0" w:name="toc 7"/>
    <w:lsdException w:unhideWhenUsed="0" w:uiPriority="0" w:name="toc 8"/>
    <w:lsdException w:unhideWhenUsed="0" w:uiPriority="0" w:name="toc 9"/>
    <w:lsdException w:qFormat="1" w:unhideWhenUsed="0" w:uiPriority="0" w:semiHidden="0" w:name="Normal Indent"/>
    <w:lsdException w:uiPriority="0" w:name="footnote text"/>
    <w:lsdException w:unhideWhenUsed="0" w:uiPriority="0" w:name="annotation text"/>
    <w:lsdException w:unhideWhenUsed="0" w:uiPriority="99" w:semiHidden="0" w:name="header"/>
    <w:lsdException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6"/>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1"/>
    <w:qFormat/>
    <w:uiPriority w:val="0"/>
    <w:pPr>
      <w:adjustRightInd w:val="0"/>
      <w:jc w:val="center"/>
      <w:textAlignment w:val="baseline"/>
      <w:outlineLvl w:val="1"/>
    </w:pPr>
    <w:rPr>
      <w:kern w:val="0"/>
      <w:sz w:val="24"/>
      <w:szCs w:val="20"/>
    </w:rPr>
  </w:style>
  <w:style w:type="paragraph" w:styleId="3">
    <w:name w:val="heading 3"/>
    <w:basedOn w:val="4"/>
    <w:next w:val="1"/>
    <w:link w:val="55"/>
    <w:qFormat/>
    <w:uiPriority w:val="0"/>
    <w:pPr>
      <w:spacing w:before="260" w:after="260" w:line="240" w:lineRule="auto"/>
      <w:outlineLvl w:val="2"/>
    </w:pPr>
    <w:rPr>
      <w:rFonts w:ascii="宋体" w:hAnsi="宋体" w:eastAsia="宋体"/>
      <w:szCs w:val="32"/>
    </w:rPr>
  </w:style>
  <w:style w:type="paragraph" w:styleId="4">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0"/>
    <w:qFormat/>
    <w:uiPriority w:val="0"/>
    <w:pPr>
      <w:keepNext/>
      <w:keepLines/>
      <w:spacing w:before="280" w:after="290" w:line="376" w:lineRule="auto"/>
      <w:outlineLvl w:val="4"/>
    </w:pPr>
    <w:rPr>
      <w:b/>
      <w:sz w:val="28"/>
      <w:szCs w:val="20"/>
    </w:rPr>
  </w:style>
  <w:style w:type="paragraph" w:styleId="8">
    <w:name w:val="heading 6"/>
    <w:basedOn w:val="1"/>
    <w:next w:val="7"/>
    <w:link w:val="83"/>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84"/>
    <w:qFormat/>
    <w:uiPriority w:val="0"/>
    <w:pPr>
      <w:keepNext/>
      <w:keepLines/>
      <w:spacing w:before="240" w:after="64" w:line="320" w:lineRule="auto"/>
      <w:outlineLvl w:val="6"/>
    </w:pPr>
    <w:rPr>
      <w:b/>
      <w:sz w:val="24"/>
      <w:szCs w:val="20"/>
    </w:rPr>
  </w:style>
  <w:style w:type="paragraph" w:styleId="10">
    <w:name w:val="heading 8"/>
    <w:basedOn w:val="1"/>
    <w:next w:val="7"/>
    <w:link w:val="85"/>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86"/>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7"/>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uiPriority w:val="0"/>
    <w:pPr>
      <w:numPr>
        <w:ilvl w:val="0"/>
        <w:numId w:val="1"/>
      </w:numPr>
    </w:pPr>
    <w:rPr>
      <w:szCs w:val="20"/>
    </w:rPr>
  </w:style>
  <w:style w:type="paragraph" w:styleId="15">
    <w:name w:val="Document Map"/>
    <w:basedOn w:val="1"/>
    <w:semiHidden/>
    <w:uiPriority w:val="0"/>
    <w:pPr>
      <w:shd w:val="clear" w:color="auto" w:fill="000080"/>
    </w:pPr>
  </w:style>
  <w:style w:type="paragraph" w:styleId="16">
    <w:name w:val="annotation text"/>
    <w:basedOn w:val="1"/>
    <w:link w:val="184"/>
    <w:semiHidden/>
    <w:uiPriority w:val="0"/>
    <w:pPr>
      <w:autoSpaceDE w:val="0"/>
      <w:autoSpaceDN w:val="0"/>
      <w:adjustRightInd w:val="0"/>
      <w:jc w:val="left"/>
      <w:textAlignment w:val="baseline"/>
    </w:pPr>
    <w:rPr>
      <w:rFonts w:ascii="宋体"/>
      <w:kern w:val="0"/>
      <w:sz w:val="34"/>
      <w:szCs w:val="20"/>
    </w:rPr>
  </w:style>
  <w:style w:type="paragraph" w:styleId="17">
    <w:name w:val="Body Text 3"/>
    <w:basedOn w:val="1"/>
    <w:link w:val="98"/>
    <w:uiPriority w:val="0"/>
    <w:pPr>
      <w:spacing w:after="120"/>
    </w:pPr>
    <w:rPr>
      <w:sz w:val="16"/>
      <w:szCs w:val="16"/>
    </w:rPr>
  </w:style>
  <w:style w:type="paragraph" w:styleId="18">
    <w:name w:val="Body Text"/>
    <w:basedOn w:val="1"/>
    <w:link w:val="92"/>
    <w:uiPriority w:val="0"/>
    <w:pPr>
      <w:spacing w:line="360" w:lineRule="auto"/>
    </w:pPr>
    <w:rPr>
      <w:b/>
      <w:bCs/>
      <w:sz w:val="24"/>
    </w:rPr>
  </w:style>
  <w:style w:type="paragraph" w:styleId="19">
    <w:name w:val="Body Text Indent"/>
    <w:basedOn w:val="1"/>
    <w:link w:val="79"/>
    <w:uiPriority w:val="0"/>
    <w:pPr>
      <w:spacing w:line="360" w:lineRule="auto"/>
      <w:ind w:firstLine="420" w:firstLineChars="200"/>
    </w:pPr>
  </w:style>
  <w:style w:type="paragraph" w:styleId="20">
    <w:name w:val="toc 5"/>
    <w:basedOn w:val="1"/>
    <w:next w:val="1"/>
    <w:semiHidden/>
    <w:uiPriority w:val="0"/>
    <w:pPr>
      <w:ind w:left="840"/>
      <w:jc w:val="left"/>
    </w:pPr>
    <w:rPr>
      <w:szCs w:val="21"/>
    </w:rPr>
  </w:style>
  <w:style w:type="paragraph" w:styleId="21">
    <w:name w:val="toc 3"/>
    <w:basedOn w:val="1"/>
    <w:next w:val="1"/>
    <w:semiHidden/>
    <w:uiPriority w:val="0"/>
    <w:pPr>
      <w:ind w:left="420"/>
      <w:jc w:val="left"/>
    </w:pPr>
    <w:rPr>
      <w:i/>
      <w:iCs/>
    </w:rPr>
  </w:style>
  <w:style w:type="paragraph" w:styleId="22">
    <w:name w:val="Plain Text"/>
    <w:basedOn w:val="1"/>
    <w:link w:val="90"/>
    <w:uiPriority w:val="0"/>
    <w:rPr>
      <w:rFonts w:ascii="宋体" w:hAnsi="Courier New"/>
      <w:szCs w:val="20"/>
    </w:rPr>
  </w:style>
  <w:style w:type="paragraph" w:styleId="23">
    <w:name w:val="toc 8"/>
    <w:basedOn w:val="1"/>
    <w:next w:val="1"/>
    <w:semiHidden/>
    <w:uiPriority w:val="0"/>
    <w:pPr>
      <w:ind w:left="1470"/>
      <w:jc w:val="left"/>
    </w:pPr>
    <w:rPr>
      <w:szCs w:val="21"/>
    </w:rPr>
  </w:style>
  <w:style w:type="paragraph" w:styleId="24">
    <w:name w:val="Date"/>
    <w:basedOn w:val="1"/>
    <w:next w:val="1"/>
    <w:link w:val="88"/>
    <w:uiPriority w:val="0"/>
    <w:rPr>
      <w:rFonts w:ascii="宋体" w:hAnsi="Courier New"/>
      <w:sz w:val="32"/>
      <w:szCs w:val="20"/>
    </w:rPr>
  </w:style>
  <w:style w:type="paragraph" w:styleId="25">
    <w:name w:val="Body Text Indent 2"/>
    <w:basedOn w:val="1"/>
    <w:link w:val="93"/>
    <w:uiPriority w:val="0"/>
    <w:pPr>
      <w:spacing w:beforeLines="50" w:afterLines="50" w:line="120" w:lineRule="auto"/>
      <w:ind w:firstLine="840" w:firstLineChars="400"/>
      <w:jc w:val="left"/>
    </w:pPr>
    <w:rPr>
      <w:rFonts w:ascii="宋体" w:hAnsi="宋体"/>
    </w:rPr>
  </w:style>
  <w:style w:type="paragraph" w:styleId="26">
    <w:name w:val="Balloon Text"/>
    <w:basedOn w:val="1"/>
    <w:link w:val="99"/>
    <w:semiHidden/>
    <w:uiPriority w:val="0"/>
    <w:rPr>
      <w:sz w:val="18"/>
      <w:szCs w:val="18"/>
    </w:rPr>
  </w:style>
  <w:style w:type="paragraph" w:styleId="27">
    <w:name w:val="footer"/>
    <w:basedOn w:val="1"/>
    <w:link w:val="97"/>
    <w:uiPriority w:val="0"/>
    <w:pPr>
      <w:tabs>
        <w:tab w:val="center" w:pos="4153"/>
        <w:tab w:val="right" w:pos="8306"/>
      </w:tabs>
      <w:snapToGrid w:val="0"/>
      <w:jc w:val="left"/>
    </w:pPr>
    <w:rPr>
      <w:sz w:val="18"/>
      <w:szCs w:val="18"/>
    </w:rPr>
  </w:style>
  <w:style w:type="paragraph" w:styleId="28">
    <w:name w:val="header"/>
    <w:basedOn w:val="1"/>
    <w:link w:val="94"/>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uiPriority w:val="0"/>
    <w:pPr>
      <w:ind w:left="630"/>
      <w:jc w:val="left"/>
    </w:pPr>
    <w:rPr>
      <w:szCs w:val="21"/>
    </w:rPr>
  </w:style>
  <w:style w:type="paragraph" w:styleId="31">
    <w:name w:val="Subtitle"/>
    <w:next w:val="1"/>
    <w:link w:val="309"/>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uiPriority w:val="0"/>
    <w:pPr>
      <w:ind w:left="1050"/>
      <w:jc w:val="left"/>
    </w:pPr>
    <w:rPr>
      <w:szCs w:val="21"/>
    </w:rPr>
  </w:style>
  <w:style w:type="paragraph" w:styleId="33">
    <w:name w:val="Body Text Indent 3"/>
    <w:basedOn w:val="1"/>
    <w:link w:val="95"/>
    <w:uiPriority w:val="0"/>
    <w:pPr>
      <w:spacing w:line="360" w:lineRule="auto"/>
      <w:ind w:firstLine="482" w:firstLineChars="200"/>
    </w:pPr>
    <w:rPr>
      <w:rFonts w:ascii="宋体"/>
      <w:b/>
      <w:bCs/>
      <w:sz w:val="24"/>
    </w:rPr>
  </w:style>
  <w:style w:type="paragraph" w:styleId="34">
    <w:name w:val="toc 2"/>
    <w:basedOn w:val="1"/>
    <w:next w:val="1"/>
    <w:semiHidden/>
    <w:uiPriority w:val="0"/>
    <w:pPr>
      <w:tabs>
        <w:tab w:val="right" w:leader="dot" w:pos="8296"/>
      </w:tabs>
      <w:ind w:left="210"/>
      <w:jc w:val="left"/>
    </w:pPr>
    <w:rPr>
      <w:smallCaps/>
    </w:rPr>
  </w:style>
  <w:style w:type="paragraph" w:styleId="35">
    <w:name w:val="toc 9"/>
    <w:basedOn w:val="1"/>
    <w:next w:val="1"/>
    <w:semiHidden/>
    <w:uiPriority w:val="0"/>
    <w:pPr>
      <w:ind w:left="1680"/>
      <w:jc w:val="left"/>
    </w:pPr>
    <w:rPr>
      <w:szCs w:val="21"/>
    </w:rPr>
  </w:style>
  <w:style w:type="paragraph" w:styleId="36">
    <w:name w:val="Body Text 2"/>
    <w:basedOn w:val="1"/>
    <w:link w:val="96"/>
    <w:uiPriority w:val="0"/>
    <w:pPr>
      <w:spacing w:line="360" w:lineRule="auto"/>
    </w:pPr>
    <w:rPr>
      <w:sz w:val="24"/>
    </w:rPr>
  </w:style>
  <w:style w:type="paragraph" w:styleId="37">
    <w:name w:val="HTML Preformatted"/>
    <w:basedOn w:val="1"/>
    <w:link w:val="89"/>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link w:val="470"/>
    <w:qFormat/>
    <w:uiPriority w:val="0"/>
    <w:rPr>
      <w:sz w:val="24"/>
    </w:rPr>
  </w:style>
  <w:style w:type="paragraph" w:styleId="39">
    <w:name w:val="index 1"/>
    <w:basedOn w:val="1"/>
    <w:next w:val="1"/>
    <w:semiHidden/>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87"/>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6"/>
    <w:next w:val="16"/>
    <w:link w:val="185"/>
    <w:uiPriority w:val="0"/>
    <w:pPr>
      <w:autoSpaceDE/>
      <w:autoSpaceDN/>
      <w:adjustRightInd/>
      <w:textAlignment w:val="auto"/>
    </w:pPr>
    <w:rPr>
      <w:rFonts w:ascii="Times New Roman"/>
      <w:b/>
      <w:bCs/>
      <w:kern w:val="2"/>
      <w:sz w:val="21"/>
      <w:szCs w:val="24"/>
    </w:rPr>
  </w:style>
  <w:style w:type="paragraph" w:styleId="42">
    <w:name w:val="Body Text First Indent"/>
    <w:basedOn w:val="18"/>
    <w:link w:val="130"/>
    <w:uiPriority w:val="0"/>
    <w:pPr>
      <w:spacing w:after="120" w:line="240" w:lineRule="auto"/>
      <w:ind w:firstLine="420" w:firstLineChars="100"/>
    </w:pPr>
    <w:rPr>
      <w:sz w:val="21"/>
    </w:rPr>
  </w:style>
  <w:style w:type="table" w:styleId="44">
    <w:name w:val="Table Grid"/>
    <w:basedOn w:val="4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i/>
      <w:sz w:val="20"/>
    </w:rPr>
  </w:style>
  <w:style w:type="character" w:styleId="51">
    <w:name w:val="Hyperlink"/>
    <w:qFormat/>
    <w:uiPriority w:val="0"/>
    <w:rPr>
      <w:color w:val="0000FF"/>
      <w:u w:val="single"/>
    </w:rPr>
  </w:style>
  <w:style w:type="character" w:styleId="52">
    <w:name w:val="annotation reference"/>
    <w:basedOn w:val="46"/>
    <w:qFormat/>
    <w:uiPriority w:val="0"/>
    <w:rPr>
      <w:sz w:val="21"/>
      <w:szCs w:val="21"/>
    </w:rPr>
  </w:style>
  <w:style w:type="character" w:customStyle="1" w:styleId="53">
    <w:name w:val="标题 4 Char"/>
    <w:link w:val="4"/>
    <w:qFormat/>
    <w:uiPriority w:val="0"/>
    <w:rPr>
      <w:rFonts w:ascii="Arial" w:hAnsi="Arial" w:eastAsia="黑体"/>
      <w:b/>
      <w:bCs/>
      <w:kern w:val="2"/>
      <w:sz w:val="28"/>
      <w:szCs w:val="28"/>
      <w:lang w:val="en-US" w:eastAsia="zh-CN" w:bidi="ar-SA"/>
    </w:rPr>
  </w:style>
  <w:style w:type="paragraph" w:customStyle="1" w:styleId="54">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5">
    <w:name w:val="标题 3 Char1"/>
    <w:link w:val="3"/>
    <w:qFormat/>
    <w:uiPriority w:val="0"/>
    <w:rPr>
      <w:rFonts w:ascii="宋体" w:hAnsi="宋体" w:eastAsia="宋体"/>
      <w:b/>
      <w:bCs/>
      <w:kern w:val="2"/>
      <w:sz w:val="28"/>
      <w:szCs w:val="32"/>
      <w:lang w:val="en-US" w:eastAsia="zh-CN" w:bidi="ar-SA"/>
    </w:rPr>
  </w:style>
  <w:style w:type="character" w:customStyle="1" w:styleId="56">
    <w:name w:val="标题 1 Char"/>
    <w:link w:val="2"/>
    <w:qFormat/>
    <w:uiPriority w:val="0"/>
    <w:rPr>
      <w:rFonts w:ascii="宋体" w:hAnsi="宋体" w:eastAsia="黑体"/>
      <w:b/>
      <w:bCs/>
      <w:kern w:val="44"/>
      <w:sz w:val="28"/>
      <w:szCs w:val="44"/>
      <w:lang w:val="en-US" w:eastAsia="zh-CN" w:bidi="ar-SA"/>
    </w:rPr>
  </w:style>
  <w:style w:type="character" w:customStyle="1" w:styleId="57">
    <w:name w:val="正文缩进 Char"/>
    <w:link w:val="7"/>
    <w:qFormat/>
    <w:uiPriority w:val="0"/>
    <w:rPr>
      <w:rFonts w:eastAsia="宋体"/>
      <w:kern w:val="2"/>
      <w:sz w:val="21"/>
      <w:lang w:val="en-US" w:eastAsia="zh-CN" w:bidi="ar-SA"/>
    </w:rPr>
  </w:style>
  <w:style w:type="character" w:customStyle="1" w:styleId="58">
    <w:name w:val="标题 3 Char"/>
    <w:qFormat/>
    <w:uiPriority w:val="0"/>
    <w:rPr>
      <w:rFonts w:ascii="黑体" w:eastAsia="黑体"/>
      <w:bCs/>
      <w:sz w:val="30"/>
    </w:rPr>
  </w:style>
  <w:style w:type="paragraph" w:customStyle="1" w:styleId="59">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0">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6">
    <w:name w:val="自定义正文"/>
    <w:basedOn w:val="1"/>
    <w:qFormat/>
    <w:uiPriority w:val="0"/>
    <w:pPr>
      <w:spacing w:afterLines="50"/>
      <w:ind w:left="600" w:leftChars="600"/>
    </w:pPr>
  </w:style>
  <w:style w:type="paragraph" w:customStyle="1" w:styleId="67">
    <w:name w:val="Char Char Char Char Char"/>
    <w:basedOn w:val="1"/>
    <w:qFormat/>
    <w:uiPriority w:val="0"/>
    <w:rPr>
      <w:rFonts w:ascii="Tahoma" w:hAnsi="Tahoma"/>
      <w:sz w:val="24"/>
      <w:szCs w:val="20"/>
    </w:rPr>
  </w:style>
  <w:style w:type="paragraph" w:customStyle="1" w:styleId="6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69">
    <w:name w:val="Char Char"/>
    <w:basedOn w:val="1"/>
    <w:qFormat/>
    <w:uiPriority w:val="0"/>
    <w:rPr>
      <w:rFonts w:ascii="Tahoma" w:hAnsi="Tahoma"/>
      <w:sz w:val="24"/>
      <w:szCs w:val="20"/>
    </w:rPr>
  </w:style>
  <w:style w:type="paragraph" w:customStyle="1" w:styleId="70">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1">
    <w:name w:val="标题 2 Char"/>
    <w:link w:val="5"/>
    <w:qFormat/>
    <w:uiPriority w:val="0"/>
    <w:rPr>
      <w:rFonts w:ascii="宋体" w:hAnsi="宋体" w:eastAsia="宋体"/>
      <w:b/>
      <w:bCs/>
      <w:sz w:val="24"/>
      <w:lang w:val="en-US" w:eastAsia="zh-CN" w:bidi="ar-SA"/>
    </w:rPr>
  </w:style>
  <w:style w:type="paragraph" w:customStyle="1" w:styleId="7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73">
    <w:name w:val="List Paragraph"/>
    <w:basedOn w:val="1"/>
    <w:qFormat/>
    <w:uiPriority w:val="0"/>
    <w:pPr>
      <w:ind w:firstLine="420" w:firstLineChars="200"/>
    </w:pPr>
    <w:rPr>
      <w:rFonts w:ascii="Calibri" w:hAnsi="Calibri"/>
      <w:szCs w:val="22"/>
    </w:rPr>
  </w:style>
  <w:style w:type="paragraph" w:customStyle="1" w:styleId="74">
    <w:name w:val="USE 1"/>
    <w:basedOn w:val="1"/>
    <w:qFormat/>
    <w:uiPriority w:val="0"/>
    <w:pPr>
      <w:spacing w:line="200" w:lineRule="atLeast"/>
      <w:jc w:val="left"/>
    </w:pPr>
    <w:rPr>
      <w:rFonts w:ascii="宋体" w:hAnsi="宋体"/>
      <w:b/>
      <w:sz w:val="24"/>
      <w:szCs w:val="28"/>
    </w:rPr>
  </w:style>
  <w:style w:type="paragraph" w:customStyle="1" w:styleId="75">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6">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7">
    <w:name w:val="样式 标题 2 + 段前: 13 磅 段后: 13 磅 行距: 单倍行距"/>
    <w:basedOn w:val="5"/>
    <w:qFormat/>
    <w:uiPriority w:val="0"/>
    <w:pPr>
      <w:adjustRightInd/>
      <w:spacing w:before="0" w:after="0"/>
      <w:jc w:val="both"/>
      <w:textAlignment w:val="auto"/>
    </w:pPr>
    <w:rPr>
      <w:rFonts w:ascii="Cambria" w:hAnsi="Cambria" w:cs="宋体"/>
      <w:kern w:val="2"/>
      <w:sz w:val="32"/>
    </w:rPr>
  </w:style>
  <w:style w:type="character" w:customStyle="1" w:styleId="78">
    <w:name w:val="H4 Char2"/>
    <w:qFormat/>
    <w:uiPriority w:val="0"/>
    <w:rPr>
      <w:rFonts w:ascii="Arial" w:hAnsi="Arial" w:eastAsia="黑体"/>
      <w:b/>
      <w:bCs/>
      <w:kern w:val="2"/>
      <w:sz w:val="28"/>
      <w:szCs w:val="28"/>
      <w:lang w:val="en-US" w:eastAsia="zh-CN" w:bidi="ar-SA"/>
    </w:rPr>
  </w:style>
  <w:style w:type="character" w:customStyle="1" w:styleId="79">
    <w:name w:val="正文文本缩进 Char"/>
    <w:link w:val="19"/>
    <w:qFormat/>
    <w:uiPriority w:val="0"/>
    <w:rPr>
      <w:rFonts w:eastAsia="宋体"/>
      <w:kern w:val="2"/>
      <w:sz w:val="21"/>
      <w:szCs w:val="24"/>
      <w:lang w:val="en-US" w:eastAsia="zh-CN" w:bidi="ar-SA"/>
    </w:rPr>
  </w:style>
  <w:style w:type="character" w:customStyle="1" w:styleId="80">
    <w:name w:val="标题 5 Char"/>
    <w:link w:val="6"/>
    <w:qFormat/>
    <w:uiPriority w:val="0"/>
    <w:rPr>
      <w:rFonts w:eastAsia="宋体"/>
      <w:b/>
      <w:kern w:val="2"/>
      <w:sz w:val="28"/>
      <w:lang w:val="en-US" w:eastAsia="zh-CN" w:bidi="ar-SA"/>
    </w:rPr>
  </w:style>
  <w:style w:type="character" w:customStyle="1" w:styleId="81">
    <w:name w:val="第*章 Char"/>
    <w:qFormat/>
    <w:uiPriority w:val="0"/>
    <w:rPr>
      <w:rFonts w:ascii="Arial" w:hAnsi="Arial" w:eastAsia="黑体"/>
      <w:b/>
      <w:bCs/>
      <w:kern w:val="2"/>
      <w:sz w:val="32"/>
      <w:szCs w:val="32"/>
    </w:rPr>
  </w:style>
  <w:style w:type="character" w:customStyle="1" w:styleId="82">
    <w:name w:val="章标题1 Char"/>
    <w:qFormat/>
    <w:uiPriority w:val="0"/>
    <w:rPr>
      <w:rFonts w:eastAsia="宋体"/>
      <w:b/>
      <w:bCs/>
      <w:kern w:val="2"/>
      <w:sz w:val="32"/>
      <w:szCs w:val="32"/>
      <w:lang w:val="en-US" w:eastAsia="zh-CN" w:bidi="ar-SA"/>
    </w:rPr>
  </w:style>
  <w:style w:type="character" w:customStyle="1" w:styleId="83">
    <w:name w:val="标题 6 Char"/>
    <w:link w:val="8"/>
    <w:qFormat/>
    <w:uiPriority w:val="0"/>
    <w:rPr>
      <w:rFonts w:ascii="Arial" w:hAnsi="Arial" w:eastAsia="黑体"/>
      <w:b/>
      <w:kern w:val="2"/>
      <w:sz w:val="24"/>
      <w:lang w:val="en-US" w:eastAsia="zh-CN" w:bidi="ar-SA"/>
    </w:rPr>
  </w:style>
  <w:style w:type="character" w:customStyle="1" w:styleId="84">
    <w:name w:val="标题 7 Char"/>
    <w:link w:val="9"/>
    <w:qFormat/>
    <w:uiPriority w:val="0"/>
    <w:rPr>
      <w:rFonts w:eastAsia="宋体"/>
      <w:b/>
      <w:kern w:val="2"/>
      <w:sz w:val="24"/>
      <w:lang w:val="en-US" w:eastAsia="zh-CN" w:bidi="ar-SA"/>
    </w:rPr>
  </w:style>
  <w:style w:type="character" w:customStyle="1" w:styleId="85">
    <w:name w:val="标题 8 Char"/>
    <w:link w:val="10"/>
    <w:qFormat/>
    <w:uiPriority w:val="0"/>
    <w:rPr>
      <w:rFonts w:ascii="Arial" w:hAnsi="Arial" w:eastAsia="黑体"/>
      <w:kern w:val="2"/>
      <w:sz w:val="24"/>
      <w:lang w:val="en-US" w:eastAsia="zh-CN" w:bidi="ar-SA"/>
    </w:rPr>
  </w:style>
  <w:style w:type="character" w:customStyle="1" w:styleId="86">
    <w:name w:val="标题 9 Char"/>
    <w:link w:val="11"/>
    <w:qFormat/>
    <w:uiPriority w:val="0"/>
    <w:rPr>
      <w:rFonts w:ascii="Arial" w:hAnsi="Arial" w:eastAsia="黑体"/>
      <w:kern w:val="2"/>
      <w:sz w:val="21"/>
      <w:lang w:val="en-US" w:eastAsia="zh-CN" w:bidi="ar-SA"/>
    </w:rPr>
  </w:style>
  <w:style w:type="character" w:customStyle="1" w:styleId="87">
    <w:name w:val="标题 Char"/>
    <w:link w:val="40"/>
    <w:qFormat/>
    <w:uiPriority w:val="0"/>
    <w:rPr>
      <w:rFonts w:ascii="Arial" w:hAnsi="Arial" w:eastAsia="隶书" w:cs="Arial"/>
      <w:b/>
      <w:bCs/>
      <w:kern w:val="2"/>
      <w:sz w:val="32"/>
      <w:szCs w:val="32"/>
      <w:lang w:val="en-US" w:eastAsia="zh-CN" w:bidi="ar-SA"/>
    </w:rPr>
  </w:style>
  <w:style w:type="character" w:customStyle="1" w:styleId="88">
    <w:name w:val="日期 Char"/>
    <w:link w:val="24"/>
    <w:qFormat/>
    <w:uiPriority w:val="0"/>
    <w:rPr>
      <w:rFonts w:ascii="宋体" w:hAnsi="Courier New" w:eastAsia="宋体"/>
      <w:kern w:val="2"/>
      <w:sz w:val="32"/>
      <w:lang w:val="en-US" w:eastAsia="zh-CN" w:bidi="ar-SA"/>
    </w:rPr>
  </w:style>
  <w:style w:type="character" w:customStyle="1" w:styleId="89">
    <w:name w:val="HTML 预设格式 Char"/>
    <w:link w:val="37"/>
    <w:qFormat/>
    <w:uiPriority w:val="0"/>
    <w:rPr>
      <w:rFonts w:ascii="Arial Unicode MS" w:hAnsi="Arial Unicode MS" w:eastAsia="Arial Unicode MS"/>
      <w:color w:val="000000"/>
      <w:lang w:val="en-US" w:eastAsia="zh-CN" w:bidi="ar-SA"/>
    </w:rPr>
  </w:style>
  <w:style w:type="character" w:customStyle="1" w:styleId="90">
    <w:name w:val="纯文本 Char"/>
    <w:link w:val="22"/>
    <w:qFormat/>
    <w:uiPriority w:val="0"/>
    <w:rPr>
      <w:rFonts w:ascii="宋体" w:hAnsi="Courier New" w:eastAsia="宋体"/>
      <w:kern w:val="2"/>
      <w:sz w:val="21"/>
      <w:lang w:val="en-US" w:eastAsia="zh-CN" w:bidi="ar-SA"/>
    </w:rPr>
  </w:style>
  <w:style w:type="character" w:customStyle="1" w:styleId="91">
    <w:name w:val="正文文字首行缩进 Char"/>
    <w:qFormat/>
    <w:uiPriority w:val="0"/>
    <w:rPr>
      <w:kern w:val="2"/>
      <w:sz w:val="21"/>
      <w:szCs w:val="24"/>
    </w:rPr>
  </w:style>
  <w:style w:type="character" w:customStyle="1" w:styleId="92">
    <w:name w:val="正文文本 Char"/>
    <w:link w:val="18"/>
    <w:qFormat/>
    <w:uiPriority w:val="0"/>
    <w:rPr>
      <w:rFonts w:eastAsia="宋体"/>
      <w:b/>
      <w:bCs/>
      <w:kern w:val="2"/>
      <w:sz w:val="24"/>
      <w:szCs w:val="24"/>
      <w:lang w:val="en-US" w:eastAsia="zh-CN" w:bidi="ar-SA"/>
    </w:rPr>
  </w:style>
  <w:style w:type="character" w:customStyle="1" w:styleId="93">
    <w:name w:val="正文文本缩进 2 Char"/>
    <w:link w:val="25"/>
    <w:qFormat/>
    <w:uiPriority w:val="0"/>
    <w:rPr>
      <w:rFonts w:ascii="宋体" w:hAnsi="宋体" w:eastAsia="宋体"/>
      <w:kern w:val="2"/>
      <w:sz w:val="21"/>
      <w:szCs w:val="24"/>
      <w:lang w:val="en-US" w:eastAsia="zh-CN" w:bidi="ar-SA"/>
    </w:rPr>
  </w:style>
  <w:style w:type="character" w:customStyle="1" w:styleId="94">
    <w:name w:val="页眉 Char"/>
    <w:link w:val="28"/>
    <w:qFormat/>
    <w:uiPriority w:val="99"/>
    <w:rPr>
      <w:rFonts w:eastAsia="宋体"/>
      <w:kern w:val="2"/>
      <w:sz w:val="18"/>
      <w:szCs w:val="18"/>
      <w:lang w:val="en-US" w:eastAsia="zh-CN" w:bidi="ar-SA"/>
    </w:rPr>
  </w:style>
  <w:style w:type="character" w:customStyle="1" w:styleId="95">
    <w:name w:val="正文文本缩进 3 Char"/>
    <w:link w:val="33"/>
    <w:qFormat/>
    <w:uiPriority w:val="0"/>
    <w:rPr>
      <w:rFonts w:ascii="宋体" w:eastAsia="宋体"/>
      <w:b/>
      <w:bCs/>
      <w:kern w:val="2"/>
      <w:sz w:val="24"/>
      <w:szCs w:val="24"/>
      <w:lang w:val="en-US" w:eastAsia="zh-CN" w:bidi="ar-SA"/>
    </w:rPr>
  </w:style>
  <w:style w:type="character" w:customStyle="1" w:styleId="96">
    <w:name w:val="正文文本 2 Char"/>
    <w:link w:val="36"/>
    <w:qFormat/>
    <w:uiPriority w:val="0"/>
    <w:rPr>
      <w:rFonts w:eastAsia="宋体"/>
      <w:kern w:val="2"/>
      <w:sz w:val="24"/>
      <w:szCs w:val="24"/>
      <w:lang w:val="en-US" w:eastAsia="zh-CN" w:bidi="ar-SA"/>
    </w:rPr>
  </w:style>
  <w:style w:type="character" w:customStyle="1" w:styleId="97">
    <w:name w:val="页脚 Char"/>
    <w:link w:val="27"/>
    <w:qFormat/>
    <w:uiPriority w:val="0"/>
    <w:rPr>
      <w:rFonts w:eastAsia="宋体"/>
      <w:kern w:val="2"/>
      <w:sz w:val="18"/>
      <w:szCs w:val="18"/>
      <w:lang w:val="en-US" w:eastAsia="zh-CN" w:bidi="ar-SA"/>
    </w:rPr>
  </w:style>
  <w:style w:type="character" w:customStyle="1" w:styleId="98">
    <w:name w:val="正文文本 3 Char"/>
    <w:link w:val="17"/>
    <w:qFormat/>
    <w:uiPriority w:val="0"/>
    <w:rPr>
      <w:rFonts w:eastAsia="宋体"/>
      <w:kern w:val="2"/>
      <w:sz w:val="16"/>
      <w:szCs w:val="16"/>
      <w:lang w:val="en-US" w:eastAsia="zh-CN" w:bidi="ar-SA"/>
    </w:rPr>
  </w:style>
  <w:style w:type="character" w:customStyle="1" w:styleId="99">
    <w:name w:val="批注框文本 Char"/>
    <w:link w:val="26"/>
    <w:semiHidden/>
    <w:qFormat/>
    <w:uiPriority w:val="0"/>
    <w:rPr>
      <w:rFonts w:eastAsia="宋体"/>
      <w:kern w:val="2"/>
      <w:sz w:val="18"/>
      <w:szCs w:val="18"/>
      <w:lang w:val="en-US" w:eastAsia="zh-CN" w:bidi="ar-SA"/>
    </w:rPr>
  </w:style>
  <w:style w:type="paragraph" w:customStyle="1" w:styleId="100">
    <w:name w:val="样式1"/>
    <w:basedOn w:val="40"/>
    <w:qFormat/>
    <w:uiPriority w:val="0"/>
    <w:pPr>
      <w:spacing w:before="120" w:after="120"/>
    </w:pPr>
    <w:rPr>
      <w:rFonts w:eastAsia="黑体"/>
      <w:b w:val="0"/>
      <w:sz w:val="30"/>
      <w:szCs w:val="21"/>
    </w:rPr>
  </w:style>
  <w:style w:type="paragraph" w:customStyle="1" w:styleId="101">
    <w:name w:val="样式2"/>
    <w:basedOn w:val="40"/>
    <w:next w:val="100"/>
    <w:qFormat/>
    <w:uiPriority w:val="0"/>
    <w:pPr>
      <w:spacing w:before="120" w:after="120"/>
    </w:pPr>
    <w:rPr>
      <w:rFonts w:eastAsia="黑体"/>
      <w:b w:val="0"/>
      <w:sz w:val="30"/>
      <w:szCs w:val="30"/>
    </w:rPr>
  </w:style>
  <w:style w:type="character" w:customStyle="1" w:styleId="102">
    <w:name w:val="标题 3 Char Char"/>
    <w:qFormat/>
    <w:uiPriority w:val="0"/>
    <w:rPr>
      <w:rFonts w:eastAsia="宋体"/>
      <w:b/>
      <w:bCs/>
      <w:kern w:val="2"/>
      <w:sz w:val="32"/>
      <w:szCs w:val="32"/>
      <w:lang w:val="en-US" w:eastAsia="zh-CN" w:bidi="ar-SA"/>
    </w:rPr>
  </w:style>
  <w:style w:type="paragraph" w:customStyle="1" w:styleId="103">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4">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5">
    <w:name w:val="--规划正文"/>
    <w:basedOn w:val="1"/>
    <w:qFormat/>
    <w:uiPriority w:val="0"/>
    <w:pPr>
      <w:spacing w:line="360" w:lineRule="auto"/>
      <w:ind w:firstLine="200" w:firstLineChars="200"/>
    </w:pPr>
    <w:rPr>
      <w:szCs w:val="20"/>
    </w:rPr>
  </w:style>
  <w:style w:type="paragraph" w:customStyle="1" w:styleId="106">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7">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08">
    <w:name w:val="样式4"/>
    <w:basedOn w:val="1"/>
    <w:qFormat/>
    <w:uiPriority w:val="0"/>
    <w:pPr>
      <w:tabs>
        <w:tab w:val="left" w:pos="842"/>
      </w:tabs>
      <w:spacing w:line="360" w:lineRule="auto"/>
      <w:ind w:left="842" w:hanging="420"/>
    </w:pPr>
    <w:rPr>
      <w:sz w:val="24"/>
    </w:rPr>
  </w:style>
  <w:style w:type="paragraph" w:customStyle="1" w:styleId="109">
    <w:name w:val="文字"/>
    <w:basedOn w:val="1"/>
    <w:qFormat/>
    <w:uiPriority w:val="0"/>
    <w:pPr>
      <w:tabs>
        <w:tab w:val="left" w:pos="8520"/>
      </w:tabs>
      <w:spacing w:line="312" w:lineRule="auto"/>
      <w:ind w:right="-210" w:firstLine="556"/>
    </w:pPr>
    <w:rPr>
      <w:rFonts w:ascii="宋体"/>
      <w:sz w:val="28"/>
      <w:szCs w:val="20"/>
    </w:rPr>
  </w:style>
  <w:style w:type="paragraph" w:customStyle="1" w:styleId="110">
    <w:name w:val="--规划-表格-居左"/>
    <w:basedOn w:val="105"/>
    <w:qFormat/>
    <w:uiPriority w:val="0"/>
    <w:pPr>
      <w:spacing w:line="240" w:lineRule="auto"/>
      <w:ind w:firstLine="0" w:firstLineChars="0"/>
    </w:pPr>
    <w:rPr>
      <w:sz w:val="20"/>
    </w:rPr>
  </w:style>
  <w:style w:type="paragraph" w:customStyle="1" w:styleId="111">
    <w:name w:val="--规划-表格-居中"/>
    <w:basedOn w:val="105"/>
    <w:qFormat/>
    <w:uiPriority w:val="0"/>
    <w:pPr>
      <w:spacing w:line="240" w:lineRule="auto"/>
      <w:ind w:firstLine="0" w:firstLineChars="0"/>
      <w:jc w:val="center"/>
    </w:pPr>
    <w:rPr>
      <w:sz w:val="20"/>
    </w:rPr>
  </w:style>
  <w:style w:type="paragraph" w:customStyle="1" w:styleId="112">
    <w:name w:val="--编号内缩进"/>
    <w:basedOn w:val="1"/>
    <w:qFormat/>
    <w:uiPriority w:val="0"/>
    <w:pPr>
      <w:spacing w:line="360" w:lineRule="auto"/>
      <w:ind w:left="420" w:firstLine="200" w:firstLineChars="200"/>
    </w:pPr>
    <w:rPr>
      <w:szCs w:val="21"/>
    </w:rPr>
  </w:style>
  <w:style w:type="paragraph" w:customStyle="1" w:styleId="113">
    <w:name w:val="--规划-题注"/>
    <w:basedOn w:val="1"/>
    <w:next w:val="105"/>
    <w:qFormat/>
    <w:uiPriority w:val="0"/>
    <w:pPr>
      <w:spacing w:line="360" w:lineRule="auto"/>
      <w:jc w:val="center"/>
    </w:pPr>
    <w:rPr>
      <w:rFonts w:eastAsia="黑体"/>
    </w:rPr>
  </w:style>
  <w:style w:type="paragraph" w:customStyle="1" w:styleId="114">
    <w:name w:val="--规划-图和表"/>
    <w:next w:val="105"/>
    <w:qFormat/>
    <w:uiPriority w:val="0"/>
    <w:pPr>
      <w:jc w:val="center"/>
    </w:pPr>
    <w:rPr>
      <w:rFonts w:ascii="Times New Roman" w:hAnsi="Times New Roman" w:eastAsia="宋体" w:cs="Times New Roman"/>
      <w:kern w:val="2"/>
      <w:sz w:val="21"/>
      <w:lang w:val="en-US" w:eastAsia="zh-CN" w:bidi="ar-SA"/>
    </w:rPr>
  </w:style>
  <w:style w:type="paragraph" w:customStyle="1" w:styleId="115">
    <w:name w:val="--规划-小标题"/>
    <w:basedOn w:val="1"/>
    <w:next w:val="105"/>
    <w:qFormat/>
    <w:uiPriority w:val="0"/>
    <w:pPr>
      <w:keepNext/>
      <w:keepLines/>
      <w:spacing w:line="360" w:lineRule="auto"/>
      <w:outlineLvl w:val="4"/>
    </w:pPr>
    <w:rPr>
      <w:rFonts w:eastAsia="黑体"/>
    </w:rPr>
  </w:style>
  <w:style w:type="paragraph" w:customStyle="1" w:styleId="116">
    <w:name w:val="--规划正文 Char"/>
    <w:basedOn w:val="1"/>
    <w:qFormat/>
    <w:uiPriority w:val="0"/>
    <w:pPr>
      <w:spacing w:line="360" w:lineRule="auto"/>
      <w:ind w:firstLine="200" w:firstLineChars="200"/>
    </w:pPr>
    <w:rPr>
      <w:sz w:val="24"/>
    </w:rPr>
  </w:style>
  <w:style w:type="paragraph" w:customStyle="1" w:styleId="117">
    <w:name w:val="缺省文本"/>
    <w:basedOn w:val="1"/>
    <w:qFormat/>
    <w:uiPriority w:val="0"/>
    <w:pPr>
      <w:autoSpaceDE w:val="0"/>
      <w:autoSpaceDN w:val="0"/>
      <w:adjustRightInd w:val="0"/>
      <w:jc w:val="left"/>
    </w:pPr>
    <w:rPr>
      <w:kern w:val="0"/>
    </w:rPr>
  </w:style>
  <w:style w:type="paragraph" w:customStyle="1" w:styleId="118">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19">
    <w:name w:val="--规划正文 Char Char"/>
    <w:qFormat/>
    <w:uiPriority w:val="0"/>
    <w:rPr>
      <w:rFonts w:eastAsia="宋体"/>
      <w:kern w:val="2"/>
      <w:sz w:val="24"/>
      <w:szCs w:val="24"/>
      <w:lang w:val="en-US" w:eastAsia="zh-CN" w:bidi="ar-SA"/>
    </w:rPr>
  </w:style>
  <w:style w:type="paragraph" w:customStyle="1" w:styleId="120">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1">
    <w:name w:val="--规划正文 Char1"/>
    <w:qFormat/>
    <w:uiPriority w:val="0"/>
    <w:rPr>
      <w:rFonts w:eastAsia="宋体"/>
      <w:kern w:val="2"/>
      <w:sz w:val="21"/>
      <w:lang w:val="en-US" w:eastAsia="zh-CN" w:bidi="ar-SA"/>
    </w:rPr>
  </w:style>
  <w:style w:type="paragraph" w:customStyle="1" w:styleId="122">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3">
    <w:name w:val="列表项目"/>
    <w:basedOn w:val="1"/>
    <w:qFormat/>
    <w:uiPriority w:val="0"/>
    <w:pPr>
      <w:tabs>
        <w:tab w:val="left" w:pos="420"/>
        <w:tab w:val="left" w:pos="1080"/>
      </w:tabs>
      <w:spacing w:line="288" w:lineRule="auto"/>
      <w:ind w:left="1080" w:hanging="360"/>
    </w:pPr>
    <w:rPr>
      <w:sz w:val="24"/>
      <w:szCs w:val="20"/>
    </w:rPr>
  </w:style>
  <w:style w:type="character" w:customStyle="1" w:styleId="124">
    <w:name w:val="content1"/>
    <w:qFormat/>
    <w:uiPriority w:val="0"/>
    <w:rPr>
      <w:rFonts w:hint="default" w:ascii="??" w:hAnsi="??"/>
      <w:sz w:val="16"/>
      <w:szCs w:val="16"/>
      <w:u w:val="none"/>
    </w:rPr>
  </w:style>
  <w:style w:type="character" w:customStyle="1" w:styleId="125">
    <w:name w:val="unnamed4"/>
    <w:basedOn w:val="46"/>
    <w:qFormat/>
    <w:uiPriority w:val="0"/>
  </w:style>
  <w:style w:type="character" w:customStyle="1" w:styleId="126">
    <w:name w:val="font2"/>
    <w:basedOn w:val="46"/>
    <w:qFormat/>
    <w:uiPriority w:val="0"/>
  </w:style>
  <w:style w:type="character" w:customStyle="1" w:styleId="127">
    <w:name w:val="font41"/>
    <w:qFormat/>
    <w:uiPriority w:val="0"/>
    <w:rPr>
      <w:color w:val="000000"/>
      <w:spacing w:val="260"/>
      <w:sz w:val="18"/>
      <w:szCs w:val="18"/>
      <w:u w:val="none"/>
    </w:rPr>
  </w:style>
  <w:style w:type="paragraph" w:customStyle="1" w:styleId="128">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29">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0">
    <w:name w:val="正文首行缩进 Char"/>
    <w:link w:val="42"/>
    <w:qFormat/>
    <w:uiPriority w:val="0"/>
    <w:rPr>
      <w:rFonts w:eastAsia="宋体"/>
      <w:b/>
      <w:bCs/>
      <w:kern w:val="2"/>
      <w:sz w:val="21"/>
      <w:szCs w:val="24"/>
      <w:lang w:val="en-US" w:eastAsia="zh-CN" w:bidi="ar-SA"/>
    </w:rPr>
  </w:style>
  <w:style w:type="paragraph" w:customStyle="1" w:styleId="13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4">
    <w:name w:val="mode"/>
    <w:basedOn w:val="46"/>
    <w:qFormat/>
    <w:uiPriority w:val="0"/>
  </w:style>
  <w:style w:type="paragraph" w:customStyle="1" w:styleId="135">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36">
    <w:name w:val="unnamed3"/>
    <w:basedOn w:val="46"/>
    <w:qFormat/>
    <w:uiPriority w:val="0"/>
  </w:style>
  <w:style w:type="paragraph" w:customStyle="1" w:styleId="137">
    <w:name w:val="8"/>
    <w:basedOn w:val="1"/>
    <w:next w:val="19"/>
    <w:qFormat/>
    <w:uiPriority w:val="0"/>
    <w:pPr>
      <w:spacing w:after="120"/>
      <w:ind w:left="420" w:leftChars="200"/>
    </w:pPr>
  </w:style>
  <w:style w:type="paragraph" w:customStyle="1" w:styleId="138">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39">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0">
    <w:name w:val="5"/>
    <w:basedOn w:val="1"/>
    <w:qFormat/>
    <w:uiPriority w:val="0"/>
    <w:pPr>
      <w:autoSpaceDE w:val="0"/>
      <w:autoSpaceDN w:val="0"/>
      <w:adjustRightInd w:val="0"/>
      <w:jc w:val="left"/>
    </w:pPr>
    <w:rPr>
      <w:rFonts w:ascii="宋体"/>
      <w:b/>
      <w:bCs/>
      <w:kern w:val="0"/>
      <w:sz w:val="18"/>
      <w:szCs w:val="18"/>
    </w:rPr>
  </w:style>
  <w:style w:type="paragraph" w:customStyle="1" w:styleId="141">
    <w:name w:val="6"/>
    <w:basedOn w:val="140"/>
    <w:qFormat/>
    <w:uiPriority w:val="0"/>
    <w:pPr>
      <w:spacing w:line="270" w:lineRule="atLeast"/>
      <w:jc w:val="both"/>
    </w:pPr>
    <w:rPr>
      <w:b w:val="0"/>
      <w:bCs w:val="0"/>
    </w:rPr>
  </w:style>
  <w:style w:type="paragraph" w:customStyle="1" w:styleId="142">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3">
    <w:name w:val="姜文清定义的正文"/>
    <w:basedOn w:val="1"/>
    <w:qFormat/>
    <w:uiPriority w:val="0"/>
    <w:pPr>
      <w:spacing w:line="240" w:lineRule="atLeast"/>
      <w:ind w:firstLine="567"/>
    </w:pPr>
    <w:rPr>
      <w:szCs w:val="20"/>
    </w:rPr>
  </w:style>
  <w:style w:type="paragraph" w:customStyle="1" w:styleId="144">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5">
    <w:name w:val="CM2"/>
    <w:basedOn w:val="144"/>
    <w:next w:val="144"/>
    <w:qFormat/>
    <w:uiPriority w:val="0"/>
    <w:pPr>
      <w:spacing w:line="200" w:lineRule="atLeast"/>
    </w:pPr>
    <w:rPr>
      <w:rFonts w:ascii="Arial" w:hAnsi="Arial" w:eastAsia="宋体" w:cs="Times New Roman"/>
      <w:color w:val="auto"/>
    </w:rPr>
  </w:style>
  <w:style w:type="paragraph" w:customStyle="1" w:styleId="146">
    <w:name w:val="Normal Paragraph"/>
    <w:basedOn w:val="1"/>
    <w:qFormat/>
    <w:uiPriority w:val="0"/>
    <w:pPr>
      <w:widowControl/>
      <w:spacing w:before="120" w:line="360" w:lineRule="auto"/>
      <w:ind w:firstLine="425"/>
    </w:pPr>
    <w:rPr>
      <w:kern w:val="0"/>
      <w:sz w:val="24"/>
    </w:rPr>
  </w:style>
  <w:style w:type="character" w:customStyle="1" w:styleId="147">
    <w:name w:val="blue"/>
    <w:basedOn w:val="46"/>
    <w:qFormat/>
    <w:uiPriority w:val="0"/>
  </w:style>
  <w:style w:type="paragraph" w:customStyle="1" w:styleId="148">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49">
    <w:name w:val="font"/>
    <w:basedOn w:val="46"/>
    <w:qFormat/>
    <w:uiPriority w:val="0"/>
  </w:style>
  <w:style w:type="character" w:customStyle="1" w:styleId="150">
    <w:name w:val="font11"/>
    <w:uiPriority w:val="0"/>
    <w:rPr>
      <w:rFonts w:hint="default" w:ascii="ˎ̥" w:hAnsi="ˎ̥"/>
    </w:rPr>
  </w:style>
  <w:style w:type="paragraph" w:customStyle="1" w:styleId="151">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2">
    <w:name w:val="proddescription"/>
    <w:basedOn w:val="46"/>
    <w:qFormat/>
    <w:uiPriority w:val="0"/>
  </w:style>
  <w:style w:type="character" w:customStyle="1" w:styleId="153">
    <w:name w:val="prodheadlines"/>
    <w:basedOn w:val="46"/>
    <w:qFormat/>
    <w:uiPriority w:val="0"/>
  </w:style>
  <w:style w:type="character" w:customStyle="1" w:styleId="154">
    <w:name w:val="text"/>
    <w:basedOn w:val="46"/>
    <w:qFormat/>
    <w:uiPriority w:val="0"/>
  </w:style>
  <w:style w:type="paragraph" w:customStyle="1" w:styleId="155">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57">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58">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59">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0">
    <w:name w:val="段落正文"/>
    <w:basedOn w:val="22"/>
    <w:qFormat/>
    <w:uiPriority w:val="0"/>
    <w:pPr>
      <w:ind w:firstLine="560" w:firstLineChars="200"/>
    </w:pPr>
    <w:rPr>
      <w:sz w:val="28"/>
    </w:rPr>
  </w:style>
  <w:style w:type="character" w:customStyle="1" w:styleId="161">
    <w:name w:val="gray6"/>
    <w:basedOn w:val="46"/>
    <w:qFormat/>
    <w:uiPriority w:val="0"/>
  </w:style>
  <w:style w:type="character" w:customStyle="1" w:styleId="162">
    <w:name w:val="style9"/>
    <w:basedOn w:val="46"/>
    <w:qFormat/>
    <w:uiPriority w:val="0"/>
  </w:style>
  <w:style w:type="paragraph" w:customStyle="1" w:styleId="163">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64">
    <w:name w:val="grame"/>
    <w:basedOn w:val="46"/>
    <w:qFormat/>
    <w:uiPriority w:val="0"/>
  </w:style>
  <w:style w:type="paragraph" w:customStyle="1" w:styleId="165">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6">
    <w:name w:val="Char1"/>
    <w:basedOn w:val="1"/>
    <w:qFormat/>
    <w:uiPriority w:val="0"/>
    <w:pPr>
      <w:jc w:val="left"/>
    </w:pPr>
    <w:rPr>
      <w:rFonts w:ascii="Tahoma" w:hAnsi="Tahoma"/>
      <w:sz w:val="24"/>
      <w:szCs w:val="20"/>
    </w:rPr>
  </w:style>
  <w:style w:type="paragraph" w:customStyle="1" w:styleId="167">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68">
    <w:name w:val="Char Char Char Char Char Char Char Char Char Char Char Char Char Char Char Char Char Char Char Char Char Char"/>
    <w:basedOn w:val="1"/>
    <w:uiPriority w:val="0"/>
    <w:pPr>
      <w:widowControl/>
      <w:spacing w:line="400" w:lineRule="exact"/>
      <w:jc w:val="center"/>
    </w:pPr>
    <w:rPr>
      <w:rFonts w:ascii="Verdana" w:hAnsi="Verdana"/>
      <w:kern w:val="0"/>
      <w:szCs w:val="20"/>
      <w:lang w:eastAsia="en-US"/>
    </w:rPr>
  </w:style>
  <w:style w:type="paragraph" w:customStyle="1" w:styleId="169">
    <w:name w:val="font0"/>
    <w:basedOn w:val="1"/>
    <w:uiPriority w:val="0"/>
    <w:pPr>
      <w:widowControl/>
      <w:spacing w:before="100" w:beforeAutospacing="1" w:after="100" w:afterAutospacing="1"/>
      <w:jc w:val="left"/>
    </w:pPr>
    <w:rPr>
      <w:rFonts w:hint="eastAsia" w:ascii="宋体" w:hAnsi="宋体"/>
      <w:kern w:val="0"/>
      <w:sz w:val="24"/>
    </w:rPr>
  </w:style>
  <w:style w:type="paragraph" w:customStyle="1" w:styleId="170">
    <w:name w:val="font5"/>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171">
    <w:name w:val="font6"/>
    <w:basedOn w:val="1"/>
    <w:uiPriority w:val="0"/>
    <w:pPr>
      <w:widowControl/>
      <w:spacing w:before="100" w:beforeAutospacing="1" w:after="100" w:afterAutospacing="1"/>
      <w:jc w:val="left"/>
    </w:pPr>
    <w:rPr>
      <w:kern w:val="0"/>
      <w:sz w:val="24"/>
    </w:rPr>
  </w:style>
  <w:style w:type="paragraph" w:customStyle="1" w:styleId="172">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3">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4">
    <w:name w:val="表格字"/>
    <w:basedOn w:val="1"/>
    <w:uiPriority w:val="0"/>
    <w:pPr>
      <w:adjustRightInd w:val="0"/>
      <w:jc w:val="center"/>
    </w:pPr>
    <w:rPr>
      <w:rFonts w:ascii="宋体"/>
      <w:sz w:val="24"/>
      <w:szCs w:val="20"/>
    </w:rPr>
  </w:style>
  <w:style w:type="character" w:customStyle="1" w:styleId="175">
    <w:name w:val="样式 小三 加粗"/>
    <w:uiPriority w:val="0"/>
    <w:rPr>
      <w:rFonts w:eastAsia="宋体"/>
      <w:b/>
      <w:bCs/>
      <w:sz w:val="32"/>
    </w:rPr>
  </w:style>
  <w:style w:type="paragraph" w:customStyle="1" w:styleId="176">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7">
    <w:name w:val="qw"/>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78">
    <w:name w:val="Char Char Char"/>
    <w:basedOn w:val="1"/>
    <w:uiPriority w:val="0"/>
    <w:rPr>
      <w:rFonts w:ascii="Tahoma" w:hAnsi="Tahoma"/>
      <w:sz w:val="24"/>
      <w:szCs w:val="20"/>
    </w:rPr>
  </w:style>
  <w:style w:type="paragraph" w:customStyle="1" w:styleId="179">
    <w:name w:val="Char2"/>
    <w:basedOn w:val="1"/>
    <w:uiPriority w:val="0"/>
    <w:pPr>
      <w:widowControl/>
      <w:spacing w:after="160" w:line="240" w:lineRule="exact"/>
      <w:jc w:val="left"/>
    </w:pPr>
    <w:rPr>
      <w:rFonts w:ascii="Verdana" w:hAnsi="Verdana" w:eastAsia="仿宋_GB2312"/>
      <w:kern w:val="0"/>
      <w:sz w:val="24"/>
      <w:szCs w:val="20"/>
      <w:lang w:eastAsia="en-US"/>
    </w:rPr>
  </w:style>
  <w:style w:type="character" w:customStyle="1" w:styleId="180">
    <w:name w:val="info4"/>
    <w:basedOn w:val="46"/>
    <w:uiPriority w:val="0"/>
  </w:style>
  <w:style w:type="paragraph" w:customStyle="1" w:styleId="181">
    <w:name w:val="缩进正文"/>
    <w:basedOn w:val="1"/>
    <w:link w:val="182"/>
    <w:uiPriority w:val="0"/>
    <w:pPr>
      <w:ind w:firstLine="560" w:firstLineChars="200"/>
    </w:pPr>
    <w:rPr>
      <w:rFonts w:eastAsia="仿宋_GB2312" w:cs="宋体"/>
      <w:sz w:val="28"/>
      <w:szCs w:val="20"/>
    </w:rPr>
  </w:style>
  <w:style w:type="character" w:customStyle="1" w:styleId="182">
    <w:name w:val="缩进正文 Char"/>
    <w:link w:val="181"/>
    <w:uiPriority w:val="0"/>
    <w:rPr>
      <w:rFonts w:eastAsia="仿宋_GB2312" w:cs="宋体"/>
      <w:kern w:val="2"/>
      <w:sz w:val="28"/>
      <w:lang w:val="en-US" w:eastAsia="zh-CN" w:bidi="ar-SA"/>
    </w:rPr>
  </w:style>
  <w:style w:type="paragraph" w:customStyle="1" w:styleId="183">
    <w:name w:val="列出段落1"/>
    <w:basedOn w:val="1"/>
    <w:qFormat/>
    <w:uiPriority w:val="0"/>
    <w:pPr>
      <w:ind w:firstLine="420" w:firstLineChars="200"/>
    </w:pPr>
    <w:rPr>
      <w:rFonts w:ascii="Calibri" w:hAnsi="Calibri" w:cs="Calibri"/>
      <w:szCs w:val="21"/>
    </w:rPr>
  </w:style>
  <w:style w:type="character" w:customStyle="1" w:styleId="184">
    <w:name w:val="批注文字 Char"/>
    <w:basedOn w:val="46"/>
    <w:link w:val="16"/>
    <w:semiHidden/>
    <w:uiPriority w:val="0"/>
    <w:rPr>
      <w:rFonts w:ascii="宋体"/>
      <w:sz w:val="34"/>
    </w:rPr>
  </w:style>
  <w:style w:type="character" w:customStyle="1" w:styleId="185">
    <w:name w:val="批注主题 Char"/>
    <w:basedOn w:val="184"/>
    <w:link w:val="41"/>
    <w:uiPriority w:val="0"/>
    <w:rPr>
      <w:rFonts w:ascii="宋体"/>
      <w:sz w:val="34"/>
    </w:rPr>
  </w:style>
  <w:style w:type="paragraph" w:customStyle="1" w:styleId="186">
    <w:name w:val="评价"/>
    <w:basedOn w:val="1"/>
    <w:uiPriority w:val="0"/>
    <w:pPr>
      <w:spacing w:afterLines="20"/>
      <w:ind w:firstLine="1446" w:firstLineChars="200"/>
    </w:pPr>
    <w:rPr>
      <w:rFonts w:ascii="Calibri" w:hAnsi="Calibri"/>
      <w:sz w:val="24"/>
    </w:rPr>
  </w:style>
  <w:style w:type="paragraph" w:customStyle="1" w:styleId="187">
    <w:name w:val="修订1"/>
    <w:hidden/>
    <w:semiHidden/>
    <w:uiPriority w:val="99"/>
    <w:rPr>
      <w:rFonts w:ascii="Times New Roman" w:hAnsi="Times New Roman" w:eastAsia="宋体" w:cs="Times New Roman"/>
      <w:kern w:val="2"/>
      <w:sz w:val="21"/>
      <w:szCs w:val="24"/>
      <w:lang w:val="en-US" w:eastAsia="zh-CN" w:bidi="ar-SA"/>
    </w:rPr>
  </w:style>
  <w:style w:type="character" w:customStyle="1" w:styleId="188">
    <w:name w:val="alt-edited1"/>
    <w:uiPriority w:val="0"/>
    <w:rPr>
      <w:color w:val="4D90F0"/>
    </w:rPr>
  </w:style>
  <w:style w:type="paragraph" w:customStyle="1" w:styleId="189">
    <w:name w:val="toc 14"/>
    <w:next w:val="1"/>
    <w:uiPriority w:val="0"/>
    <w:pPr>
      <w:wordWrap w:val="0"/>
      <w:jc w:val="both"/>
    </w:pPr>
    <w:rPr>
      <w:rFonts w:ascii="Calibri" w:hAnsi="Calibri" w:eastAsia="宋体" w:cs="Times New Roman"/>
      <w:sz w:val="21"/>
      <w:lang w:val="en-US" w:eastAsia="zh-CN" w:bidi="ar-SA"/>
    </w:rPr>
  </w:style>
  <w:style w:type="character" w:customStyle="1" w:styleId="190">
    <w:name w:val="文档结构图 Char1"/>
    <w:semiHidden/>
    <w:uiPriority w:val="0"/>
    <w:rPr>
      <w:sz w:val="20"/>
    </w:rPr>
  </w:style>
  <w:style w:type="character" w:customStyle="1" w:styleId="191">
    <w:name w:val="文档结构图 Char"/>
    <w:semiHidden/>
    <w:uiPriority w:val="0"/>
    <w:rPr>
      <w:sz w:val="20"/>
    </w:rPr>
  </w:style>
  <w:style w:type="character" w:customStyle="1" w:styleId="192">
    <w:name w:val="short_text"/>
    <w:basedOn w:val="46"/>
    <w:uiPriority w:val="0"/>
    <w:rPr>
      <w:sz w:val="20"/>
    </w:rPr>
  </w:style>
  <w:style w:type="character" w:customStyle="1" w:styleId="193">
    <w:name w:val="标题 Char1"/>
    <w:uiPriority w:val="0"/>
    <w:rPr>
      <w:b/>
      <w:sz w:val="20"/>
    </w:rPr>
  </w:style>
  <w:style w:type="character" w:customStyle="1" w:styleId="194">
    <w:name w:val="正文文本缩进 3 Char1"/>
    <w:semiHidden/>
    <w:uiPriority w:val="0"/>
    <w:rPr>
      <w:sz w:val="20"/>
    </w:rPr>
  </w:style>
  <w:style w:type="character" w:customStyle="1" w:styleId="195">
    <w:name w:val="font21"/>
    <w:uiPriority w:val="0"/>
    <w:rPr>
      <w:color w:val="FF0000"/>
      <w:sz w:val="20"/>
      <w:u w:val="none"/>
    </w:rPr>
  </w:style>
  <w:style w:type="character" w:customStyle="1" w:styleId="196">
    <w:name w:val="不明显强调1"/>
    <w:qFormat/>
    <w:uiPriority w:val="0"/>
    <w:rPr>
      <w:i/>
      <w:sz w:val="20"/>
    </w:rPr>
  </w:style>
  <w:style w:type="character" w:customStyle="1" w:styleId="197">
    <w:name w:val="font71"/>
    <w:qFormat/>
    <w:uiPriority w:val="0"/>
    <w:rPr>
      <w:sz w:val="20"/>
      <w:u w:val="none"/>
    </w:rPr>
  </w:style>
  <w:style w:type="character" w:customStyle="1" w:styleId="198">
    <w:name w:val="页眉 Char1"/>
    <w:semiHidden/>
    <w:uiPriority w:val="0"/>
    <w:rPr>
      <w:sz w:val="20"/>
    </w:rPr>
  </w:style>
  <w:style w:type="character" w:customStyle="1" w:styleId="199">
    <w:name w:val="正文文本缩进 2 Char1"/>
    <w:semiHidden/>
    <w:uiPriority w:val="0"/>
    <w:rPr>
      <w:sz w:val="20"/>
    </w:rPr>
  </w:style>
  <w:style w:type="character" w:customStyle="1" w:styleId="200">
    <w:name w:val="font61"/>
    <w:uiPriority w:val="0"/>
    <w:rPr>
      <w:sz w:val="20"/>
      <w:u w:val="none"/>
    </w:rPr>
  </w:style>
  <w:style w:type="character" w:customStyle="1" w:styleId="201">
    <w:name w:val="纯文本 Char1"/>
    <w:semiHidden/>
    <w:uiPriority w:val="0"/>
    <w:rPr>
      <w:sz w:val="20"/>
    </w:rPr>
  </w:style>
  <w:style w:type="character" w:customStyle="1" w:styleId="202">
    <w:name w:val="正文文本 3 Char1"/>
    <w:semiHidden/>
    <w:uiPriority w:val="0"/>
    <w:rPr>
      <w:sz w:val="20"/>
    </w:rPr>
  </w:style>
  <w:style w:type="character" w:customStyle="1" w:styleId="203">
    <w:name w:val="正文文本缩进 Char1"/>
    <w:semiHidden/>
    <w:uiPriority w:val="0"/>
    <w:rPr>
      <w:sz w:val="20"/>
    </w:rPr>
  </w:style>
  <w:style w:type="character" w:customStyle="1" w:styleId="204">
    <w:name w:val="明显参考1"/>
    <w:qFormat/>
    <w:uiPriority w:val="0"/>
    <w:rPr>
      <w:b/>
      <w:sz w:val="20"/>
    </w:rPr>
  </w:style>
  <w:style w:type="character" w:customStyle="1" w:styleId="205">
    <w:name w:val="apple-converted-space"/>
    <w:uiPriority w:val="0"/>
    <w:rPr>
      <w:sz w:val="20"/>
    </w:rPr>
  </w:style>
  <w:style w:type="character" w:customStyle="1" w:styleId="206">
    <w:name w:val="书籍标题1"/>
    <w:qFormat/>
    <w:uiPriority w:val="0"/>
    <w:rPr>
      <w:b/>
      <w:i/>
      <w:sz w:val="20"/>
    </w:rPr>
  </w:style>
  <w:style w:type="character" w:customStyle="1" w:styleId="207">
    <w:name w:val="long_text"/>
    <w:uiPriority w:val="0"/>
    <w:rPr>
      <w:sz w:val="20"/>
    </w:rPr>
  </w:style>
  <w:style w:type="character" w:customStyle="1" w:styleId="208">
    <w:name w:val="日期 Char1"/>
    <w:semiHidden/>
    <w:uiPriority w:val="0"/>
    <w:rPr>
      <w:sz w:val="20"/>
    </w:rPr>
  </w:style>
  <w:style w:type="character" w:customStyle="1" w:styleId="209">
    <w:name w:val="批注文字 Char1"/>
    <w:semiHidden/>
    <w:uiPriority w:val="0"/>
    <w:rPr>
      <w:sz w:val="20"/>
    </w:rPr>
  </w:style>
  <w:style w:type="character" w:customStyle="1" w:styleId="210">
    <w:name w:val="明显强调1"/>
    <w:qFormat/>
    <w:uiPriority w:val="0"/>
    <w:rPr>
      <w:i/>
      <w:sz w:val="20"/>
    </w:rPr>
  </w:style>
  <w:style w:type="character" w:customStyle="1" w:styleId="211">
    <w:name w:val="16"/>
    <w:uiPriority w:val="0"/>
    <w:rPr>
      <w:b/>
      <w:color w:val="FF0356"/>
      <w:sz w:val="20"/>
    </w:rPr>
  </w:style>
  <w:style w:type="character" w:customStyle="1" w:styleId="212">
    <w:name w:val="批注主题 Char1"/>
    <w:semiHidden/>
    <w:uiPriority w:val="0"/>
    <w:rPr>
      <w:b/>
      <w:sz w:val="20"/>
    </w:rPr>
  </w:style>
  <w:style w:type="character" w:customStyle="1" w:styleId="213">
    <w:name w:val="正文文本 2 Char1"/>
    <w:semiHidden/>
    <w:uiPriority w:val="0"/>
    <w:rPr>
      <w:sz w:val="20"/>
    </w:rPr>
  </w:style>
  <w:style w:type="character" w:customStyle="1" w:styleId="214">
    <w:name w:val="font31"/>
    <w:uiPriority w:val="0"/>
    <w:rPr>
      <w:color w:val="FF0000"/>
      <w:sz w:val="20"/>
      <w:u w:val="none"/>
      <w:vertAlign w:val="superscript"/>
    </w:rPr>
  </w:style>
  <w:style w:type="character" w:customStyle="1" w:styleId="215">
    <w:name w:val="不明显参考1"/>
    <w:qFormat/>
    <w:uiPriority w:val="0"/>
    <w:rPr>
      <w:sz w:val="20"/>
    </w:rPr>
  </w:style>
  <w:style w:type="character" w:customStyle="1" w:styleId="216">
    <w:name w:val="HTML 预设格式 Char1"/>
    <w:semiHidden/>
    <w:uiPriority w:val="0"/>
    <w:rPr>
      <w:sz w:val="20"/>
    </w:rPr>
  </w:style>
  <w:style w:type="character" w:customStyle="1" w:styleId="217">
    <w:name w:val="font01"/>
    <w:uiPriority w:val="0"/>
    <w:rPr>
      <w:color w:val="FF0000"/>
      <w:sz w:val="20"/>
      <w:u w:val="none"/>
      <w:vertAlign w:val="superscript"/>
    </w:rPr>
  </w:style>
  <w:style w:type="character" w:customStyle="1" w:styleId="218">
    <w:name w:val="页脚 Char1"/>
    <w:semiHidden/>
    <w:uiPriority w:val="0"/>
    <w:rPr>
      <w:sz w:val="20"/>
    </w:rPr>
  </w:style>
  <w:style w:type="character" w:customStyle="1" w:styleId="219">
    <w:name w:val="批注框文本 Char1"/>
    <w:semiHidden/>
    <w:uiPriority w:val="0"/>
    <w:rPr>
      <w:sz w:val="20"/>
    </w:rPr>
  </w:style>
  <w:style w:type="paragraph" w:customStyle="1" w:styleId="220">
    <w:name w:val="列出段落2"/>
    <w:basedOn w:val="1"/>
    <w:next w:val="221"/>
    <w:uiPriority w:val="0"/>
    <w:pPr>
      <w:ind w:firstLine="420"/>
    </w:pPr>
    <w:rPr>
      <w:rFonts w:hAnsi="Calibri"/>
      <w:kern w:val="0"/>
      <w:szCs w:val="20"/>
    </w:rPr>
  </w:style>
  <w:style w:type="paragraph" w:customStyle="1" w:styleId="221">
    <w:name w:val="toc 814"/>
    <w:next w:val="1"/>
    <w:uiPriority w:val="0"/>
    <w:pPr>
      <w:wordWrap w:val="0"/>
      <w:ind w:left="2975"/>
      <w:jc w:val="both"/>
    </w:pPr>
    <w:rPr>
      <w:rFonts w:ascii="Calibri" w:hAnsi="Calibri" w:eastAsia="宋体" w:cs="Times New Roman"/>
      <w:sz w:val="21"/>
      <w:lang w:val="en-US" w:eastAsia="zh-CN" w:bidi="ar-SA"/>
    </w:rPr>
  </w:style>
  <w:style w:type="paragraph" w:customStyle="1" w:styleId="222">
    <w:name w:val="toc 62"/>
    <w:next w:val="1"/>
    <w:uiPriority w:val="0"/>
    <w:pPr>
      <w:wordWrap w:val="0"/>
      <w:ind w:left="2125"/>
      <w:jc w:val="both"/>
    </w:pPr>
    <w:rPr>
      <w:rFonts w:ascii="Calibri" w:hAnsi="Calibri" w:eastAsia="宋体" w:cs="Times New Roman"/>
      <w:sz w:val="21"/>
      <w:lang w:val="en-US" w:eastAsia="zh-CN" w:bidi="ar-SA"/>
    </w:rPr>
  </w:style>
  <w:style w:type="paragraph" w:customStyle="1" w:styleId="223">
    <w:name w:val="toc 414"/>
    <w:next w:val="1"/>
    <w:uiPriority w:val="0"/>
    <w:pPr>
      <w:wordWrap w:val="0"/>
      <w:ind w:left="1275"/>
      <w:jc w:val="both"/>
    </w:pPr>
    <w:rPr>
      <w:rFonts w:ascii="Calibri" w:hAnsi="Calibri" w:eastAsia="宋体" w:cs="Times New Roman"/>
      <w:sz w:val="21"/>
      <w:lang w:val="en-US" w:eastAsia="zh-CN" w:bidi="ar-SA"/>
    </w:rPr>
  </w:style>
  <w:style w:type="paragraph" w:customStyle="1" w:styleId="224">
    <w:name w:val="toc 411"/>
    <w:next w:val="1"/>
    <w:uiPriority w:val="0"/>
    <w:pPr>
      <w:wordWrap w:val="0"/>
      <w:ind w:left="1275"/>
      <w:jc w:val="both"/>
    </w:pPr>
    <w:rPr>
      <w:rFonts w:ascii="Calibri" w:hAnsi="Calibri" w:eastAsia="宋体" w:cs="Times New Roman"/>
      <w:sz w:val="21"/>
      <w:lang w:val="en-US" w:eastAsia="zh-CN" w:bidi="ar-SA"/>
    </w:rPr>
  </w:style>
  <w:style w:type="paragraph" w:customStyle="1" w:styleId="225">
    <w:name w:val="xl86"/>
    <w:basedOn w:val="1"/>
    <w:next w:val="226"/>
    <w:uiPriority w:val="0"/>
    <w:pPr>
      <w:widowControl/>
      <w:shd w:val="clear" w:color="000000" w:fill="FFFFFF"/>
      <w:spacing w:before="280" w:after="280"/>
      <w:jc w:val="center"/>
    </w:pPr>
    <w:rPr>
      <w:rFonts w:ascii="宋体" w:hAnsi="Calibri"/>
      <w:kern w:val="0"/>
      <w:sz w:val="20"/>
      <w:szCs w:val="20"/>
    </w:rPr>
  </w:style>
  <w:style w:type="paragraph" w:customStyle="1" w:styleId="226">
    <w:name w:val="toc 515"/>
    <w:next w:val="1"/>
    <w:uiPriority w:val="0"/>
    <w:pPr>
      <w:wordWrap w:val="0"/>
      <w:ind w:left="1700"/>
      <w:jc w:val="both"/>
    </w:pPr>
    <w:rPr>
      <w:rFonts w:ascii="Calibri" w:hAnsi="Calibri" w:eastAsia="宋体" w:cs="Times New Roman"/>
      <w:sz w:val="21"/>
      <w:lang w:val="en-US" w:eastAsia="zh-CN" w:bidi="ar-SA"/>
    </w:rPr>
  </w:style>
  <w:style w:type="paragraph" w:customStyle="1" w:styleId="227">
    <w:name w:val="TOC Heading4"/>
    <w:next w:val="1"/>
    <w:uiPriority w:val="0"/>
    <w:pPr>
      <w:wordWrap w:val="0"/>
    </w:pPr>
    <w:rPr>
      <w:rFonts w:ascii="Calibri" w:hAnsi="Calibri" w:eastAsia="宋体" w:cs="Times New Roman"/>
      <w:sz w:val="32"/>
      <w:lang w:val="en-US" w:eastAsia="zh-CN" w:bidi="ar-SA"/>
    </w:rPr>
  </w:style>
  <w:style w:type="paragraph" w:customStyle="1" w:styleId="228">
    <w:name w:val="toc 15"/>
    <w:next w:val="1"/>
    <w:uiPriority w:val="0"/>
    <w:pPr>
      <w:wordWrap w:val="0"/>
      <w:jc w:val="both"/>
    </w:pPr>
    <w:rPr>
      <w:rFonts w:ascii="Calibri" w:hAnsi="Calibri" w:eastAsia="宋体" w:cs="Times New Roman"/>
      <w:sz w:val="21"/>
      <w:lang w:val="en-US" w:eastAsia="zh-CN" w:bidi="ar-SA"/>
    </w:rPr>
  </w:style>
  <w:style w:type="paragraph" w:customStyle="1" w:styleId="229">
    <w:name w:val="TOC Heading2"/>
    <w:next w:val="1"/>
    <w:uiPriority w:val="0"/>
    <w:pPr>
      <w:wordWrap w:val="0"/>
    </w:pPr>
    <w:rPr>
      <w:rFonts w:ascii="Calibri" w:hAnsi="Calibri" w:eastAsia="宋体" w:cs="Times New Roman"/>
      <w:sz w:val="32"/>
      <w:lang w:val="en-US" w:eastAsia="zh-CN" w:bidi="ar-SA"/>
    </w:rPr>
  </w:style>
  <w:style w:type="paragraph" w:customStyle="1" w:styleId="230">
    <w:name w:val="TOC Heading1"/>
    <w:next w:val="1"/>
    <w:uiPriority w:val="0"/>
    <w:pPr>
      <w:wordWrap w:val="0"/>
    </w:pPr>
    <w:rPr>
      <w:rFonts w:ascii="Calibri" w:hAnsi="Calibri" w:eastAsia="宋体" w:cs="Times New Roman"/>
      <w:sz w:val="32"/>
      <w:lang w:val="en-US" w:eastAsia="zh-CN" w:bidi="ar-SA"/>
    </w:rPr>
  </w:style>
  <w:style w:type="paragraph" w:customStyle="1" w:styleId="231">
    <w:name w:val="toc 73"/>
    <w:next w:val="1"/>
    <w:uiPriority w:val="0"/>
    <w:pPr>
      <w:wordWrap w:val="0"/>
      <w:ind w:left="2550"/>
      <w:jc w:val="both"/>
    </w:pPr>
    <w:rPr>
      <w:rFonts w:ascii="Calibri" w:hAnsi="Calibri" w:eastAsia="宋体" w:cs="Times New Roman"/>
      <w:sz w:val="21"/>
      <w:lang w:val="en-US" w:eastAsia="zh-CN" w:bidi="ar-SA"/>
    </w:rPr>
  </w:style>
  <w:style w:type="paragraph" w:customStyle="1" w:styleId="232">
    <w:name w:val="font7"/>
    <w:basedOn w:val="1"/>
    <w:next w:val="233"/>
    <w:uiPriority w:val="0"/>
    <w:pPr>
      <w:widowControl/>
      <w:spacing w:before="280" w:after="280"/>
    </w:pPr>
    <w:rPr>
      <w:rFonts w:ascii="Arial" w:hAnsi="Calibri"/>
      <w:kern w:val="0"/>
      <w:sz w:val="18"/>
      <w:szCs w:val="20"/>
    </w:rPr>
  </w:style>
  <w:style w:type="paragraph" w:customStyle="1" w:styleId="233">
    <w:name w:val="toc 810"/>
    <w:next w:val="1"/>
    <w:uiPriority w:val="0"/>
    <w:pPr>
      <w:wordWrap w:val="0"/>
      <w:ind w:left="2975"/>
      <w:jc w:val="both"/>
    </w:pPr>
    <w:rPr>
      <w:rFonts w:ascii="Calibri" w:hAnsi="Calibri" w:eastAsia="宋体" w:cs="Times New Roman"/>
      <w:sz w:val="21"/>
      <w:lang w:val="en-US" w:eastAsia="zh-CN" w:bidi="ar-SA"/>
    </w:rPr>
  </w:style>
  <w:style w:type="paragraph" w:customStyle="1" w:styleId="234">
    <w:name w:val="xl113"/>
    <w:basedOn w:val="1"/>
    <w:next w:val="235"/>
    <w:uiPriority w:val="0"/>
    <w:pPr>
      <w:widowControl/>
      <w:shd w:val="clear" w:color="000000" w:fill="FFFFFF"/>
      <w:spacing w:before="280" w:after="280"/>
      <w:jc w:val="center"/>
    </w:pPr>
    <w:rPr>
      <w:rFonts w:ascii="宋体" w:hAnsi="Calibri"/>
      <w:b/>
      <w:kern w:val="0"/>
      <w:sz w:val="20"/>
      <w:szCs w:val="20"/>
    </w:rPr>
  </w:style>
  <w:style w:type="paragraph" w:customStyle="1" w:styleId="235">
    <w:name w:val="TOC Heading10"/>
    <w:next w:val="1"/>
    <w:uiPriority w:val="0"/>
    <w:pPr>
      <w:wordWrap w:val="0"/>
    </w:pPr>
    <w:rPr>
      <w:rFonts w:ascii="Calibri" w:hAnsi="Calibri" w:eastAsia="宋体" w:cs="Times New Roman"/>
      <w:sz w:val="32"/>
      <w:lang w:val="en-US" w:eastAsia="zh-CN" w:bidi="ar-SA"/>
    </w:rPr>
  </w:style>
  <w:style w:type="paragraph" w:customStyle="1" w:styleId="236">
    <w:name w:val="toc 89"/>
    <w:next w:val="1"/>
    <w:uiPriority w:val="0"/>
    <w:pPr>
      <w:wordWrap w:val="0"/>
      <w:ind w:left="2975"/>
      <w:jc w:val="both"/>
    </w:pPr>
    <w:rPr>
      <w:rFonts w:ascii="Calibri" w:hAnsi="Calibri" w:eastAsia="宋体" w:cs="Times New Roman"/>
      <w:sz w:val="21"/>
      <w:lang w:val="en-US" w:eastAsia="zh-CN" w:bidi="ar-SA"/>
    </w:rPr>
  </w:style>
  <w:style w:type="paragraph" w:customStyle="1" w:styleId="237">
    <w:name w:val="xl73"/>
    <w:basedOn w:val="1"/>
    <w:next w:val="238"/>
    <w:uiPriority w:val="0"/>
    <w:pPr>
      <w:widowControl/>
      <w:shd w:val="clear" w:color="000000" w:fill="FFFFFF"/>
      <w:spacing w:before="280" w:after="280"/>
      <w:jc w:val="center"/>
    </w:pPr>
    <w:rPr>
      <w:rFonts w:ascii="宋体" w:hAnsi="Calibri"/>
      <w:kern w:val="0"/>
      <w:sz w:val="20"/>
      <w:szCs w:val="20"/>
    </w:rPr>
  </w:style>
  <w:style w:type="paragraph" w:customStyle="1" w:styleId="238">
    <w:name w:val="toc 613"/>
    <w:next w:val="1"/>
    <w:uiPriority w:val="0"/>
    <w:pPr>
      <w:wordWrap w:val="0"/>
      <w:ind w:left="2125"/>
      <w:jc w:val="both"/>
    </w:pPr>
    <w:rPr>
      <w:rFonts w:ascii="Calibri" w:hAnsi="Calibri" w:eastAsia="宋体" w:cs="Times New Roman"/>
      <w:sz w:val="21"/>
      <w:lang w:val="en-US" w:eastAsia="zh-CN" w:bidi="ar-SA"/>
    </w:rPr>
  </w:style>
  <w:style w:type="paragraph" w:customStyle="1" w:styleId="239">
    <w:name w:val="xl79"/>
    <w:basedOn w:val="1"/>
    <w:next w:val="240"/>
    <w:uiPriority w:val="0"/>
    <w:pPr>
      <w:widowControl/>
      <w:shd w:val="clear" w:color="000000" w:fill="FFFFFF"/>
      <w:spacing w:before="280" w:after="280"/>
    </w:pPr>
    <w:rPr>
      <w:rFonts w:ascii="宋体" w:hAnsi="Calibri"/>
      <w:b/>
      <w:kern w:val="0"/>
      <w:sz w:val="20"/>
      <w:szCs w:val="20"/>
    </w:rPr>
  </w:style>
  <w:style w:type="paragraph" w:customStyle="1" w:styleId="240">
    <w:name w:val="toc 87"/>
    <w:next w:val="1"/>
    <w:uiPriority w:val="0"/>
    <w:pPr>
      <w:wordWrap w:val="0"/>
      <w:ind w:left="2975"/>
      <w:jc w:val="both"/>
    </w:pPr>
    <w:rPr>
      <w:rFonts w:ascii="Calibri" w:hAnsi="Calibri" w:eastAsia="宋体" w:cs="Times New Roman"/>
      <w:sz w:val="21"/>
      <w:lang w:val="en-US" w:eastAsia="zh-CN" w:bidi="ar-SA"/>
    </w:rPr>
  </w:style>
  <w:style w:type="paragraph" w:customStyle="1" w:styleId="241">
    <w:name w:val="toc 11"/>
    <w:next w:val="1"/>
    <w:uiPriority w:val="0"/>
    <w:pPr>
      <w:wordWrap w:val="0"/>
      <w:jc w:val="both"/>
    </w:pPr>
    <w:rPr>
      <w:rFonts w:ascii="Calibri" w:hAnsi="Calibri" w:eastAsia="宋体" w:cs="Times New Roman"/>
      <w:sz w:val="21"/>
      <w:lang w:val="en-US" w:eastAsia="zh-CN" w:bidi="ar-SA"/>
    </w:rPr>
  </w:style>
  <w:style w:type="paragraph" w:customStyle="1" w:styleId="242">
    <w:name w:val="toc 410"/>
    <w:next w:val="1"/>
    <w:uiPriority w:val="0"/>
    <w:pPr>
      <w:wordWrap w:val="0"/>
      <w:ind w:left="1275"/>
      <w:jc w:val="both"/>
    </w:pPr>
    <w:rPr>
      <w:rFonts w:ascii="Calibri" w:hAnsi="Calibri" w:eastAsia="宋体" w:cs="Times New Roman"/>
      <w:sz w:val="21"/>
      <w:lang w:val="en-US" w:eastAsia="zh-CN" w:bidi="ar-SA"/>
    </w:rPr>
  </w:style>
  <w:style w:type="paragraph" w:customStyle="1" w:styleId="243">
    <w:name w:val="toc 611"/>
    <w:next w:val="1"/>
    <w:uiPriority w:val="0"/>
    <w:pPr>
      <w:wordWrap w:val="0"/>
      <w:ind w:left="2125"/>
      <w:jc w:val="both"/>
    </w:pPr>
    <w:rPr>
      <w:rFonts w:ascii="Calibri" w:hAnsi="Calibri" w:eastAsia="宋体" w:cs="Times New Roman"/>
      <w:sz w:val="21"/>
      <w:lang w:val="en-US" w:eastAsia="zh-CN" w:bidi="ar-SA"/>
    </w:rPr>
  </w:style>
  <w:style w:type="paragraph" w:customStyle="1" w:styleId="244">
    <w:name w:val="xl112"/>
    <w:basedOn w:val="1"/>
    <w:next w:val="243"/>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514"/>
    <w:next w:val="1"/>
    <w:uiPriority w:val="0"/>
    <w:pPr>
      <w:wordWrap w:val="0"/>
      <w:ind w:left="1700"/>
      <w:jc w:val="both"/>
    </w:pPr>
    <w:rPr>
      <w:rFonts w:ascii="Calibri" w:hAnsi="Calibri" w:eastAsia="宋体" w:cs="Times New Roman"/>
      <w:sz w:val="21"/>
      <w:lang w:val="en-US" w:eastAsia="zh-CN" w:bidi="ar-SA"/>
    </w:rPr>
  </w:style>
  <w:style w:type="paragraph" w:customStyle="1" w:styleId="246">
    <w:name w:val="toc 44"/>
    <w:next w:val="1"/>
    <w:uiPriority w:val="0"/>
    <w:pPr>
      <w:wordWrap w:val="0"/>
      <w:ind w:left="1275"/>
      <w:jc w:val="both"/>
    </w:pPr>
    <w:rPr>
      <w:rFonts w:ascii="Calibri" w:hAnsi="Calibri" w:eastAsia="宋体" w:cs="Times New Roman"/>
      <w:sz w:val="21"/>
      <w:lang w:val="en-US" w:eastAsia="zh-CN" w:bidi="ar-SA"/>
    </w:rPr>
  </w:style>
  <w:style w:type="paragraph" w:customStyle="1" w:styleId="247">
    <w:name w:val="toc 412"/>
    <w:next w:val="1"/>
    <w:uiPriority w:val="0"/>
    <w:pPr>
      <w:wordWrap w:val="0"/>
      <w:ind w:left="1275"/>
      <w:jc w:val="both"/>
    </w:pPr>
    <w:rPr>
      <w:rFonts w:ascii="Calibri" w:hAnsi="Calibri" w:eastAsia="宋体" w:cs="Times New Roman"/>
      <w:sz w:val="21"/>
      <w:lang w:val="en-US" w:eastAsia="zh-CN" w:bidi="ar-SA"/>
    </w:rPr>
  </w:style>
  <w:style w:type="paragraph" w:customStyle="1" w:styleId="248">
    <w:name w:val="xl74"/>
    <w:basedOn w:val="1"/>
    <w:next w:val="249"/>
    <w:uiPriority w:val="0"/>
    <w:pPr>
      <w:widowControl/>
      <w:shd w:val="clear" w:color="000000" w:fill="FFFFFF"/>
      <w:spacing w:before="280" w:after="280"/>
    </w:pPr>
    <w:rPr>
      <w:rFonts w:ascii="宋体" w:hAnsi="Calibri"/>
      <w:kern w:val="0"/>
      <w:sz w:val="20"/>
      <w:szCs w:val="20"/>
    </w:rPr>
  </w:style>
  <w:style w:type="paragraph" w:customStyle="1" w:styleId="249">
    <w:name w:val="toc 57"/>
    <w:next w:val="1"/>
    <w:uiPriority w:val="0"/>
    <w:pPr>
      <w:wordWrap w:val="0"/>
      <w:ind w:left="1700"/>
      <w:jc w:val="both"/>
    </w:pPr>
    <w:rPr>
      <w:rFonts w:ascii="Calibri" w:hAnsi="Calibri" w:eastAsia="宋体" w:cs="Times New Roman"/>
      <w:sz w:val="21"/>
      <w:lang w:val="en-US" w:eastAsia="zh-CN" w:bidi="ar-SA"/>
    </w:rPr>
  </w:style>
  <w:style w:type="paragraph" w:customStyle="1" w:styleId="250">
    <w:name w:val="toc 912"/>
    <w:next w:val="1"/>
    <w:uiPriority w:val="0"/>
    <w:pPr>
      <w:wordWrap w:val="0"/>
      <w:ind w:left="3400"/>
      <w:jc w:val="both"/>
    </w:pPr>
    <w:rPr>
      <w:rFonts w:ascii="Calibri" w:hAnsi="Calibri" w:eastAsia="宋体" w:cs="Times New Roman"/>
      <w:sz w:val="21"/>
      <w:lang w:val="en-US" w:eastAsia="zh-CN" w:bidi="ar-SA"/>
    </w:rPr>
  </w:style>
  <w:style w:type="paragraph" w:customStyle="1" w:styleId="251">
    <w:name w:val="toc 91"/>
    <w:next w:val="1"/>
    <w:uiPriority w:val="0"/>
    <w:pPr>
      <w:wordWrap w:val="0"/>
      <w:ind w:left="3400"/>
      <w:jc w:val="both"/>
    </w:pPr>
    <w:rPr>
      <w:rFonts w:ascii="Calibri" w:hAnsi="Calibri" w:eastAsia="宋体" w:cs="Times New Roman"/>
      <w:sz w:val="21"/>
      <w:lang w:val="en-US" w:eastAsia="zh-CN" w:bidi="ar-SA"/>
    </w:rPr>
  </w:style>
  <w:style w:type="paragraph" w:customStyle="1" w:styleId="252">
    <w:name w:val="toc 38"/>
    <w:next w:val="1"/>
    <w:uiPriority w:val="0"/>
    <w:pPr>
      <w:wordWrap w:val="0"/>
      <w:ind w:left="850"/>
      <w:jc w:val="both"/>
    </w:pPr>
    <w:rPr>
      <w:rFonts w:ascii="Calibri" w:hAnsi="Calibri" w:eastAsia="宋体" w:cs="Times New Roman"/>
      <w:sz w:val="21"/>
      <w:lang w:val="en-US" w:eastAsia="zh-CN" w:bidi="ar-SA"/>
    </w:rPr>
  </w:style>
  <w:style w:type="paragraph" w:customStyle="1" w:styleId="253">
    <w:name w:val="toc 95"/>
    <w:next w:val="1"/>
    <w:uiPriority w:val="0"/>
    <w:pPr>
      <w:wordWrap w:val="0"/>
      <w:ind w:left="3400"/>
      <w:jc w:val="both"/>
    </w:pPr>
    <w:rPr>
      <w:rFonts w:ascii="Calibri" w:hAnsi="Calibri" w:eastAsia="宋体" w:cs="Times New Roman"/>
      <w:sz w:val="21"/>
      <w:lang w:val="en-US" w:eastAsia="zh-CN" w:bidi="ar-SA"/>
    </w:rPr>
  </w:style>
  <w:style w:type="paragraph" w:customStyle="1" w:styleId="254">
    <w:name w:val="列出段落5"/>
    <w:basedOn w:val="1"/>
    <w:next w:val="255"/>
    <w:uiPriority w:val="0"/>
    <w:pPr>
      <w:ind w:firstLine="420"/>
    </w:pPr>
    <w:rPr>
      <w:rFonts w:hAnsi="Calibri"/>
      <w:kern w:val="0"/>
      <w:szCs w:val="20"/>
    </w:rPr>
  </w:style>
  <w:style w:type="paragraph" w:customStyle="1" w:styleId="255">
    <w:name w:val="toc 312"/>
    <w:next w:val="1"/>
    <w:uiPriority w:val="0"/>
    <w:pPr>
      <w:wordWrap w:val="0"/>
      <w:ind w:left="850"/>
      <w:jc w:val="both"/>
    </w:pPr>
    <w:rPr>
      <w:rFonts w:ascii="Calibri" w:hAnsi="Calibri" w:eastAsia="宋体" w:cs="Times New Roman"/>
      <w:sz w:val="21"/>
      <w:lang w:val="en-US" w:eastAsia="zh-CN" w:bidi="ar-SA"/>
    </w:rPr>
  </w:style>
  <w:style w:type="paragraph" w:customStyle="1" w:styleId="256">
    <w:name w:val="xl66"/>
    <w:basedOn w:val="1"/>
    <w:next w:val="257"/>
    <w:uiPriority w:val="0"/>
    <w:pPr>
      <w:widowControl/>
      <w:shd w:val="clear" w:color="000000" w:fill="FFFFFF"/>
      <w:spacing w:before="280" w:after="280"/>
    </w:pPr>
    <w:rPr>
      <w:rFonts w:ascii="宋体" w:hAnsi="Calibri"/>
      <w:kern w:val="0"/>
      <w:sz w:val="20"/>
      <w:szCs w:val="20"/>
    </w:rPr>
  </w:style>
  <w:style w:type="paragraph" w:customStyle="1" w:styleId="257">
    <w:name w:val="toc 56"/>
    <w:next w:val="1"/>
    <w:uiPriority w:val="0"/>
    <w:pPr>
      <w:wordWrap w:val="0"/>
      <w:ind w:left="1700"/>
      <w:jc w:val="both"/>
    </w:pPr>
    <w:rPr>
      <w:rFonts w:ascii="Calibri" w:hAnsi="Calibri" w:eastAsia="宋体" w:cs="Times New Roman"/>
      <w:sz w:val="21"/>
      <w:lang w:val="en-US" w:eastAsia="zh-CN" w:bidi="ar-SA"/>
    </w:rPr>
  </w:style>
  <w:style w:type="paragraph" w:customStyle="1" w:styleId="258">
    <w:name w:val="TOC Heading3"/>
    <w:next w:val="1"/>
    <w:uiPriority w:val="0"/>
    <w:pPr>
      <w:wordWrap w:val="0"/>
    </w:pPr>
    <w:rPr>
      <w:rFonts w:ascii="Calibri" w:hAnsi="Calibri" w:eastAsia="宋体" w:cs="Times New Roman"/>
      <w:sz w:val="32"/>
      <w:lang w:val="en-US" w:eastAsia="zh-CN" w:bidi="ar-SA"/>
    </w:rPr>
  </w:style>
  <w:style w:type="paragraph" w:customStyle="1" w:styleId="259">
    <w:name w:val="toc 65"/>
    <w:next w:val="1"/>
    <w:uiPriority w:val="0"/>
    <w:pPr>
      <w:wordWrap w:val="0"/>
      <w:ind w:left="2125"/>
      <w:jc w:val="both"/>
    </w:pPr>
    <w:rPr>
      <w:rFonts w:ascii="Calibri" w:hAnsi="Calibri" w:eastAsia="宋体" w:cs="Times New Roman"/>
      <w:sz w:val="21"/>
      <w:lang w:val="en-US" w:eastAsia="zh-CN" w:bidi="ar-SA"/>
    </w:rPr>
  </w:style>
  <w:style w:type="paragraph" w:customStyle="1" w:styleId="260">
    <w:name w:val="toc 25"/>
    <w:next w:val="1"/>
    <w:uiPriority w:val="0"/>
    <w:pPr>
      <w:wordWrap w:val="0"/>
      <w:ind w:left="425"/>
      <w:jc w:val="both"/>
    </w:pPr>
    <w:rPr>
      <w:rFonts w:ascii="Calibri" w:hAnsi="Calibri" w:eastAsia="宋体" w:cs="Times New Roman"/>
      <w:sz w:val="21"/>
      <w:lang w:val="en-US" w:eastAsia="zh-CN" w:bidi="ar-SA"/>
    </w:rPr>
  </w:style>
  <w:style w:type="paragraph" w:customStyle="1" w:styleId="261">
    <w:name w:val="xl84"/>
    <w:basedOn w:val="1"/>
    <w:next w:val="262"/>
    <w:uiPriority w:val="0"/>
    <w:pPr>
      <w:widowControl/>
      <w:shd w:val="clear" w:color="000000" w:fill="FFFFFF"/>
      <w:spacing w:before="280" w:after="280"/>
      <w:jc w:val="center"/>
    </w:pPr>
    <w:rPr>
      <w:rFonts w:ascii="宋体" w:hAnsi="Calibri"/>
      <w:kern w:val="0"/>
      <w:sz w:val="20"/>
      <w:szCs w:val="20"/>
    </w:rPr>
  </w:style>
  <w:style w:type="paragraph" w:customStyle="1" w:styleId="262">
    <w:name w:val="toc 99"/>
    <w:next w:val="1"/>
    <w:uiPriority w:val="0"/>
    <w:pPr>
      <w:wordWrap w:val="0"/>
      <w:ind w:left="3400"/>
      <w:jc w:val="both"/>
    </w:pPr>
    <w:rPr>
      <w:rFonts w:ascii="Calibri" w:hAnsi="Calibri" w:eastAsia="宋体" w:cs="Times New Roman"/>
      <w:sz w:val="21"/>
      <w:lang w:val="en-US" w:eastAsia="zh-CN" w:bidi="ar-SA"/>
    </w:rPr>
  </w:style>
  <w:style w:type="paragraph" w:customStyle="1" w:styleId="263">
    <w:name w:val="xl81"/>
    <w:basedOn w:val="1"/>
    <w:next w:val="264"/>
    <w:uiPriority w:val="0"/>
    <w:pPr>
      <w:widowControl/>
      <w:shd w:val="clear" w:color="000000" w:fill="FFFFFF"/>
      <w:spacing w:before="280" w:after="280"/>
    </w:pPr>
    <w:rPr>
      <w:rFonts w:ascii="宋体" w:hAnsi="Calibri"/>
      <w:kern w:val="0"/>
      <w:sz w:val="20"/>
      <w:szCs w:val="20"/>
    </w:rPr>
  </w:style>
  <w:style w:type="paragraph" w:customStyle="1" w:styleId="264">
    <w:name w:val="toc 59"/>
    <w:next w:val="1"/>
    <w:uiPriority w:val="0"/>
    <w:pPr>
      <w:wordWrap w:val="0"/>
      <w:ind w:left="1700"/>
      <w:jc w:val="both"/>
    </w:pPr>
    <w:rPr>
      <w:rFonts w:ascii="Calibri" w:hAnsi="Calibri" w:eastAsia="宋体" w:cs="Times New Roman"/>
      <w:sz w:val="21"/>
      <w:lang w:val="en-US" w:eastAsia="zh-CN" w:bidi="ar-SA"/>
    </w:rPr>
  </w:style>
  <w:style w:type="paragraph" w:customStyle="1" w:styleId="265">
    <w:name w:val="目录 11"/>
    <w:next w:val="1"/>
    <w:uiPriority w:val="0"/>
    <w:pPr>
      <w:wordWrap w:val="0"/>
      <w:jc w:val="both"/>
    </w:pPr>
    <w:rPr>
      <w:rFonts w:ascii="Calibri" w:hAnsi="Calibri" w:eastAsia="宋体" w:cs="Times New Roman"/>
      <w:sz w:val="21"/>
      <w:lang w:val="en-US" w:eastAsia="zh-CN" w:bidi="ar-SA"/>
    </w:rPr>
  </w:style>
  <w:style w:type="paragraph" w:customStyle="1" w:styleId="266">
    <w:name w:val="toc 513"/>
    <w:next w:val="1"/>
    <w:uiPriority w:val="0"/>
    <w:pPr>
      <w:wordWrap w:val="0"/>
      <w:ind w:left="1700"/>
      <w:jc w:val="both"/>
    </w:pPr>
    <w:rPr>
      <w:rFonts w:ascii="Calibri" w:hAnsi="Calibri" w:eastAsia="宋体" w:cs="Times New Roman"/>
      <w:sz w:val="21"/>
      <w:lang w:val="en-US" w:eastAsia="zh-CN" w:bidi="ar-SA"/>
    </w:rPr>
  </w:style>
  <w:style w:type="paragraph" w:customStyle="1" w:styleId="267">
    <w:name w:val="TOC Heading12"/>
    <w:next w:val="1"/>
    <w:uiPriority w:val="0"/>
    <w:pPr>
      <w:wordWrap w:val="0"/>
    </w:pPr>
    <w:rPr>
      <w:rFonts w:ascii="Calibri" w:hAnsi="Calibri" w:eastAsia="宋体" w:cs="Times New Roman"/>
      <w:sz w:val="32"/>
      <w:lang w:val="en-US" w:eastAsia="zh-CN" w:bidi="ar-SA"/>
    </w:rPr>
  </w:style>
  <w:style w:type="paragraph" w:customStyle="1" w:styleId="268">
    <w:name w:val="TOC Heading8"/>
    <w:next w:val="1"/>
    <w:uiPriority w:val="0"/>
    <w:pPr>
      <w:wordWrap w:val="0"/>
    </w:pPr>
    <w:rPr>
      <w:rFonts w:ascii="Calibri" w:hAnsi="Calibri" w:eastAsia="宋体" w:cs="Times New Roman"/>
      <w:sz w:val="32"/>
      <w:lang w:val="en-US" w:eastAsia="zh-CN" w:bidi="ar-SA"/>
    </w:rPr>
  </w:style>
  <w:style w:type="paragraph" w:customStyle="1" w:styleId="269">
    <w:name w:val="toc 711"/>
    <w:next w:val="1"/>
    <w:uiPriority w:val="0"/>
    <w:pPr>
      <w:wordWrap w:val="0"/>
      <w:ind w:left="2550"/>
      <w:jc w:val="both"/>
    </w:pPr>
    <w:rPr>
      <w:rFonts w:ascii="Calibri" w:hAnsi="Calibri" w:eastAsia="宋体" w:cs="Times New Roman"/>
      <w:sz w:val="21"/>
      <w:lang w:val="en-US" w:eastAsia="zh-CN" w:bidi="ar-SA"/>
    </w:rPr>
  </w:style>
  <w:style w:type="paragraph" w:customStyle="1" w:styleId="270">
    <w:name w:val="toc 212"/>
    <w:next w:val="1"/>
    <w:uiPriority w:val="0"/>
    <w:pPr>
      <w:wordWrap w:val="0"/>
      <w:ind w:left="425"/>
      <w:jc w:val="both"/>
    </w:pPr>
    <w:rPr>
      <w:rFonts w:ascii="Calibri" w:hAnsi="Calibri" w:eastAsia="宋体" w:cs="Times New Roman"/>
      <w:sz w:val="21"/>
      <w:lang w:val="en-US" w:eastAsia="zh-CN" w:bidi="ar-SA"/>
    </w:rPr>
  </w:style>
  <w:style w:type="paragraph" w:customStyle="1" w:styleId="271">
    <w:name w:val="目录 21"/>
    <w:next w:val="1"/>
    <w:uiPriority w:val="0"/>
    <w:pPr>
      <w:wordWrap w:val="0"/>
      <w:ind w:left="425"/>
      <w:jc w:val="both"/>
    </w:pPr>
    <w:rPr>
      <w:rFonts w:ascii="Calibri" w:hAnsi="Calibri" w:eastAsia="宋体" w:cs="Times New Roman"/>
      <w:sz w:val="21"/>
      <w:lang w:val="en-US" w:eastAsia="zh-CN" w:bidi="ar-SA"/>
    </w:rPr>
  </w:style>
  <w:style w:type="paragraph" w:customStyle="1" w:styleId="272">
    <w:name w:val="toc 45"/>
    <w:next w:val="1"/>
    <w:uiPriority w:val="0"/>
    <w:pPr>
      <w:wordWrap w:val="0"/>
      <w:ind w:left="1275"/>
      <w:jc w:val="both"/>
    </w:pPr>
    <w:rPr>
      <w:rFonts w:ascii="Calibri" w:hAnsi="Calibri" w:eastAsia="宋体" w:cs="Times New Roman"/>
      <w:sz w:val="21"/>
      <w:lang w:val="en-US" w:eastAsia="zh-CN" w:bidi="ar-SA"/>
    </w:rPr>
  </w:style>
  <w:style w:type="paragraph" w:customStyle="1" w:styleId="273">
    <w:name w:val="xl116"/>
    <w:basedOn w:val="1"/>
    <w:next w:val="274"/>
    <w:uiPriority w:val="0"/>
    <w:pPr>
      <w:widowControl/>
      <w:shd w:val="clear" w:color="000000" w:fill="FFFFFF"/>
      <w:spacing w:before="280" w:after="280"/>
      <w:jc w:val="center"/>
    </w:pPr>
    <w:rPr>
      <w:rFonts w:ascii="Arial Narrow" w:hAnsi="Calibri"/>
      <w:kern w:val="0"/>
      <w:sz w:val="20"/>
      <w:szCs w:val="20"/>
    </w:rPr>
  </w:style>
  <w:style w:type="paragraph" w:customStyle="1" w:styleId="274">
    <w:name w:val="toc 78"/>
    <w:next w:val="1"/>
    <w:uiPriority w:val="0"/>
    <w:pPr>
      <w:wordWrap w:val="0"/>
      <w:ind w:left="2550"/>
      <w:jc w:val="both"/>
    </w:pPr>
    <w:rPr>
      <w:rFonts w:ascii="Calibri" w:hAnsi="Calibri" w:eastAsia="宋体" w:cs="Times New Roman"/>
      <w:sz w:val="21"/>
      <w:lang w:val="en-US" w:eastAsia="zh-CN" w:bidi="ar-SA"/>
    </w:rPr>
  </w:style>
  <w:style w:type="paragraph" w:customStyle="1" w:styleId="275">
    <w:name w:val="font8"/>
    <w:basedOn w:val="1"/>
    <w:next w:val="276"/>
    <w:uiPriority w:val="0"/>
    <w:pPr>
      <w:widowControl/>
      <w:spacing w:before="280" w:after="280"/>
    </w:pPr>
    <w:rPr>
      <w:rFonts w:ascii="Arial" w:hAnsi="Calibri"/>
      <w:kern w:val="0"/>
      <w:sz w:val="20"/>
      <w:szCs w:val="20"/>
    </w:rPr>
  </w:style>
  <w:style w:type="paragraph" w:customStyle="1" w:styleId="276">
    <w:name w:val="TOC Heading11"/>
    <w:next w:val="1"/>
    <w:uiPriority w:val="0"/>
    <w:pPr>
      <w:wordWrap w:val="0"/>
    </w:pPr>
    <w:rPr>
      <w:rFonts w:ascii="Calibri" w:hAnsi="Calibri" w:eastAsia="宋体" w:cs="Times New Roman"/>
      <w:sz w:val="32"/>
      <w:lang w:val="en-US" w:eastAsia="zh-CN" w:bidi="ar-SA"/>
    </w:rPr>
  </w:style>
  <w:style w:type="paragraph" w:customStyle="1" w:styleId="277">
    <w:name w:val="xl69"/>
    <w:basedOn w:val="1"/>
    <w:next w:val="278"/>
    <w:uiPriority w:val="0"/>
    <w:pPr>
      <w:widowControl/>
      <w:shd w:val="clear" w:color="000000" w:fill="FFFFFF"/>
      <w:spacing w:before="280" w:after="280"/>
    </w:pPr>
    <w:rPr>
      <w:rFonts w:ascii="宋体" w:hAnsi="Calibri"/>
      <w:b/>
      <w:kern w:val="0"/>
      <w:sz w:val="20"/>
      <w:szCs w:val="20"/>
    </w:rPr>
  </w:style>
  <w:style w:type="paragraph" w:customStyle="1" w:styleId="278">
    <w:name w:val="toc 48"/>
    <w:next w:val="1"/>
    <w:uiPriority w:val="0"/>
    <w:pPr>
      <w:wordWrap w:val="0"/>
      <w:ind w:left="1275"/>
      <w:jc w:val="both"/>
    </w:pPr>
    <w:rPr>
      <w:rFonts w:ascii="Calibri" w:hAnsi="Calibri" w:eastAsia="宋体" w:cs="Times New Roman"/>
      <w:sz w:val="21"/>
      <w:lang w:val="en-US" w:eastAsia="zh-CN" w:bidi="ar-SA"/>
    </w:rPr>
  </w:style>
  <w:style w:type="paragraph" w:customStyle="1" w:styleId="279">
    <w:name w:val="toc 813"/>
    <w:next w:val="1"/>
    <w:uiPriority w:val="0"/>
    <w:pPr>
      <w:wordWrap w:val="0"/>
      <w:ind w:left="2975"/>
      <w:jc w:val="both"/>
    </w:pPr>
    <w:rPr>
      <w:rFonts w:ascii="Calibri" w:hAnsi="Calibri" w:eastAsia="宋体" w:cs="Times New Roman"/>
      <w:sz w:val="21"/>
      <w:lang w:val="en-US" w:eastAsia="zh-CN" w:bidi="ar-SA"/>
    </w:rPr>
  </w:style>
  <w:style w:type="paragraph" w:customStyle="1" w:styleId="280">
    <w:name w:val="目录 91"/>
    <w:next w:val="1"/>
    <w:uiPriority w:val="0"/>
    <w:pPr>
      <w:wordWrap w:val="0"/>
      <w:ind w:left="3400"/>
      <w:jc w:val="both"/>
    </w:pPr>
    <w:rPr>
      <w:rFonts w:ascii="Calibri" w:hAnsi="Calibri" w:eastAsia="宋体" w:cs="Times New Roman"/>
      <w:sz w:val="21"/>
      <w:lang w:val="en-US" w:eastAsia="zh-CN" w:bidi="ar-SA"/>
    </w:rPr>
  </w:style>
  <w:style w:type="paragraph" w:customStyle="1" w:styleId="281">
    <w:name w:val="列出段落3"/>
    <w:basedOn w:val="1"/>
    <w:next w:val="282"/>
    <w:uiPriority w:val="0"/>
    <w:pPr>
      <w:ind w:firstLine="420"/>
    </w:pPr>
    <w:rPr>
      <w:rFonts w:hAnsi="Calibri"/>
      <w:kern w:val="0"/>
      <w:szCs w:val="20"/>
    </w:rPr>
  </w:style>
  <w:style w:type="paragraph" w:customStyle="1" w:styleId="282">
    <w:name w:val="toc 213"/>
    <w:next w:val="1"/>
    <w:uiPriority w:val="0"/>
    <w:pPr>
      <w:wordWrap w:val="0"/>
      <w:ind w:left="425"/>
      <w:jc w:val="both"/>
    </w:pPr>
    <w:rPr>
      <w:rFonts w:ascii="Calibri" w:hAnsi="Calibri" w:eastAsia="宋体" w:cs="Times New Roman"/>
      <w:sz w:val="21"/>
      <w:lang w:val="en-US" w:eastAsia="zh-CN" w:bidi="ar-SA"/>
    </w:rPr>
  </w:style>
  <w:style w:type="paragraph" w:customStyle="1" w:styleId="283">
    <w:name w:val="TOC 标题1"/>
    <w:next w:val="1"/>
    <w:qFormat/>
    <w:uiPriority w:val="0"/>
    <w:pPr>
      <w:wordWrap w:val="0"/>
    </w:pPr>
    <w:rPr>
      <w:rFonts w:ascii="Calibri" w:hAnsi="Calibri" w:eastAsia="宋体" w:cs="Times New Roman"/>
      <w:sz w:val="32"/>
      <w:lang w:val="en-US" w:eastAsia="zh-CN" w:bidi="ar-SA"/>
    </w:rPr>
  </w:style>
  <w:style w:type="paragraph" w:customStyle="1" w:styleId="284">
    <w:name w:val="TOC Heading5"/>
    <w:next w:val="1"/>
    <w:uiPriority w:val="0"/>
    <w:pPr>
      <w:wordWrap w:val="0"/>
    </w:pPr>
    <w:rPr>
      <w:rFonts w:ascii="Calibri" w:hAnsi="Calibri" w:eastAsia="宋体" w:cs="Times New Roman"/>
      <w:sz w:val="32"/>
      <w:lang w:val="en-US" w:eastAsia="zh-CN" w:bidi="ar-SA"/>
    </w:rPr>
  </w:style>
  <w:style w:type="paragraph" w:customStyle="1" w:styleId="285">
    <w:name w:val="toc 313"/>
    <w:next w:val="1"/>
    <w:uiPriority w:val="0"/>
    <w:pPr>
      <w:wordWrap w:val="0"/>
      <w:ind w:left="850"/>
      <w:jc w:val="both"/>
    </w:pPr>
    <w:rPr>
      <w:rFonts w:ascii="Calibri" w:hAnsi="Calibri" w:eastAsia="宋体" w:cs="Times New Roman"/>
      <w:sz w:val="21"/>
      <w:lang w:val="en-US" w:eastAsia="zh-CN" w:bidi="ar-SA"/>
    </w:rPr>
  </w:style>
  <w:style w:type="paragraph" w:customStyle="1" w:styleId="286">
    <w:name w:val="toc 716"/>
    <w:next w:val="1"/>
    <w:uiPriority w:val="0"/>
    <w:pPr>
      <w:wordWrap w:val="0"/>
      <w:ind w:left="2550"/>
      <w:jc w:val="both"/>
    </w:pPr>
    <w:rPr>
      <w:rFonts w:ascii="Calibri" w:hAnsi="Calibri" w:eastAsia="宋体" w:cs="Times New Roman"/>
      <w:sz w:val="21"/>
      <w:lang w:val="en-US" w:eastAsia="zh-CN" w:bidi="ar-SA"/>
    </w:rPr>
  </w:style>
  <w:style w:type="paragraph" w:customStyle="1" w:styleId="287">
    <w:name w:val="xl115"/>
    <w:basedOn w:val="1"/>
    <w:next w:val="288"/>
    <w:uiPriority w:val="0"/>
    <w:pPr>
      <w:widowControl/>
      <w:shd w:val="clear" w:color="000000" w:fill="FFFFFF"/>
      <w:spacing w:before="280" w:after="280"/>
      <w:jc w:val="center"/>
    </w:pPr>
    <w:rPr>
      <w:rFonts w:ascii="宋体" w:hAnsi="Calibri"/>
      <w:b/>
      <w:kern w:val="0"/>
      <w:sz w:val="20"/>
      <w:szCs w:val="20"/>
    </w:rPr>
  </w:style>
  <w:style w:type="paragraph" w:customStyle="1" w:styleId="288">
    <w:name w:val="toc 712"/>
    <w:next w:val="1"/>
    <w:uiPriority w:val="0"/>
    <w:pPr>
      <w:wordWrap w:val="0"/>
      <w:ind w:left="2550"/>
      <w:jc w:val="both"/>
    </w:pPr>
    <w:rPr>
      <w:rFonts w:ascii="Calibri" w:hAnsi="Calibri" w:eastAsia="宋体" w:cs="Times New Roman"/>
      <w:sz w:val="21"/>
      <w:lang w:val="en-US" w:eastAsia="zh-CN" w:bidi="ar-SA"/>
    </w:rPr>
  </w:style>
  <w:style w:type="paragraph" w:customStyle="1" w:styleId="289">
    <w:name w:val="toc 64"/>
    <w:next w:val="1"/>
    <w:uiPriority w:val="0"/>
    <w:pPr>
      <w:wordWrap w:val="0"/>
      <w:ind w:left="2125"/>
      <w:jc w:val="both"/>
    </w:pPr>
    <w:rPr>
      <w:rFonts w:ascii="Calibri" w:hAnsi="Calibri" w:eastAsia="宋体" w:cs="Times New Roman"/>
      <w:sz w:val="21"/>
      <w:lang w:val="en-US" w:eastAsia="zh-CN" w:bidi="ar-SA"/>
    </w:rPr>
  </w:style>
  <w:style w:type="paragraph" w:customStyle="1" w:styleId="290">
    <w:name w:val="toc 24"/>
    <w:next w:val="1"/>
    <w:uiPriority w:val="0"/>
    <w:pPr>
      <w:wordWrap w:val="0"/>
      <w:ind w:left="425"/>
      <w:jc w:val="both"/>
    </w:pPr>
    <w:rPr>
      <w:rFonts w:ascii="Calibri" w:hAnsi="Calibri" w:eastAsia="宋体" w:cs="Times New Roman"/>
      <w:sz w:val="21"/>
      <w:lang w:val="en-US" w:eastAsia="zh-CN" w:bidi="ar-SA"/>
    </w:rPr>
  </w:style>
  <w:style w:type="paragraph" w:customStyle="1" w:styleId="291">
    <w:name w:val="toc 54"/>
    <w:next w:val="1"/>
    <w:uiPriority w:val="0"/>
    <w:pPr>
      <w:wordWrap w:val="0"/>
      <w:ind w:left="1700"/>
      <w:jc w:val="both"/>
    </w:pPr>
    <w:rPr>
      <w:rFonts w:ascii="Calibri" w:hAnsi="Calibri" w:eastAsia="宋体" w:cs="Times New Roman"/>
      <w:sz w:val="21"/>
      <w:lang w:val="en-US" w:eastAsia="zh-CN" w:bidi="ar-SA"/>
    </w:rPr>
  </w:style>
  <w:style w:type="paragraph" w:customStyle="1" w:styleId="292">
    <w:name w:val="xl93"/>
    <w:basedOn w:val="1"/>
    <w:next w:val="293"/>
    <w:uiPriority w:val="0"/>
    <w:pPr>
      <w:widowControl/>
      <w:shd w:val="clear" w:color="000000" w:fill="FFFFFF"/>
      <w:spacing w:before="280" w:after="280"/>
      <w:jc w:val="center"/>
    </w:pPr>
    <w:rPr>
      <w:rFonts w:ascii="宋体" w:hAnsi="Calibri"/>
      <w:kern w:val="0"/>
      <w:sz w:val="20"/>
      <w:szCs w:val="20"/>
    </w:rPr>
  </w:style>
  <w:style w:type="paragraph" w:customStyle="1" w:styleId="293">
    <w:name w:val="toc 112"/>
    <w:next w:val="1"/>
    <w:uiPriority w:val="0"/>
    <w:pPr>
      <w:wordWrap w:val="0"/>
      <w:jc w:val="both"/>
    </w:pPr>
    <w:rPr>
      <w:rFonts w:ascii="Calibri" w:hAnsi="Calibri" w:eastAsia="宋体" w:cs="Times New Roman"/>
      <w:sz w:val="21"/>
      <w:lang w:val="en-US" w:eastAsia="zh-CN" w:bidi="ar-SA"/>
    </w:rPr>
  </w:style>
  <w:style w:type="paragraph" w:customStyle="1" w:styleId="294">
    <w:name w:val="xl96"/>
    <w:basedOn w:val="1"/>
    <w:next w:val="245"/>
    <w:uiPriority w:val="0"/>
    <w:pPr>
      <w:widowControl/>
      <w:shd w:val="clear" w:color="000000" w:fill="FFFFFF"/>
      <w:spacing w:before="280" w:after="280"/>
      <w:jc w:val="center"/>
    </w:pPr>
    <w:rPr>
      <w:rFonts w:ascii="宋体" w:hAnsi="Calibri"/>
      <w:kern w:val="0"/>
      <w:sz w:val="20"/>
      <w:szCs w:val="20"/>
    </w:rPr>
  </w:style>
  <w:style w:type="paragraph" w:customStyle="1" w:styleId="295">
    <w:name w:val="xl106"/>
    <w:basedOn w:val="1"/>
    <w:next w:val="279"/>
    <w:uiPriority w:val="0"/>
    <w:pPr>
      <w:widowControl/>
      <w:shd w:val="clear" w:color="000000" w:fill="FFFFFF"/>
      <w:spacing w:before="280" w:after="280"/>
    </w:pPr>
    <w:rPr>
      <w:rFonts w:ascii="宋体" w:hAnsi="Calibri"/>
      <w:kern w:val="0"/>
      <w:sz w:val="20"/>
      <w:szCs w:val="20"/>
    </w:rPr>
  </w:style>
  <w:style w:type="paragraph" w:customStyle="1" w:styleId="296">
    <w:name w:val="toc 35"/>
    <w:next w:val="1"/>
    <w:uiPriority w:val="0"/>
    <w:pPr>
      <w:wordWrap w:val="0"/>
      <w:ind w:left="850"/>
      <w:jc w:val="both"/>
    </w:pPr>
    <w:rPr>
      <w:rFonts w:ascii="Calibri" w:hAnsi="Calibri" w:eastAsia="宋体" w:cs="Times New Roman"/>
      <w:sz w:val="21"/>
      <w:lang w:val="en-US" w:eastAsia="zh-CN" w:bidi="ar-SA"/>
    </w:rPr>
  </w:style>
  <w:style w:type="paragraph" w:customStyle="1" w:styleId="297">
    <w:name w:val="TOC Heading14"/>
    <w:next w:val="1"/>
    <w:uiPriority w:val="0"/>
    <w:pPr>
      <w:wordWrap w:val="0"/>
    </w:pPr>
    <w:rPr>
      <w:rFonts w:ascii="Calibri" w:hAnsi="Calibri" w:eastAsia="宋体" w:cs="Times New Roman"/>
      <w:sz w:val="32"/>
      <w:lang w:val="en-US" w:eastAsia="zh-CN" w:bidi="ar-SA"/>
    </w:rPr>
  </w:style>
  <w:style w:type="paragraph" w:customStyle="1" w:styleId="298">
    <w:name w:val="Char Char Char Char Char Char Char1"/>
    <w:basedOn w:val="1"/>
    <w:next w:val="299"/>
    <w:uiPriority w:val="0"/>
    <w:pPr>
      <w:widowControl/>
      <w:spacing w:after="160" w:line="240" w:lineRule="exact"/>
    </w:pPr>
    <w:rPr>
      <w:rFonts w:hAnsi="Calibri"/>
      <w:kern w:val="0"/>
      <w:szCs w:val="20"/>
    </w:rPr>
  </w:style>
  <w:style w:type="paragraph" w:customStyle="1" w:styleId="299">
    <w:name w:val="toc 67"/>
    <w:next w:val="1"/>
    <w:uiPriority w:val="0"/>
    <w:pPr>
      <w:wordWrap w:val="0"/>
      <w:ind w:left="2125"/>
      <w:jc w:val="both"/>
    </w:pPr>
    <w:rPr>
      <w:rFonts w:ascii="Calibri" w:hAnsi="Calibri" w:eastAsia="宋体" w:cs="Times New Roman"/>
      <w:sz w:val="21"/>
      <w:lang w:val="en-US" w:eastAsia="zh-CN" w:bidi="ar-SA"/>
    </w:rPr>
  </w:style>
  <w:style w:type="paragraph" w:customStyle="1" w:styleId="300">
    <w:name w:val="列出段落4"/>
    <w:basedOn w:val="1"/>
    <w:next w:val="301"/>
    <w:uiPriority w:val="0"/>
    <w:pPr>
      <w:ind w:firstLine="420"/>
    </w:pPr>
    <w:rPr>
      <w:rFonts w:hAnsi="Calibri"/>
      <w:kern w:val="0"/>
      <w:szCs w:val="20"/>
    </w:rPr>
  </w:style>
  <w:style w:type="paragraph" w:customStyle="1" w:styleId="301">
    <w:name w:val="TOC Heading9"/>
    <w:next w:val="1"/>
    <w:uiPriority w:val="0"/>
    <w:pPr>
      <w:wordWrap w:val="0"/>
    </w:pPr>
    <w:rPr>
      <w:rFonts w:ascii="Calibri" w:hAnsi="Calibri" w:eastAsia="宋体" w:cs="Times New Roman"/>
      <w:sz w:val="32"/>
      <w:lang w:val="en-US" w:eastAsia="zh-CN" w:bidi="ar-SA"/>
    </w:rPr>
  </w:style>
  <w:style w:type="paragraph" w:customStyle="1" w:styleId="302">
    <w:name w:val="xl71"/>
    <w:basedOn w:val="1"/>
    <w:next w:val="303"/>
    <w:uiPriority w:val="0"/>
    <w:pPr>
      <w:widowControl/>
      <w:shd w:val="clear" w:color="000000" w:fill="FFFFFF"/>
      <w:spacing w:before="280" w:after="280"/>
    </w:pPr>
    <w:rPr>
      <w:rFonts w:ascii="宋体" w:hAnsi="Calibri"/>
      <w:kern w:val="0"/>
      <w:sz w:val="24"/>
      <w:szCs w:val="20"/>
    </w:rPr>
  </w:style>
  <w:style w:type="paragraph" w:customStyle="1" w:styleId="303">
    <w:name w:val="toc 115"/>
    <w:next w:val="1"/>
    <w:uiPriority w:val="0"/>
    <w:pPr>
      <w:wordWrap w:val="0"/>
      <w:jc w:val="both"/>
    </w:pPr>
    <w:rPr>
      <w:rFonts w:ascii="Calibri" w:hAnsi="Calibri" w:eastAsia="宋体" w:cs="Times New Roman"/>
      <w:sz w:val="21"/>
      <w:lang w:val="en-US" w:eastAsia="zh-CN" w:bidi="ar-SA"/>
    </w:rPr>
  </w:style>
  <w:style w:type="paragraph" w:customStyle="1" w:styleId="304">
    <w:name w:val="toc 51"/>
    <w:next w:val="1"/>
    <w:uiPriority w:val="0"/>
    <w:pPr>
      <w:wordWrap w:val="0"/>
      <w:ind w:left="1700"/>
      <w:jc w:val="both"/>
    </w:pPr>
    <w:rPr>
      <w:rFonts w:ascii="Calibri" w:hAnsi="Calibri" w:eastAsia="宋体" w:cs="Times New Roman"/>
      <w:sz w:val="21"/>
      <w:lang w:val="en-US" w:eastAsia="zh-CN" w:bidi="ar-SA"/>
    </w:rPr>
  </w:style>
  <w:style w:type="paragraph" w:customStyle="1" w:styleId="305">
    <w:name w:val="toc 47"/>
    <w:next w:val="1"/>
    <w:uiPriority w:val="0"/>
    <w:pPr>
      <w:wordWrap w:val="0"/>
      <w:ind w:left="1275"/>
      <w:jc w:val="both"/>
    </w:pPr>
    <w:rPr>
      <w:rFonts w:ascii="Calibri" w:hAnsi="Calibri" w:eastAsia="宋体" w:cs="Times New Roman"/>
      <w:sz w:val="21"/>
      <w:lang w:val="en-US" w:eastAsia="zh-CN" w:bidi="ar-SA"/>
    </w:rPr>
  </w:style>
  <w:style w:type="paragraph" w:customStyle="1" w:styleId="306">
    <w:name w:val="xl108"/>
    <w:basedOn w:val="1"/>
    <w:next w:val="307"/>
    <w:uiPriority w:val="0"/>
    <w:pPr>
      <w:widowControl/>
      <w:shd w:val="clear" w:color="000000" w:fill="FFFFFF"/>
      <w:spacing w:before="280" w:after="280"/>
    </w:pPr>
    <w:rPr>
      <w:rFonts w:ascii="宋体" w:hAnsi="Calibri"/>
      <w:kern w:val="0"/>
      <w:sz w:val="18"/>
      <w:szCs w:val="20"/>
    </w:rPr>
  </w:style>
  <w:style w:type="paragraph" w:customStyle="1" w:styleId="307">
    <w:name w:val="toc 18"/>
    <w:next w:val="1"/>
    <w:uiPriority w:val="0"/>
    <w:pPr>
      <w:wordWrap w:val="0"/>
      <w:jc w:val="both"/>
    </w:pPr>
    <w:rPr>
      <w:rFonts w:ascii="Calibri" w:hAnsi="Calibri" w:eastAsia="宋体" w:cs="Times New Roman"/>
      <w:sz w:val="21"/>
      <w:lang w:val="en-US" w:eastAsia="zh-CN" w:bidi="ar-SA"/>
    </w:rPr>
  </w:style>
  <w:style w:type="paragraph" w:customStyle="1" w:styleId="308">
    <w:name w:val="TOC Heading7"/>
    <w:next w:val="1"/>
    <w:uiPriority w:val="0"/>
    <w:pPr>
      <w:wordWrap w:val="0"/>
    </w:pPr>
    <w:rPr>
      <w:rFonts w:ascii="Calibri" w:hAnsi="Calibri" w:eastAsia="宋体" w:cs="Times New Roman"/>
      <w:sz w:val="32"/>
      <w:lang w:val="en-US" w:eastAsia="zh-CN" w:bidi="ar-SA"/>
    </w:rPr>
  </w:style>
  <w:style w:type="character" w:customStyle="1" w:styleId="309">
    <w:name w:val="副标题 Char"/>
    <w:basedOn w:val="46"/>
    <w:link w:val="31"/>
    <w:uiPriority w:val="0"/>
    <w:rPr>
      <w:rFonts w:ascii="Calibri" w:hAnsi="Calibri"/>
      <w:sz w:val="24"/>
    </w:rPr>
  </w:style>
  <w:style w:type="paragraph" w:customStyle="1" w:styleId="310">
    <w:name w:val="目录 71"/>
    <w:next w:val="1"/>
    <w:uiPriority w:val="0"/>
    <w:pPr>
      <w:wordWrap w:val="0"/>
      <w:ind w:left="2550"/>
      <w:jc w:val="both"/>
    </w:pPr>
    <w:rPr>
      <w:rFonts w:ascii="Calibri" w:hAnsi="Calibri" w:eastAsia="宋体" w:cs="Times New Roman"/>
      <w:sz w:val="21"/>
      <w:lang w:val="en-US" w:eastAsia="zh-CN" w:bidi="ar-SA"/>
    </w:rPr>
  </w:style>
  <w:style w:type="paragraph" w:customStyle="1" w:styleId="311">
    <w:name w:val="toc 413"/>
    <w:next w:val="1"/>
    <w:uiPriority w:val="0"/>
    <w:pPr>
      <w:wordWrap w:val="0"/>
      <w:ind w:left="1275"/>
      <w:jc w:val="both"/>
    </w:pPr>
    <w:rPr>
      <w:rFonts w:ascii="Calibri" w:hAnsi="Calibri" w:eastAsia="宋体" w:cs="Times New Roman"/>
      <w:sz w:val="21"/>
      <w:lang w:val="en-US" w:eastAsia="zh-CN" w:bidi="ar-SA"/>
    </w:rPr>
  </w:style>
  <w:style w:type="paragraph" w:customStyle="1" w:styleId="312">
    <w:name w:val="toc 85"/>
    <w:next w:val="1"/>
    <w:uiPriority w:val="0"/>
    <w:pPr>
      <w:wordWrap w:val="0"/>
      <w:ind w:left="2975"/>
      <w:jc w:val="both"/>
    </w:pPr>
    <w:rPr>
      <w:rFonts w:ascii="Calibri" w:hAnsi="Calibri" w:eastAsia="宋体" w:cs="Times New Roman"/>
      <w:sz w:val="21"/>
      <w:lang w:val="en-US" w:eastAsia="zh-CN" w:bidi="ar-SA"/>
    </w:rPr>
  </w:style>
  <w:style w:type="paragraph" w:customStyle="1" w:styleId="313">
    <w:name w:val="列出段落6"/>
    <w:basedOn w:val="1"/>
    <w:next w:val="314"/>
    <w:uiPriority w:val="0"/>
    <w:pPr>
      <w:ind w:firstLine="420"/>
    </w:pPr>
    <w:rPr>
      <w:rFonts w:hAnsi="Calibri"/>
      <w:kern w:val="0"/>
      <w:szCs w:val="20"/>
    </w:rPr>
  </w:style>
  <w:style w:type="paragraph" w:customStyle="1" w:styleId="314">
    <w:name w:val="toc 86"/>
    <w:next w:val="1"/>
    <w:uiPriority w:val="0"/>
    <w:pPr>
      <w:wordWrap w:val="0"/>
      <w:ind w:left="2975"/>
      <w:jc w:val="both"/>
    </w:pPr>
    <w:rPr>
      <w:rFonts w:ascii="Calibri" w:hAnsi="Calibri" w:eastAsia="宋体" w:cs="Times New Roman"/>
      <w:sz w:val="21"/>
      <w:lang w:val="en-US" w:eastAsia="zh-CN" w:bidi="ar-SA"/>
    </w:rPr>
  </w:style>
  <w:style w:type="paragraph" w:customStyle="1" w:styleId="315">
    <w:name w:val="xl80"/>
    <w:basedOn w:val="1"/>
    <w:next w:val="316"/>
    <w:uiPriority w:val="0"/>
    <w:pPr>
      <w:widowControl/>
      <w:shd w:val="clear" w:color="000000" w:fill="FFFFFF"/>
      <w:spacing w:before="280" w:after="280"/>
      <w:jc w:val="center"/>
    </w:pPr>
    <w:rPr>
      <w:rFonts w:ascii="宋体" w:hAnsi="Calibri"/>
      <w:b/>
      <w:kern w:val="0"/>
      <w:sz w:val="20"/>
      <w:szCs w:val="20"/>
    </w:rPr>
  </w:style>
  <w:style w:type="paragraph" w:customStyle="1" w:styleId="316">
    <w:name w:val="toc 49"/>
    <w:next w:val="1"/>
    <w:uiPriority w:val="0"/>
    <w:pPr>
      <w:wordWrap w:val="0"/>
      <w:ind w:left="1275"/>
      <w:jc w:val="both"/>
    </w:pPr>
    <w:rPr>
      <w:rFonts w:ascii="Calibri" w:hAnsi="Calibri" w:eastAsia="宋体" w:cs="Times New Roman"/>
      <w:sz w:val="21"/>
      <w:lang w:val="en-US" w:eastAsia="zh-CN" w:bidi="ar-SA"/>
    </w:rPr>
  </w:style>
  <w:style w:type="paragraph" w:customStyle="1" w:styleId="317">
    <w:name w:val="Char Char Char Char1"/>
    <w:basedOn w:val="1"/>
    <w:next w:val="318"/>
    <w:uiPriority w:val="0"/>
    <w:pPr>
      <w:widowControl/>
      <w:spacing w:after="160" w:line="240" w:lineRule="exact"/>
    </w:pPr>
    <w:rPr>
      <w:rFonts w:ascii="Verdana" w:hAnsi="Calibri" w:eastAsia="仿宋_GB2312"/>
      <w:kern w:val="0"/>
      <w:sz w:val="24"/>
      <w:szCs w:val="20"/>
    </w:rPr>
  </w:style>
  <w:style w:type="paragraph" w:customStyle="1" w:styleId="318">
    <w:name w:val="toc 713"/>
    <w:next w:val="1"/>
    <w:uiPriority w:val="0"/>
    <w:pPr>
      <w:wordWrap w:val="0"/>
      <w:ind w:left="2550"/>
      <w:jc w:val="both"/>
    </w:pPr>
    <w:rPr>
      <w:rFonts w:ascii="Calibri" w:hAnsi="Calibri" w:eastAsia="宋体" w:cs="Times New Roman"/>
      <w:sz w:val="21"/>
      <w:lang w:val="en-US" w:eastAsia="zh-CN" w:bidi="ar-SA"/>
    </w:rPr>
  </w:style>
  <w:style w:type="paragraph" w:customStyle="1" w:styleId="319">
    <w:name w:val="xl102"/>
    <w:basedOn w:val="1"/>
    <w:next w:val="320"/>
    <w:uiPriority w:val="0"/>
    <w:pPr>
      <w:widowControl/>
      <w:shd w:val="clear" w:color="000000" w:fill="FFFFFF"/>
      <w:spacing w:before="280" w:after="280"/>
      <w:jc w:val="right"/>
    </w:pPr>
    <w:rPr>
      <w:rFonts w:ascii="宋体" w:hAnsi="Calibri"/>
      <w:kern w:val="0"/>
      <w:sz w:val="20"/>
      <w:szCs w:val="20"/>
    </w:rPr>
  </w:style>
  <w:style w:type="paragraph" w:customStyle="1" w:styleId="320">
    <w:name w:val="toc 17"/>
    <w:next w:val="1"/>
    <w:uiPriority w:val="0"/>
    <w:pPr>
      <w:wordWrap w:val="0"/>
      <w:jc w:val="both"/>
    </w:pPr>
    <w:rPr>
      <w:rFonts w:ascii="Calibri" w:hAnsi="Calibri" w:eastAsia="宋体" w:cs="Times New Roman"/>
      <w:sz w:val="21"/>
      <w:lang w:val="en-US" w:eastAsia="zh-CN" w:bidi="ar-SA"/>
    </w:rPr>
  </w:style>
  <w:style w:type="paragraph" w:customStyle="1" w:styleId="321">
    <w:name w:val="toc 46"/>
    <w:next w:val="1"/>
    <w:uiPriority w:val="0"/>
    <w:pPr>
      <w:wordWrap w:val="0"/>
      <w:ind w:left="1275"/>
      <w:jc w:val="both"/>
    </w:pPr>
    <w:rPr>
      <w:rFonts w:ascii="Calibri" w:hAnsi="Calibri" w:eastAsia="宋体" w:cs="Times New Roman"/>
      <w:sz w:val="21"/>
      <w:lang w:val="en-US" w:eastAsia="zh-CN" w:bidi="ar-SA"/>
    </w:rPr>
  </w:style>
  <w:style w:type="paragraph" w:customStyle="1" w:styleId="322">
    <w:name w:val="toc 311"/>
    <w:next w:val="1"/>
    <w:uiPriority w:val="0"/>
    <w:pPr>
      <w:wordWrap w:val="0"/>
      <w:ind w:left="850"/>
      <w:jc w:val="both"/>
    </w:pPr>
    <w:rPr>
      <w:rFonts w:ascii="Calibri" w:hAnsi="Calibri" w:eastAsia="宋体" w:cs="Times New Roman"/>
      <w:sz w:val="21"/>
      <w:lang w:val="en-US" w:eastAsia="zh-CN" w:bidi="ar-SA"/>
    </w:rPr>
  </w:style>
  <w:style w:type="paragraph" w:customStyle="1" w:styleId="323">
    <w:name w:val="xl65"/>
    <w:basedOn w:val="1"/>
    <w:next w:val="224"/>
    <w:uiPriority w:val="0"/>
    <w:pPr>
      <w:widowControl/>
      <w:shd w:val="clear" w:color="000000" w:fill="FFFFFF"/>
      <w:spacing w:before="280" w:after="280"/>
      <w:jc w:val="center"/>
    </w:pPr>
    <w:rPr>
      <w:rFonts w:ascii="宋体" w:hAnsi="Calibri"/>
      <w:kern w:val="0"/>
      <w:sz w:val="20"/>
      <w:szCs w:val="20"/>
    </w:rPr>
  </w:style>
  <w:style w:type="paragraph" w:customStyle="1" w:styleId="324">
    <w:name w:val="toc 94"/>
    <w:next w:val="1"/>
    <w:uiPriority w:val="0"/>
    <w:pPr>
      <w:wordWrap w:val="0"/>
      <w:ind w:left="3400"/>
      <w:jc w:val="both"/>
    </w:pPr>
    <w:rPr>
      <w:rFonts w:ascii="Calibri" w:hAnsi="Calibri" w:eastAsia="宋体" w:cs="Times New Roman"/>
      <w:sz w:val="21"/>
      <w:lang w:val="en-US" w:eastAsia="zh-CN" w:bidi="ar-SA"/>
    </w:rPr>
  </w:style>
  <w:style w:type="paragraph" w:customStyle="1" w:styleId="325">
    <w:name w:val="toc 55"/>
    <w:next w:val="1"/>
    <w:uiPriority w:val="0"/>
    <w:pPr>
      <w:wordWrap w:val="0"/>
      <w:ind w:left="1700"/>
      <w:jc w:val="both"/>
    </w:pPr>
    <w:rPr>
      <w:rFonts w:ascii="Calibri" w:hAnsi="Calibri" w:eastAsia="宋体" w:cs="Times New Roman"/>
      <w:sz w:val="21"/>
      <w:lang w:val="en-US" w:eastAsia="zh-CN" w:bidi="ar-SA"/>
    </w:rPr>
  </w:style>
  <w:style w:type="paragraph" w:customStyle="1" w:styleId="326">
    <w:name w:val="toc 812"/>
    <w:next w:val="1"/>
    <w:uiPriority w:val="0"/>
    <w:pPr>
      <w:wordWrap w:val="0"/>
      <w:ind w:left="2975"/>
      <w:jc w:val="both"/>
    </w:pPr>
    <w:rPr>
      <w:rFonts w:ascii="Calibri" w:hAnsi="Calibri" w:eastAsia="宋体" w:cs="Times New Roman"/>
      <w:sz w:val="21"/>
      <w:lang w:val="en-US" w:eastAsia="zh-CN" w:bidi="ar-SA"/>
    </w:rPr>
  </w:style>
  <w:style w:type="paragraph" w:customStyle="1" w:styleId="327">
    <w:name w:val="xl75"/>
    <w:basedOn w:val="1"/>
    <w:next w:val="328"/>
    <w:uiPriority w:val="0"/>
    <w:pPr>
      <w:widowControl/>
      <w:shd w:val="clear" w:color="000000" w:fill="FFFFFF"/>
      <w:spacing w:before="280" w:after="280"/>
    </w:pPr>
    <w:rPr>
      <w:rFonts w:ascii="宋体" w:hAnsi="Calibri"/>
      <w:kern w:val="0"/>
      <w:sz w:val="20"/>
      <w:szCs w:val="20"/>
    </w:rPr>
  </w:style>
  <w:style w:type="paragraph" w:customStyle="1" w:styleId="328">
    <w:name w:val="toc 914"/>
    <w:next w:val="1"/>
    <w:uiPriority w:val="0"/>
    <w:pPr>
      <w:wordWrap w:val="0"/>
      <w:ind w:left="3400"/>
      <w:jc w:val="both"/>
    </w:pPr>
    <w:rPr>
      <w:rFonts w:ascii="Calibri" w:hAnsi="Calibri" w:eastAsia="宋体" w:cs="Times New Roman"/>
      <w:sz w:val="21"/>
      <w:lang w:val="en-US" w:eastAsia="zh-CN" w:bidi="ar-SA"/>
    </w:rPr>
  </w:style>
  <w:style w:type="paragraph" w:customStyle="1" w:styleId="329">
    <w:name w:val="toc 19"/>
    <w:next w:val="1"/>
    <w:uiPriority w:val="0"/>
    <w:pPr>
      <w:wordWrap w:val="0"/>
      <w:jc w:val="both"/>
    </w:pPr>
    <w:rPr>
      <w:rFonts w:ascii="Calibri" w:hAnsi="Calibri" w:eastAsia="宋体" w:cs="Times New Roman"/>
      <w:sz w:val="21"/>
      <w:lang w:val="en-US" w:eastAsia="zh-CN" w:bidi="ar-SA"/>
    </w:rPr>
  </w:style>
  <w:style w:type="paragraph" w:customStyle="1" w:styleId="330">
    <w:name w:val="TOC Heading6"/>
    <w:next w:val="1"/>
    <w:uiPriority w:val="0"/>
    <w:pPr>
      <w:wordWrap w:val="0"/>
    </w:pPr>
    <w:rPr>
      <w:rFonts w:ascii="Calibri" w:hAnsi="Calibri" w:eastAsia="宋体" w:cs="Times New Roman"/>
      <w:sz w:val="32"/>
      <w:lang w:val="en-US" w:eastAsia="zh-CN" w:bidi="ar-SA"/>
    </w:rPr>
  </w:style>
  <w:style w:type="paragraph" w:customStyle="1" w:styleId="331">
    <w:name w:val="toc 52"/>
    <w:next w:val="1"/>
    <w:uiPriority w:val="0"/>
    <w:pPr>
      <w:wordWrap w:val="0"/>
      <w:ind w:left="1700"/>
      <w:jc w:val="both"/>
    </w:pPr>
    <w:rPr>
      <w:rFonts w:ascii="Calibri" w:hAnsi="Calibri" w:eastAsia="宋体" w:cs="Times New Roman"/>
      <w:sz w:val="21"/>
      <w:lang w:val="en-US" w:eastAsia="zh-CN" w:bidi="ar-SA"/>
    </w:rPr>
  </w:style>
  <w:style w:type="paragraph" w:customStyle="1" w:styleId="332">
    <w:name w:val="toc 36"/>
    <w:next w:val="1"/>
    <w:uiPriority w:val="0"/>
    <w:pPr>
      <w:wordWrap w:val="0"/>
      <w:ind w:left="850"/>
      <w:jc w:val="both"/>
    </w:pPr>
    <w:rPr>
      <w:rFonts w:ascii="Calibri" w:hAnsi="Calibri" w:eastAsia="宋体" w:cs="Times New Roman"/>
      <w:sz w:val="21"/>
      <w:lang w:val="en-US" w:eastAsia="zh-CN" w:bidi="ar-SA"/>
    </w:rPr>
  </w:style>
  <w:style w:type="paragraph" w:customStyle="1" w:styleId="333">
    <w:name w:val="toc 82"/>
    <w:next w:val="1"/>
    <w:uiPriority w:val="0"/>
    <w:pPr>
      <w:wordWrap w:val="0"/>
      <w:ind w:left="2975"/>
      <w:jc w:val="both"/>
    </w:pPr>
    <w:rPr>
      <w:rFonts w:ascii="Calibri" w:hAnsi="Calibri" w:eastAsia="宋体" w:cs="Times New Roman"/>
      <w:sz w:val="21"/>
      <w:lang w:val="en-US" w:eastAsia="zh-CN" w:bidi="ar-SA"/>
    </w:rPr>
  </w:style>
  <w:style w:type="paragraph" w:customStyle="1" w:styleId="334">
    <w:name w:val="xl104"/>
    <w:basedOn w:val="1"/>
    <w:next w:val="335"/>
    <w:uiPriority w:val="0"/>
    <w:pPr>
      <w:widowControl/>
      <w:shd w:val="clear" w:color="000000" w:fill="FFFFFF"/>
      <w:spacing w:before="280" w:after="280"/>
      <w:jc w:val="center"/>
    </w:pPr>
    <w:rPr>
      <w:rFonts w:ascii="宋体" w:hAnsi="Calibri"/>
      <w:kern w:val="0"/>
      <w:sz w:val="20"/>
      <w:szCs w:val="20"/>
    </w:rPr>
  </w:style>
  <w:style w:type="paragraph" w:customStyle="1" w:styleId="335">
    <w:name w:val="toc 210"/>
    <w:next w:val="1"/>
    <w:uiPriority w:val="0"/>
    <w:pPr>
      <w:wordWrap w:val="0"/>
      <w:ind w:left="425"/>
      <w:jc w:val="both"/>
    </w:pPr>
    <w:rPr>
      <w:rFonts w:ascii="Calibri" w:hAnsi="Calibri" w:eastAsia="宋体" w:cs="Times New Roman"/>
      <w:sz w:val="21"/>
      <w:lang w:val="en-US" w:eastAsia="zh-CN" w:bidi="ar-SA"/>
    </w:rPr>
  </w:style>
  <w:style w:type="paragraph" w:customStyle="1" w:styleId="336">
    <w:name w:val="toc 110"/>
    <w:next w:val="1"/>
    <w:uiPriority w:val="0"/>
    <w:pPr>
      <w:wordWrap w:val="0"/>
      <w:jc w:val="both"/>
    </w:pPr>
    <w:rPr>
      <w:rFonts w:ascii="Calibri" w:hAnsi="Calibri" w:eastAsia="宋体" w:cs="Times New Roman"/>
      <w:sz w:val="21"/>
      <w:lang w:val="en-US" w:eastAsia="zh-CN" w:bidi="ar-SA"/>
    </w:rPr>
  </w:style>
  <w:style w:type="paragraph" w:customStyle="1" w:styleId="337">
    <w:name w:val="toc 66"/>
    <w:next w:val="1"/>
    <w:uiPriority w:val="0"/>
    <w:pPr>
      <w:wordWrap w:val="0"/>
      <w:ind w:left="2125"/>
      <w:jc w:val="both"/>
    </w:pPr>
    <w:rPr>
      <w:rFonts w:ascii="Calibri" w:hAnsi="Calibri" w:eastAsia="宋体" w:cs="Times New Roman"/>
      <w:sz w:val="21"/>
      <w:lang w:val="en-US" w:eastAsia="zh-CN" w:bidi="ar-SA"/>
    </w:rPr>
  </w:style>
  <w:style w:type="paragraph" w:customStyle="1" w:styleId="338">
    <w:name w:val="toc 31"/>
    <w:next w:val="1"/>
    <w:uiPriority w:val="0"/>
    <w:pPr>
      <w:wordWrap w:val="0"/>
      <w:ind w:left="850"/>
      <w:jc w:val="both"/>
    </w:pPr>
    <w:rPr>
      <w:rFonts w:ascii="Calibri" w:hAnsi="Calibri" w:eastAsia="宋体" w:cs="Times New Roman"/>
      <w:sz w:val="21"/>
      <w:lang w:val="en-US" w:eastAsia="zh-CN" w:bidi="ar-SA"/>
    </w:rPr>
  </w:style>
  <w:style w:type="paragraph" w:customStyle="1" w:styleId="339">
    <w:name w:val="toc 93"/>
    <w:next w:val="1"/>
    <w:uiPriority w:val="0"/>
    <w:pPr>
      <w:wordWrap w:val="0"/>
      <w:ind w:left="3400"/>
      <w:jc w:val="both"/>
    </w:pPr>
    <w:rPr>
      <w:rFonts w:ascii="Calibri" w:hAnsi="Calibri" w:eastAsia="宋体" w:cs="Times New Roman"/>
      <w:sz w:val="21"/>
      <w:lang w:val="en-US" w:eastAsia="zh-CN" w:bidi="ar-SA"/>
    </w:rPr>
  </w:style>
  <w:style w:type="paragraph" w:customStyle="1" w:styleId="340">
    <w:name w:val="toc 614"/>
    <w:next w:val="1"/>
    <w:uiPriority w:val="0"/>
    <w:pPr>
      <w:wordWrap w:val="0"/>
      <w:ind w:left="2125"/>
      <w:jc w:val="both"/>
    </w:pPr>
    <w:rPr>
      <w:rFonts w:ascii="Calibri" w:hAnsi="Calibri" w:eastAsia="宋体" w:cs="Times New Roman"/>
      <w:sz w:val="21"/>
      <w:lang w:val="en-US" w:eastAsia="zh-CN" w:bidi="ar-SA"/>
    </w:rPr>
  </w:style>
  <w:style w:type="paragraph" w:customStyle="1" w:styleId="341">
    <w:name w:val="无间隔1"/>
    <w:next w:val="336"/>
    <w:uiPriority w:val="0"/>
    <w:pPr>
      <w:widowControl w:val="0"/>
      <w:jc w:val="both"/>
    </w:pPr>
    <w:rPr>
      <w:rFonts w:ascii="Calibri" w:hAnsi="Calibri" w:eastAsia="宋体" w:cs="Times New Roman"/>
      <w:sz w:val="22"/>
      <w:lang w:val="en-US" w:eastAsia="zh-CN" w:bidi="ar-SA"/>
    </w:rPr>
  </w:style>
  <w:style w:type="paragraph" w:customStyle="1" w:styleId="342">
    <w:name w:val="目录 41"/>
    <w:next w:val="1"/>
    <w:uiPriority w:val="0"/>
    <w:pPr>
      <w:wordWrap w:val="0"/>
      <w:ind w:left="1275"/>
      <w:jc w:val="both"/>
    </w:pPr>
    <w:rPr>
      <w:rFonts w:ascii="Calibri" w:hAnsi="Calibri" w:eastAsia="宋体" w:cs="Times New Roman"/>
      <w:sz w:val="21"/>
      <w:lang w:val="en-US" w:eastAsia="zh-CN" w:bidi="ar-SA"/>
    </w:rPr>
  </w:style>
  <w:style w:type="paragraph" w:customStyle="1" w:styleId="343">
    <w:name w:val="xl105"/>
    <w:basedOn w:val="1"/>
    <w:next w:val="344"/>
    <w:uiPriority w:val="0"/>
    <w:pPr>
      <w:widowControl/>
      <w:shd w:val="clear" w:color="000000" w:fill="FFFFFF"/>
      <w:spacing w:before="280" w:after="280"/>
    </w:pPr>
    <w:rPr>
      <w:rFonts w:ascii="宋体" w:hAnsi="Calibri"/>
      <w:kern w:val="0"/>
      <w:sz w:val="18"/>
      <w:szCs w:val="20"/>
    </w:rPr>
  </w:style>
  <w:style w:type="paragraph" w:customStyle="1" w:styleId="344">
    <w:name w:val="toc 615"/>
    <w:next w:val="1"/>
    <w:uiPriority w:val="0"/>
    <w:pPr>
      <w:wordWrap w:val="0"/>
      <w:ind w:left="2125"/>
      <w:jc w:val="both"/>
    </w:pPr>
    <w:rPr>
      <w:rFonts w:ascii="Calibri" w:hAnsi="Calibri" w:eastAsia="宋体" w:cs="Times New Roman"/>
      <w:sz w:val="21"/>
      <w:lang w:val="en-US" w:eastAsia="zh-CN" w:bidi="ar-SA"/>
    </w:rPr>
  </w:style>
  <w:style w:type="paragraph" w:customStyle="1" w:styleId="345">
    <w:name w:val="toc 41"/>
    <w:next w:val="1"/>
    <w:uiPriority w:val="0"/>
    <w:pPr>
      <w:wordWrap w:val="0"/>
      <w:ind w:left="1275"/>
      <w:jc w:val="both"/>
    </w:pPr>
    <w:rPr>
      <w:rFonts w:ascii="Calibri" w:hAnsi="Calibri" w:eastAsia="宋体" w:cs="Times New Roman"/>
      <w:sz w:val="21"/>
      <w:lang w:val="en-US" w:eastAsia="zh-CN" w:bidi="ar-SA"/>
    </w:rPr>
  </w:style>
  <w:style w:type="paragraph" w:customStyle="1" w:styleId="346">
    <w:name w:val="toc 81"/>
    <w:next w:val="1"/>
    <w:uiPriority w:val="0"/>
    <w:pPr>
      <w:wordWrap w:val="0"/>
      <w:ind w:left="2975"/>
      <w:jc w:val="both"/>
    </w:pPr>
    <w:rPr>
      <w:rFonts w:ascii="Calibri" w:hAnsi="Calibri" w:eastAsia="宋体" w:cs="Times New Roman"/>
      <w:sz w:val="21"/>
      <w:lang w:val="en-US" w:eastAsia="zh-CN" w:bidi="ar-SA"/>
    </w:rPr>
  </w:style>
  <w:style w:type="paragraph" w:customStyle="1" w:styleId="347">
    <w:name w:val="xl111"/>
    <w:basedOn w:val="1"/>
    <w:next w:val="348"/>
    <w:uiPriority w:val="0"/>
    <w:pPr>
      <w:widowControl/>
      <w:shd w:val="clear" w:color="000000" w:fill="FFFFFF"/>
      <w:spacing w:before="280" w:after="280"/>
      <w:jc w:val="center"/>
    </w:pPr>
    <w:rPr>
      <w:rFonts w:ascii="宋体" w:hAnsi="Calibri"/>
      <w:b/>
      <w:kern w:val="0"/>
      <w:sz w:val="20"/>
      <w:szCs w:val="20"/>
    </w:rPr>
  </w:style>
  <w:style w:type="paragraph" w:customStyle="1" w:styleId="348">
    <w:name w:val="toc 88"/>
    <w:next w:val="1"/>
    <w:uiPriority w:val="0"/>
    <w:pPr>
      <w:wordWrap w:val="0"/>
      <w:ind w:left="2975"/>
      <w:jc w:val="both"/>
    </w:pPr>
    <w:rPr>
      <w:rFonts w:ascii="Calibri" w:hAnsi="Calibri" w:eastAsia="宋体" w:cs="Times New Roman"/>
      <w:sz w:val="21"/>
      <w:lang w:val="en-US" w:eastAsia="zh-CN" w:bidi="ar-SA"/>
    </w:rPr>
  </w:style>
  <w:style w:type="paragraph" w:customStyle="1" w:styleId="349">
    <w:name w:val="toc 84"/>
    <w:next w:val="1"/>
    <w:uiPriority w:val="0"/>
    <w:pPr>
      <w:wordWrap w:val="0"/>
      <w:ind w:left="2975"/>
      <w:jc w:val="both"/>
    </w:pPr>
    <w:rPr>
      <w:rFonts w:ascii="Calibri" w:hAnsi="Calibri" w:eastAsia="宋体" w:cs="Times New Roman"/>
      <w:sz w:val="21"/>
      <w:lang w:val="en-US" w:eastAsia="zh-CN" w:bidi="ar-SA"/>
    </w:rPr>
  </w:style>
  <w:style w:type="paragraph" w:customStyle="1" w:styleId="350">
    <w:name w:val="p0"/>
    <w:basedOn w:val="1"/>
    <w:next w:val="351"/>
    <w:uiPriority w:val="0"/>
    <w:pPr>
      <w:widowControl/>
      <w:spacing w:before="280" w:after="280"/>
    </w:pPr>
    <w:rPr>
      <w:rFonts w:ascii="宋体" w:hAnsi="Calibri"/>
      <w:kern w:val="0"/>
      <w:sz w:val="24"/>
      <w:szCs w:val="20"/>
    </w:rPr>
  </w:style>
  <w:style w:type="paragraph" w:customStyle="1" w:styleId="351">
    <w:name w:val="toc 69"/>
    <w:next w:val="1"/>
    <w:uiPriority w:val="0"/>
    <w:pPr>
      <w:wordWrap w:val="0"/>
      <w:ind w:left="2125"/>
      <w:jc w:val="both"/>
    </w:pPr>
    <w:rPr>
      <w:rFonts w:ascii="Calibri" w:hAnsi="Calibri" w:eastAsia="宋体" w:cs="Times New Roman"/>
      <w:sz w:val="21"/>
      <w:lang w:val="en-US" w:eastAsia="zh-CN" w:bidi="ar-SA"/>
    </w:rPr>
  </w:style>
  <w:style w:type="paragraph" w:customStyle="1" w:styleId="352">
    <w:name w:val="列出段落11"/>
    <w:basedOn w:val="1"/>
    <w:next w:val="353"/>
    <w:uiPriority w:val="0"/>
    <w:pPr>
      <w:widowControl/>
      <w:spacing w:line="360" w:lineRule="auto"/>
      <w:ind w:firstLine="420"/>
    </w:pPr>
    <w:rPr>
      <w:rFonts w:hAnsi="Calibri" w:eastAsia="微软雅黑"/>
      <w:kern w:val="0"/>
      <w:sz w:val="24"/>
      <w:szCs w:val="20"/>
    </w:rPr>
  </w:style>
  <w:style w:type="paragraph" w:customStyle="1" w:styleId="353">
    <w:name w:val="toc 214"/>
    <w:next w:val="1"/>
    <w:uiPriority w:val="0"/>
    <w:pPr>
      <w:wordWrap w:val="0"/>
      <w:ind w:left="425"/>
      <w:jc w:val="both"/>
    </w:pPr>
    <w:rPr>
      <w:rFonts w:ascii="Calibri" w:hAnsi="Calibri" w:eastAsia="宋体" w:cs="Times New Roman"/>
      <w:sz w:val="21"/>
      <w:lang w:val="en-US" w:eastAsia="zh-CN" w:bidi="ar-SA"/>
    </w:rPr>
  </w:style>
  <w:style w:type="paragraph" w:customStyle="1" w:styleId="354">
    <w:name w:val="toc 63"/>
    <w:next w:val="1"/>
    <w:uiPriority w:val="0"/>
    <w:pPr>
      <w:wordWrap w:val="0"/>
      <w:ind w:left="2125"/>
      <w:jc w:val="both"/>
    </w:pPr>
    <w:rPr>
      <w:rFonts w:ascii="Calibri" w:hAnsi="Calibri" w:eastAsia="宋体" w:cs="Times New Roman"/>
      <w:sz w:val="21"/>
      <w:lang w:val="en-US" w:eastAsia="zh-CN" w:bidi="ar-SA"/>
    </w:rPr>
  </w:style>
  <w:style w:type="paragraph" w:customStyle="1" w:styleId="355">
    <w:name w:val="xl91"/>
    <w:basedOn w:val="1"/>
    <w:next w:val="252"/>
    <w:uiPriority w:val="0"/>
    <w:pPr>
      <w:widowControl/>
      <w:shd w:val="clear" w:color="000000" w:fill="FFFFFF"/>
      <w:spacing w:before="280" w:after="280"/>
    </w:pPr>
    <w:rPr>
      <w:rFonts w:ascii="宋体" w:hAnsi="Calibri"/>
      <w:kern w:val="0"/>
      <w:sz w:val="20"/>
      <w:szCs w:val="20"/>
    </w:rPr>
  </w:style>
  <w:style w:type="paragraph" w:customStyle="1" w:styleId="356">
    <w:name w:val="toc 316"/>
    <w:next w:val="1"/>
    <w:uiPriority w:val="0"/>
    <w:pPr>
      <w:wordWrap w:val="0"/>
      <w:ind w:left="850"/>
      <w:jc w:val="both"/>
    </w:pPr>
    <w:rPr>
      <w:rFonts w:ascii="Calibri" w:hAnsi="Calibri" w:eastAsia="宋体" w:cs="Times New Roman"/>
      <w:sz w:val="21"/>
      <w:lang w:val="en-US" w:eastAsia="zh-CN" w:bidi="ar-SA"/>
    </w:rPr>
  </w:style>
  <w:style w:type="paragraph" w:customStyle="1" w:styleId="357">
    <w:name w:val="_Style 1"/>
    <w:basedOn w:val="1"/>
    <w:next w:val="358"/>
    <w:uiPriority w:val="0"/>
    <w:pPr>
      <w:ind w:firstLine="420"/>
    </w:pPr>
    <w:rPr>
      <w:rFonts w:hAnsi="Calibri"/>
      <w:kern w:val="0"/>
      <w:szCs w:val="20"/>
    </w:rPr>
  </w:style>
  <w:style w:type="paragraph" w:customStyle="1" w:styleId="358">
    <w:name w:val="TOC Heading13"/>
    <w:next w:val="1"/>
    <w:uiPriority w:val="0"/>
    <w:pPr>
      <w:wordWrap w:val="0"/>
    </w:pPr>
    <w:rPr>
      <w:rFonts w:ascii="Calibri" w:hAnsi="Calibri" w:eastAsia="宋体" w:cs="Times New Roman"/>
      <w:sz w:val="32"/>
      <w:lang w:val="en-US" w:eastAsia="zh-CN" w:bidi="ar-SA"/>
    </w:rPr>
  </w:style>
  <w:style w:type="paragraph" w:customStyle="1" w:styleId="359">
    <w:name w:val="toc 116"/>
    <w:next w:val="1"/>
    <w:uiPriority w:val="0"/>
    <w:pPr>
      <w:wordWrap w:val="0"/>
      <w:jc w:val="both"/>
    </w:pPr>
    <w:rPr>
      <w:rFonts w:ascii="Calibri" w:hAnsi="Calibri" w:eastAsia="宋体" w:cs="Times New Roman"/>
      <w:sz w:val="21"/>
      <w:lang w:val="en-US" w:eastAsia="zh-CN" w:bidi="ar-SA"/>
    </w:rPr>
  </w:style>
  <w:style w:type="paragraph" w:customStyle="1" w:styleId="360">
    <w:name w:val="toc 72"/>
    <w:next w:val="1"/>
    <w:uiPriority w:val="0"/>
    <w:pPr>
      <w:wordWrap w:val="0"/>
      <w:ind w:left="2550"/>
      <w:jc w:val="both"/>
    </w:pPr>
    <w:rPr>
      <w:rFonts w:ascii="Calibri" w:hAnsi="Calibri" w:eastAsia="宋体" w:cs="Times New Roman"/>
      <w:sz w:val="21"/>
      <w:lang w:val="en-US" w:eastAsia="zh-CN" w:bidi="ar-SA"/>
    </w:rPr>
  </w:style>
  <w:style w:type="paragraph" w:customStyle="1" w:styleId="361">
    <w:name w:val="x_msonormal"/>
    <w:basedOn w:val="1"/>
    <w:next w:val="311"/>
    <w:uiPriority w:val="0"/>
    <w:pPr>
      <w:widowControl/>
      <w:spacing w:before="280" w:after="280"/>
    </w:pPr>
    <w:rPr>
      <w:rFonts w:ascii="PMingLiU" w:hAnsi="Calibri" w:eastAsia="PMingLiU"/>
      <w:kern w:val="0"/>
      <w:sz w:val="24"/>
      <w:szCs w:val="20"/>
    </w:rPr>
  </w:style>
  <w:style w:type="paragraph" w:customStyle="1" w:styleId="362">
    <w:name w:val="toc 310"/>
    <w:next w:val="1"/>
    <w:uiPriority w:val="0"/>
    <w:pPr>
      <w:wordWrap w:val="0"/>
      <w:ind w:left="850"/>
      <w:jc w:val="both"/>
    </w:pPr>
    <w:rPr>
      <w:rFonts w:ascii="Calibri" w:hAnsi="Calibri" w:eastAsia="宋体" w:cs="Times New Roman"/>
      <w:sz w:val="21"/>
      <w:lang w:val="en-US" w:eastAsia="zh-CN" w:bidi="ar-SA"/>
    </w:rPr>
  </w:style>
  <w:style w:type="paragraph" w:customStyle="1" w:styleId="363">
    <w:name w:val="toc 83"/>
    <w:next w:val="1"/>
    <w:uiPriority w:val="0"/>
    <w:pPr>
      <w:wordWrap w:val="0"/>
      <w:ind w:left="2975"/>
      <w:jc w:val="both"/>
    </w:pPr>
    <w:rPr>
      <w:rFonts w:ascii="Calibri" w:hAnsi="Calibri" w:eastAsia="宋体" w:cs="Times New Roman"/>
      <w:sz w:val="21"/>
      <w:lang w:val="en-US" w:eastAsia="zh-CN" w:bidi="ar-SA"/>
    </w:rPr>
  </w:style>
  <w:style w:type="paragraph" w:customStyle="1" w:styleId="364">
    <w:name w:val="TOC Heading17"/>
    <w:next w:val="1"/>
    <w:uiPriority w:val="0"/>
    <w:pPr>
      <w:wordWrap w:val="0"/>
    </w:pPr>
    <w:rPr>
      <w:rFonts w:ascii="Calibri" w:hAnsi="Calibri" w:eastAsia="宋体" w:cs="Times New Roman"/>
      <w:sz w:val="32"/>
      <w:lang w:val="en-US" w:eastAsia="zh-CN" w:bidi="ar-SA"/>
    </w:rPr>
  </w:style>
  <w:style w:type="paragraph" w:customStyle="1" w:styleId="365">
    <w:name w:val="toc 911"/>
    <w:next w:val="1"/>
    <w:uiPriority w:val="0"/>
    <w:pPr>
      <w:wordWrap w:val="0"/>
      <w:ind w:left="3400"/>
      <w:jc w:val="both"/>
    </w:pPr>
    <w:rPr>
      <w:rFonts w:ascii="Calibri" w:hAnsi="Calibri" w:eastAsia="宋体" w:cs="Times New Roman"/>
      <w:sz w:val="21"/>
      <w:lang w:val="en-US" w:eastAsia="zh-CN" w:bidi="ar-SA"/>
    </w:rPr>
  </w:style>
  <w:style w:type="paragraph" w:customStyle="1" w:styleId="366">
    <w:name w:val="toc 811"/>
    <w:next w:val="1"/>
    <w:uiPriority w:val="0"/>
    <w:pPr>
      <w:wordWrap w:val="0"/>
      <w:ind w:left="2975"/>
      <w:jc w:val="both"/>
    </w:pPr>
    <w:rPr>
      <w:rFonts w:ascii="Calibri" w:hAnsi="Calibri" w:eastAsia="宋体" w:cs="Times New Roman"/>
      <w:sz w:val="21"/>
      <w:lang w:val="en-US" w:eastAsia="zh-CN" w:bidi="ar-SA"/>
    </w:rPr>
  </w:style>
  <w:style w:type="paragraph" w:customStyle="1" w:styleId="367">
    <w:name w:val="目录 31"/>
    <w:next w:val="1"/>
    <w:uiPriority w:val="0"/>
    <w:pPr>
      <w:wordWrap w:val="0"/>
      <w:ind w:left="850"/>
      <w:jc w:val="both"/>
    </w:pPr>
    <w:rPr>
      <w:rFonts w:ascii="Calibri" w:hAnsi="Calibri" w:eastAsia="宋体" w:cs="Times New Roman"/>
      <w:sz w:val="21"/>
      <w:lang w:val="en-US" w:eastAsia="zh-CN" w:bidi="ar-SA"/>
    </w:rPr>
  </w:style>
  <w:style w:type="paragraph" w:customStyle="1" w:styleId="368">
    <w:name w:val="xl118"/>
    <w:basedOn w:val="1"/>
    <w:next w:val="242"/>
    <w:uiPriority w:val="0"/>
    <w:pPr>
      <w:widowControl/>
      <w:shd w:val="clear" w:color="000000" w:fill="FFFFFF"/>
      <w:spacing w:before="280" w:after="280"/>
      <w:jc w:val="center"/>
    </w:pPr>
    <w:rPr>
      <w:rFonts w:ascii="宋体" w:hAnsi="Calibri"/>
      <w:b/>
      <w:kern w:val="0"/>
      <w:sz w:val="20"/>
      <w:szCs w:val="20"/>
    </w:rPr>
  </w:style>
  <w:style w:type="paragraph" w:customStyle="1" w:styleId="369">
    <w:name w:val="xl83"/>
    <w:basedOn w:val="1"/>
    <w:next w:val="297"/>
    <w:uiPriority w:val="0"/>
    <w:pPr>
      <w:widowControl/>
      <w:shd w:val="clear" w:color="000000" w:fill="FFFFFF"/>
      <w:spacing w:before="280" w:after="280"/>
    </w:pPr>
    <w:rPr>
      <w:rFonts w:ascii="宋体" w:hAnsi="Calibri"/>
      <w:kern w:val="0"/>
      <w:sz w:val="20"/>
      <w:szCs w:val="20"/>
    </w:rPr>
  </w:style>
  <w:style w:type="paragraph" w:customStyle="1" w:styleId="370">
    <w:name w:val="xl103"/>
    <w:basedOn w:val="1"/>
    <w:next w:val="371"/>
    <w:uiPriority w:val="0"/>
    <w:pPr>
      <w:widowControl/>
      <w:shd w:val="clear" w:color="000000" w:fill="FFFFFF"/>
      <w:spacing w:before="280" w:after="280"/>
    </w:pPr>
    <w:rPr>
      <w:rFonts w:ascii="宋体" w:hAnsi="Calibri"/>
      <w:kern w:val="0"/>
      <w:sz w:val="20"/>
      <w:szCs w:val="20"/>
    </w:rPr>
  </w:style>
  <w:style w:type="paragraph" w:customStyle="1" w:styleId="371">
    <w:name w:val="toc 111"/>
    <w:next w:val="1"/>
    <w:uiPriority w:val="0"/>
    <w:pPr>
      <w:wordWrap w:val="0"/>
      <w:jc w:val="both"/>
    </w:pPr>
    <w:rPr>
      <w:rFonts w:ascii="Calibri" w:hAnsi="Calibri" w:eastAsia="宋体" w:cs="Times New Roman"/>
      <w:sz w:val="21"/>
      <w:lang w:val="en-US" w:eastAsia="zh-CN" w:bidi="ar-SA"/>
    </w:rPr>
  </w:style>
  <w:style w:type="paragraph" w:customStyle="1" w:styleId="372">
    <w:name w:val="xl68"/>
    <w:basedOn w:val="1"/>
    <w:next w:val="373"/>
    <w:uiPriority w:val="0"/>
    <w:pPr>
      <w:widowControl/>
      <w:shd w:val="clear" w:color="000000" w:fill="FFFFFF"/>
      <w:spacing w:before="280" w:after="280"/>
    </w:pPr>
    <w:rPr>
      <w:rFonts w:ascii="宋体" w:hAnsi="Calibri"/>
      <w:b/>
      <w:kern w:val="0"/>
      <w:sz w:val="20"/>
      <w:szCs w:val="20"/>
    </w:rPr>
  </w:style>
  <w:style w:type="paragraph" w:customStyle="1" w:styleId="373">
    <w:name w:val="TOC Heading16"/>
    <w:next w:val="1"/>
    <w:uiPriority w:val="0"/>
    <w:pPr>
      <w:wordWrap w:val="0"/>
    </w:pPr>
    <w:rPr>
      <w:rFonts w:ascii="Calibri" w:hAnsi="Calibri" w:eastAsia="宋体" w:cs="Times New Roman"/>
      <w:sz w:val="32"/>
      <w:lang w:val="en-US" w:eastAsia="zh-CN" w:bidi="ar-SA"/>
    </w:rPr>
  </w:style>
  <w:style w:type="paragraph" w:customStyle="1" w:styleId="374">
    <w:name w:val="toc 113"/>
    <w:next w:val="1"/>
    <w:uiPriority w:val="0"/>
    <w:pPr>
      <w:wordWrap w:val="0"/>
      <w:jc w:val="both"/>
    </w:pPr>
    <w:rPr>
      <w:rFonts w:ascii="Calibri" w:hAnsi="Calibri" w:eastAsia="宋体" w:cs="Times New Roman"/>
      <w:sz w:val="21"/>
      <w:lang w:val="en-US" w:eastAsia="zh-CN" w:bidi="ar-SA"/>
    </w:rPr>
  </w:style>
  <w:style w:type="paragraph" w:customStyle="1" w:styleId="375">
    <w:name w:val="xl94"/>
    <w:basedOn w:val="1"/>
    <w:next w:val="266"/>
    <w:uiPriority w:val="0"/>
    <w:pPr>
      <w:widowControl/>
      <w:shd w:val="clear" w:color="000000" w:fill="FFFFFF"/>
      <w:spacing w:before="280" w:after="280"/>
      <w:jc w:val="center"/>
    </w:pPr>
    <w:rPr>
      <w:rFonts w:ascii="宋体" w:hAnsi="Calibri"/>
      <w:kern w:val="0"/>
      <w:sz w:val="20"/>
      <w:szCs w:val="20"/>
    </w:rPr>
  </w:style>
  <w:style w:type="paragraph" w:customStyle="1" w:styleId="376">
    <w:name w:val="toc 53"/>
    <w:next w:val="1"/>
    <w:uiPriority w:val="0"/>
    <w:pPr>
      <w:wordWrap w:val="0"/>
      <w:ind w:left="1700"/>
      <w:jc w:val="both"/>
    </w:pPr>
    <w:rPr>
      <w:rFonts w:ascii="Calibri" w:hAnsi="Calibri" w:eastAsia="宋体" w:cs="Times New Roman"/>
      <w:sz w:val="21"/>
      <w:lang w:val="en-US" w:eastAsia="zh-CN" w:bidi="ar-SA"/>
    </w:rPr>
  </w:style>
  <w:style w:type="paragraph" w:customStyle="1" w:styleId="377">
    <w:name w:val="xl92"/>
    <w:basedOn w:val="1"/>
    <w:next w:val="378"/>
    <w:uiPriority w:val="0"/>
    <w:pPr>
      <w:widowControl/>
      <w:shd w:val="clear" w:color="000000" w:fill="FFFFFF"/>
      <w:spacing w:before="280" w:after="280"/>
    </w:pPr>
    <w:rPr>
      <w:rFonts w:ascii="宋体" w:hAnsi="Calibri"/>
      <w:kern w:val="0"/>
      <w:sz w:val="20"/>
      <w:szCs w:val="20"/>
    </w:rPr>
  </w:style>
  <w:style w:type="paragraph" w:customStyle="1" w:styleId="378">
    <w:name w:val="toc 913"/>
    <w:next w:val="1"/>
    <w:uiPriority w:val="0"/>
    <w:pPr>
      <w:wordWrap w:val="0"/>
      <w:ind w:left="3400"/>
      <w:jc w:val="both"/>
    </w:pPr>
    <w:rPr>
      <w:rFonts w:ascii="Calibri" w:hAnsi="Calibri" w:eastAsia="宋体" w:cs="Times New Roman"/>
      <w:sz w:val="21"/>
      <w:lang w:val="en-US" w:eastAsia="zh-CN" w:bidi="ar-SA"/>
    </w:rPr>
  </w:style>
  <w:style w:type="paragraph" w:customStyle="1" w:styleId="379">
    <w:name w:val="toc 512"/>
    <w:next w:val="1"/>
    <w:uiPriority w:val="0"/>
    <w:pPr>
      <w:wordWrap w:val="0"/>
      <w:ind w:left="1700"/>
      <w:jc w:val="both"/>
    </w:pPr>
    <w:rPr>
      <w:rFonts w:ascii="Calibri" w:hAnsi="Calibri" w:eastAsia="宋体" w:cs="Times New Roman"/>
      <w:sz w:val="21"/>
      <w:lang w:val="en-US" w:eastAsia="zh-CN" w:bidi="ar-SA"/>
    </w:rPr>
  </w:style>
  <w:style w:type="paragraph" w:customStyle="1" w:styleId="380">
    <w:name w:val="目录 81"/>
    <w:next w:val="1"/>
    <w:uiPriority w:val="0"/>
    <w:pPr>
      <w:wordWrap w:val="0"/>
      <w:ind w:left="2975"/>
      <w:jc w:val="both"/>
    </w:pPr>
    <w:rPr>
      <w:rFonts w:ascii="Calibri" w:hAnsi="Calibri" w:eastAsia="宋体" w:cs="Times New Roman"/>
      <w:sz w:val="21"/>
      <w:lang w:val="en-US" w:eastAsia="zh-CN" w:bidi="ar-SA"/>
    </w:rPr>
  </w:style>
  <w:style w:type="paragraph" w:customStyle="1" w:styleId="381">
    <w:name w:val="正文表标题"/>
    <w:next w:val="1"/>
    <w:uiPriority w:val="0"/>
    <w:pPr>
      <w:ind w:left="630"/>
      <w:jc w:val="center"/>
    </w:pPr>
    <w:rPr>
      <w:rFonts w:ascii="黑体" w:hAnsi="Calibri" w:eastAsia="黑体" w:cs="Times New Roman"/>
      <w:sz w:val="21"/>
      <w:lang w:val="en-US" w:eastAsia="zh-CN" w:bidi="ar-SA"/>
    </w:rPr>
  </w:style>
  <w:style w:type="paragraph" w:customStyle="1" w:styleId="382">
    <w:name w:val="toc 28"/>
    <w:next w:val="1"/>
    <w:uiPriority w:val="0"/>
    <w:pPr>
      <w:wordWrap w:val="0"/>
      <w:ind w:left="425"/>
      <w:jc w:val="both"/>
    </w:pPr>
    <w:rPr>
      <w:rFonts w:ascii="Calibri" w:hAnsi="Calibri" w:eastAsia="宋体" w:cs="Times New Roman"/>
      <w:sz w:val="21"/>
      <w:lang w:val="en-US" w:eastAsia="zh-CN" w:bidi="ar-SA"/>
    </w:rPr>
  </w:style>
  <w:style w:type="paragraph" w:customStyle="1" w:styleId="383">
    <w:name w:val="toc 79"/>
    <w:next w:val="1"/>
    <w:uiPriority w:val="0"/>
    <w:pPr>
      <w:wordWrap w:val="0"/>
      <w:ind w:left="2550"/>
      <w:jc w:val="both"/>
    </w:pPr>
    <w:rPr>
      <w:rFonts w:ascii="Calibri" w:hAnsi="Calibri" w:eastAsia="宋体" w:cs="Times New Roman"/>
      <w:sz w:val="21"/>
      <w:lang w:val="en-US" w:eastAsia="zh-CN" w:bidi="ar-SA"/>
    </w:rPr>
  </w:style>
  <w:style w:type="paragraph" w:customStyle="1" w:styleId="384">
    <w:name w:val="xl110"/>
    <w:basedOn w:val="1"/>
    <w:next w:val="340"/>
    <w:uiPriority w:val="0"/>
    <w:pPr>
      <w:widowControl/>
      <w:shd w:val="clear" w:color="000000" w:fill="FFFFFF"/>
      <w:spacing w:before="280" w:after="280"/>
      <w:jc w:val="center"/>
    </w:pPr>
    <w:rPr>
      <w:rFonts w:ascii="宋体" w:hAnsi="Calibri"/>
      <w:kern w:val="0"/>
      <w:sz w:val="20"/>
      <w:szCs w:val="20"/>
    </w:rPr>
  </w:style>
  <w:style w:type="paragraph" w:customStyle="1" w:styleId="385">
    <w:name w:val="toc 511"/>
    <w:next w:val="1"/>
    <w:uiPriority w:val="0"/>
    <w:pPr>
      <w:wordWrap w:val="0"/>
      <w:ind w:left="1700"/>
      <w:jc w:val="both"/>
    </w:pPr>
    <w:rPr>
      <w:rFonts w:ascii="Calibri" w:hAnsi="Calibri" w:eastAsia="宋体" w:cs="Times New Roman"/>
      <w:sz w:val="21"/>
      <w:lang w:val="en-US" w:eastAsia="zh-CN" w:bidi="ar-SA"/>
    </w:rPr>
  </w:style>
  <w:style w:type="paragraph" w:customStyle="1" w:styleId="386">
    <w:name w:val="toc 416"/>
    <w:next w:val="1"/>
    <w:uiPriority w:val="0"/>
    <w:pPr>
      <w:wordWrap w:val="0"/>
      <w:ind w:left="1275"/>
      <w:jc w:val="both"/>
    </w:pPr>
    <w:rPr>
      <w:rFonts w:ascii="Calibri" w:hAnsi="Calibri" w:eastAsia="宋体" w:cs="Times New Roman"/>
      <w:sz w:val="21"/>
      <w:lang w:val="en-US" w:eastAsia="zh-CN" w:bidi="ar-SA"/>
    </w:rPr>
  </w:style>
  <w:style w:type="paragraph" w:customStyle="1" w:styleId="387">
    <w:name w:val="xl85"/>
    <w:basedOn w:val="1"/>
    <w:next w:val="388"/>
    <w:uiPriority w:val="0"/>
    <w:pPr>
      <w:widowControl/>
      <w:shd w:val="clear" w:color="000000" w:fill="FFFFFF"/>
      <w:spacing w:before="280" w:after="280"/>
      <w:jc w:val="center"/>
    </w:pPr>
    <w:rPr>
      <w:rFonts w:ascii="宋体" w:hAnsi="Calibri"/>
      <w:kern w:val="0"/>
      <w:sz w:val="20"/>
      <w:szCs w:val="20"/>
    </w:rPr>
  </w:style>
  <w:style w:type="paragraph" w:customStyle="1" w:styleId="388">
    <w:name w:val="toc 76"/>
    <w:next w:val="1"/>
    <w:uiPriority w:val="0"/>
    <w:pPr>
      <w:wordWrap w:val="0"/>
      <w:ind w:left="2550"/>
      <w:jc w:val="both"/>
    </w:pPr>
    <w:rPr>
      <w:rFonts w:ascii="Calibri" w:hAnsi="Calibri" w:eastAsia="宋体" w:cs="Times New Roman"/>
      <w:sz w:val="21"/>
      <w:lang w:val="en-US" w:eastAsia="zh-CN" w:bidi="ar-SA"/>
    </w:rPr>
  </w:style>
  <w:style w:type="paragraph" w:customStyle="1" w:styleId="389">
    <w:name w:val="toc 27"/>
    <w:next w:val="1"/>
    <w:uiPriority w:val="0"/>
    <w:pPr>
      <w:wordWrap w:val="0"/>
      <w:ind w:left="425"/>
      <w:jc w:val="both"/>
    </w:pPr>
    <w:rPr>
      <w:rFonts w:ascii="Calibri" w:hAnsi="Calibri" w:eastAsia="宋体" w:cs="Times New Roman"/>
      <w:sz w:val="21"/>
      <w:lang w:val="en-US" w:eastAsia="zh-CN" w:bidi="ar-SA"/>
    </w:rPr>
  </w:style>
  <w:style w:type="paragraph" w:customStyle="1" w:styleId="390">
    <w:name w:val="toc 916"/>
    <w:next w:val="1"/>
    <w:uiPriority w:val="0"/>
    <w:pPr>
      <w:wordWrap w:val="0"/>
      <w:ind w:left="3400"/>
      <w:jc w:val="both"/>
    </w:pPr>
    <w:rPr>
      <w:rFonts w:ascii="Calibri" w:hAnsi="Calibri" w:eastAsia="宋体" w:cs="Times New Roman"/>
      <w:sz w:val="21"/>
      <w:lang w:val="en-US" w:eastAsia="zh-CN" w:bidi="ar-SA"/>
    </w:rPr>
  </w:style>
  <w:style w:type="paragraph" w:customStyle="1" w:styleId="391">
    <w:name w:val="toc 77"/>
    <w:next w:val="1"/>
    <w:uiPriority w:val="0"/>
    <w:pPr>
      <w:wordWrap w:val="0"/>
      <w:ind w:left="2550"/>
      <w:jc w:val="both"/>
    </w:pPr>
    <w:rPr>
      <w:rFonts w:ascii="Calibri" w:hAnsi="Calibri" w:eastAsia="宋体" w:cs="Times New Roman"/>
      <w:sz w:val="21"/>
      <w:lang w:val="en-US" w:eastAsia="zh-CN" w:bidi="ar-SA"/>
    </w:rPr>
  </w:style>
  <w:style w:type="paragraph" w:customStyle="1" w:styleId="392">
    <w:name w:val="toc 211"/>
    <w:next w:val="1"/>
    <w:uiPriority w:val="0"/>
    <w:pPr>
      <w:wordWrap w:val="0"/>
      <w:ind w:left="425"/>
      <w:jc w:val="both"/>
    </w:pPr>
    <w:rPr>
      <w:rFonts w:ascii="Calibri" w:hAnsi="Calibri" w:eastAsia="宋体" w:cs="Times New Roman"/>
      <w:sz w:val="21"/>
      <w:lang w:val="en-US" w:eastAsia="zh-CN" w:bidi="ar-SA"/>
    </w:rPr>
  </w:style>
  <w:style w:type="paragraph" w:customStyle="1" w:styleId="393">
    <w:name w:val="toc 815"/>
    <w:next w:val="1"/>
    <w:uiPriority w:val="0"/>
    <w:pPr>
      <w:wordWrap w:val="0"/>
      <w:ind w:left="2975"/>
      <w:jc w:val="both"/>
    </w:pPr>
    <w:rPr>
      <w:rFonts w:ascii="Calibri" w:hAnsi="Calibri" w:eastAsia="宋体" w:cs="Times New Roman"/>
      <w:sz w:val="21"/>
      <w:lang w:val="en-US" w:eastAsia="zh-CN" w:bidi="ar-SA"/>
    </w:rPr>
  </w:style>
  <w:style w:type="paragraph" w:customStyle="1" w:styleId="394">
    <w:name w:val="xl99"/>
    <w:basedOn w:val="1"/>
    <w:next w:val="379"/>
    <w:uiPriority w:val="0"/>
    <w:pPr>
      <w:widowControl/>
      <w:shd w:val="clear" w:color="000000" w:fill="FFFFFF"/>
      <w:spacing w:before="280" w:after="280"/>
    </w:pPr>
    <w:rPr>
      <w:rFonts w:ascii="宋体" w:hAnsi="Calibri"/>
      <w:kern w:val="0"/>
      <w:sz w:val="18"/>
      <w:szCs w:val="20"/>
    </w:rPr>
  </w:style>
  <w:style w:type="paragraph" w:customStyle="1" w:styleId="395">
    <w:name w:val="xl97"/>
    <w:basedOn w:val="1"/>
    <w:next w:val="267"/>
    <w:uiPriority w:val="0"/>
    <w:pPr>
      <w:widowControl/>
      <w:shd w:val="clear" w:color="000000" w:fill="FFFFFF"/>
      <w:spacing w:before="280" w:after="280"/>
      <w:jc w:val="center"/>
    </w:pPr>
    <w:rPr>
      <w:rFonts w:ascii="宋体" w:hAnsi="Calibri"/>
      <w:kern w:val="0"/>
      <w:sz w:val="20"/>
      <w:szCs w:val="20"/>
    </w:rPr>
  </w:style>
  <w:style w:type="paragraph" w:customStyle="1" w:styleId="396">
    <w:name w:val="toc 612"/>
    <w:next w:val="1"/>
    <w:uiPriority w:val="0"/>
    <w:pPr>
      <w:wordWrap w:val="0"/>
      <w:ind w:left="2125"/>
      <w:jc w:val="both"/>
    </w:pPr>
    <w:rPr>
      <w:rFonts w:ascii="Calibri" w:hAnsi="Calibri" w:eastAsia="宋体" w:cs="Times New Roman"/>
      <w:sz w:val="21"/>
      <w:lang w:val="en-US" w:eastAsia="zh-CN" w:bidi="ar-SA"/>
    </w:rPr>
  </w:style>
  <w:style w:type="paragraph" w:customStyle="1" w:styleId="397">
    <w:name w:val="toc 315"/>
    <w:next w:val="1"/>
    <w:uiPriority w:val="0"/>
    <w:pPr>
      <w:wordWrap w:val="0"/>
      <w:ind w:left="850"/>
      <w:jc w:val="both"/>
    </w:pPr>
    <w:rPr>
      <w:rFonts w:ascii="Calibri" w:hAnsi="Calibri" w:eastAsia="宋体" w:cs="Times New Roman"/>
      <w:sz w:val="21"/>
      <w:lang w:val="en-US" w:eastAsia="zh-CN" w:bidi="ar-SA"/>
    </w:rPr>
  </w:style>
  <w:style w:type="paragraph" w:customStyle="1" w:styleId="398">
    <w:name w:val="TOC Heading15"/>
    <w:next w:val="1"/>
    <w:uiPriority w:val="0"/>
    <w:pPr>
      <w:wordWrap w:val="0"/>
    </w:pPr>
    <w:rPr>
      <w:rFonts w:ascii="Calibri" w:hAnsi="Calibri" w:eastAsia="宋体" w:cs="Times New Roman"/>
      <w:sz w:val="32"/>
      <w:lang w:val="en-US" w:eastAsia="zh-CN" w:bidi="ar-SA"/>
    </w:rPr>
  </w:style>
  <w:style w:type="paragraph" w:customStyle="1" w:styleId="399">
    <w:name w:val="toc 915"/>
    <w:next w:val="1"/>
    <w:uiPriority w:val="0"/>
    <w:pPr>
      <w:wordWrap w:val="0"/>
      <w:ind w:left="3400"/>
      <w:jc w:val="both"/>
    </w:pPr>
    <w:rPr>
      <w:rFonts w:ascii="Calibri" w:hAnsi="Calibri" w:eastAsia="宋体" w:cs="Times New Roman"/>
      <w:sz w:val="21"/>
      <w:lang w:val="en-US" w:eastAsia="zh-CN" w:bidi="ar-SA"/>
    </w:rPr>
  </w:style>
  <w:style w:type="paragraph" w:customStyle="1" w:styleId="400">
    <w:name w:val="toc 39"/>
    <w:next w:val="1"/>
    <w:uiPriority w:val="0"/>
    <w:pPr>
      <w:wordWrap w:val="0"/>
      <w:ind w:left="850"/>
      <w:jc w:val="both"/>
    </w:pPr>
    <w:rPr>
      <w:rFonts w:ascii="Calibri" w:hAnsi="Calibri" w:eastAsia="宋体" w:cs="Times New Roman"/>
      <w:sz w:val="21"/>
      <w:lang w:val="en-US" w:eastAsia="zh-CN" w:bidi="ar-SA"/>
    </w:rPr>
  </w:style>
  <w:style w:type="paragraph" w:customStyle="1" w:styleId="401">
    <w:name w:val="toc 710"/>
    <w:next w:val="1"/>
    <w:uiPriority w:val="0"/>
    <w:pPr>
      <w:wordWrap w:val="0"/>
      <w:ind w:left="2550"/>
      <w:jc w:val="both"/>
    </w:pPr>
    <w:rPr>
      <w:rFonts w:ascii="Calibri" w:hAnsi="Calibri" w:eastAsia="宋体" w:cs="Times New Roman"/>
      <w:sz w:val="21"/>
      <w:lang w:val="en-US" w:eastAsia="zh-CN" w:bidi="ar-SA"/>
    </w:rPr>
  </w:style>
  <w:style w:type="paragraph" w:customStyle="1" w:styleId="402">
    <w:name w:val="toc 12"/>
    <w:next w:val="1"/>
    <w:uiPriority w:val="0"/>
    <w:pPr>
      <w:wordWrap w:val="0"/>
      <w:jc w:val="both"/>
    </w:pPr>
    <w:rPr>
      <w:rFonts w:ascii="Calibri" w:hAnsi="Calibri" w:eastAsia="宋体" w:cs="Times New Roman"/>
      <w:sz w:val="21"/>
      <w:lang w:val="en-US" w:eastAsia="zh-CN" w:bidi="ar-SA"/>
    </w:rPr>
  </w:style>
  <w:style w:type="paragraph" w:customStyle="1" w:styleId="403">
    <w:name w:val="xl95"/>
    <w:basedOn w:val="1"/>
    <w:next w:val="404"/>
    <w:uiPriority w:val="0"/>
    <w:pPr>
      <w:widowControl/>
      <w:shd w:val="clear" w:color="000000" w:fill="FFFFFF"/>
      <w:spacing w:before="280" w:after="280"/>
    </w:pPr>
    <w:rPr>
      <w:rFonts w:ascii="宋体" w:hAnsi="Calibri"/>
      <w:kern w:val="0"/>
      <w:sz w:val="20"/>
      <w:szCs w:val="20"/>
    </w:rPr>
  </w:style>
  <w:style w:type="paragraph" w:customStyle="1" w:styleId="404">
    <w:name w:val="toc 415"/>
    <w:next w:val="1"/>
    <w:uiPriority w:val="0"/>
    <w:pPr>
      <w:wordWrap w:val="0"/>
      <w:ind w:left="1275"/>
      <w:jc w:val="both"/>
    </w:pPr>
    <w:rPr>
      <w:rFonts w:ascii="Calibri" w:hAnsi="Calibri" w:eastAsia="宋体" w:cs="Times New Roman"/>
      <w:sz w:val="21"/>
      <w:lang w:val="en-US" w:eastAsia="zh-CN" w:bidi="ar-SA"/>
    </w:rPr>
  </w:style>
  <w:style w:type="paragraph" w:customStyle="1" w:styleId="405">
    <w:name w:val="toc 29"/>
    <w:next w:val="1"/>
    <w:uiPriority w:val="0"/>
    <w:pPr>
      <w:wordWrap w:val="0"/>
      <w:ind w:left="425"/>
      <w:jc w:val="both"/>
    </w:pPr>
    <w:rPr>
      <w:rFonts w:ascii="Calibri" w:hAnsi="Calibri" w:eastAsia="宋体" w:cs="Times New Roman"/>
      <w:sz w:val="21"/>
      <w:lang w:val="en-US" w:eastAsia="zh-CN" w:bidi="ar-SA"/>
    </w:rPr>
  </w:style>
  <w:style w:type="paragraph" w:customStyle="1" w:styleId="406">
    <w:name w:val="xl67"/>
    <w:basedOn w:val="1"/>
    <w:next w:val="407"/>
    <w:uiPriority w:val="0"/>
    <w:pPr>
      <w:widowControl/>
      <w:shd w:val="clear" w:color="000000" w:fill="FFFFFF"/>
      <w:spacing w:before="280" w:after="280"/>
      <w:jc w:val="center"/>
    </w:pPr>
    <w:rPr>
      <w:rFonts w:ascii="宋体" w:hAnsi="Calibri"/>
      <w:b/>
      <w:kern w:val="0"/>
      <w:sz w:val="20"/>
      <w:szCs w:val="20"/>
    </w:rPr>
  </w:style>
  <w:style w:type="paragraph" w:customStyle="1" w:styleId="407">
    <w:name w:val="toc 714"/>
    <w:next w:val="1"/>
    <w:uiPriority w:val="0"/>
    <w:pPr>
      <w:wordWrap w:val="0"/>
      <w:ind w:left="2550"/>
      <w:jc w:val="both"/>
    </w:pPr>
    <w:rPr>
      <w:rFonts w:ascii="Calibri" w:hAnsi="Calibri" w:eastAsia="宋体" w:cs="Times New Roman"/>
      <w:sz w:val="21"/>
      <w:lang w:val="en-US" w:eastAsia="zh-CN" w:bidi="ar-SA"/>
    </w:rPr>
  </w:style>
  <w:style w:type="paragraph" w:customStyle="1" w:styleId="408">
    <w:name w:val="toc 21"/>
    <w:next w:val="1"/>
    <w:uiPriority w:val="0"/>
    <w:pPr>
      <w:wordWrap w:val="0"/>
      <w:ind w:left="425"/>
      <w:jc w:val="both"/>
    </w:pPr>
    <w:rPr>
      <w:rFonts w:ascii="Calibri" w:hAnsi="Calibri" w:eastAsia="宋体" w:cs="Times New Roman"/>
      <w:sz w:val="21"/>
      <w:lang w:val="en-US" w:eastAsia="zh-CN" w:bidi="ar-SA"/>
    </w:rPr>
  </w:style>
  <w:style w:type="paragraph" w:customStyle="1" w:styleId="409">
    <w:name w:val="正文 A"/>
    <w:next w:val="326"/>
    <w:uiPriority w:val="0"/>
    <w:rPr>
      <w:rFonts w:ascii="Arial" w:hAnsi="Calibri" w:eastAsia="Arial Unicode MS" w:cs="Times New Roman"/>
      <w:color w:val="000000"/>
      <w:sz w:val="21"/>
      <w:lang w:val="en-US" w:eastAsia="zh-CN" w:bidi="ar-SA"/>
    </w:rPr>
  </w:style>
  <w:style w:type="paragraph" w:customStyle="1" w:styleId="410">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11">
    <w:name w:val="toc 58"/>
    <w:next w:val="1"/>
    <w:uiPriority w:val="0"/>
    <w:pPr>
      <w:wordWrap w:val="0"/>
      <w:ind w:left="1700"/>
      <w:jc w:val="both"/>
    </w:pPr>
    <w:rPr>
      <w:rFonts w:ascii="Calibri" w:hAnsi="Calibri" w:eastAsia="宋体" w:cs="Times New Roman"/>
      <w:sz w:val="21"/>
      <w:lang w:val="en-US" w:eastAsia="zh-CN" w:bidi="ar-SA"/>
    </w:rPr>
  </w:style>
  <w:style w:type="paragraph" w:customStyle="1" w:styleId="412">
    <w:name w:val="xl88"/>
    <w:basedOn w:val="1"/>
    <w:next w:val="398"/>
    <w:uiPriority w:val="0"/>
    <w:pPr>
      <w:widowControl/>
      <w:shd w:val="clear" w:color="000000" w:fill="FFFFFF"/>
      <w:spacing w:before="280" w:after="280"/>
      <w:jc w:val="center"/>
    </w:pPr>
    <w:rPr>
      <w:rFonts w:ascii="宋体" w:hAnsi="Calibri"/>
      <w:kern w:val="0"/>
      <w:sz w:val="20"/>
      <w:szCs w:val="20"/>
    </w:rPr>
  </w:style>
  <w:style w:type="paragraph" w:customStyle="1" w:styleId="413">
    <w:name w:val="toc 71"/>
    <w:next w:val="1"/>
    <w:uiPriority w:val="0"/>
    <w:pPr>
      <w:wordWrap w:val="0"/>
      <w:ind w:left="2550"/>
      <w:jc w:val="both"/>
    </w:pPr>
    <w:rPr>
      <w:rFonts w:ascii="Calibri" w:hAnsi="Calibri" w:eastAsia="宋体" w:cs="Times New Roman"/>
      <w:sz w:val="21"/>
      <w:lang w:val="en-US" w:eastAsia="zh-CN" w:bidi="ar-SA"/>
    </w:rPr>
  </w:style>
  <w:style w:type="paragraph" w:customStyle="1" w:styleId="414">
    <w:name w:val="xl100"/>
    <w:basedOn w:val="1"/>
    <w:next w:val="415"/>
    <w:uiPriority w:val="0"/>
    <w:pPr>
      <w:widowControl/>
      <w:shd w:val="clear" w:color="000000" w:fill="FFFFFF"/>
      <w:spacing w:before="280" w:after="280"/>
    </w:pPr>
    <w:rPr>
      <w:rFonts w:ascii="宋体" w:hAnsi="Calibri"/>
      <w:kern w:val="0"/>
      <w:sz w:val="20"/>
      <w:szCs w:val="20"/>
    </w:rPr>
  </w:style>
  <w:style w:type="paragraph" w:customStyle="1" w:styleId="415">
    <w:name w:val="toc 510"/>
    <w:next w:val="1"/>
    <w:uiPriority w:val="0"/>
    <w:pPr>
      <w:wordWrap w:val="0"/>
      <w:ind w:left="1700"/>
      <w:jc w:val="both"/>
    </w:pPr>
    <w:rPr>
      <w:rFonts w:ascii="Calibri" w:hAnsi="Calibri" w:eastAsia="宋体" w:cs="Times New Roman"/>
      <w:sz w:val="21"/>
      <w:lang w:val="en-US" w:eastAsia="zh-CN" w:bidi="ar-SA"/>
    </w:rPr>
  </w:style>
  <w:style w:type="paragraph" w:customStyle="1" w:styleId="416">
    <w:name w:val="toc 314"/>
    <w:next w:val="1"/>
    <w:uiPriority w:val="0"/>
    <w:pPr>
      <w:wordWrap w:val="0"/>
      <w:ind w:left="850"/>
      <w:jc w:val="both"/>
    </w:pPr>
    <w:rPr>
      <w:rFonts w:ascii="Calibri" w:hAnsi="Calibri" w:eastAsia="宋体" w:cs="Times New Roman"/>
      <w:sz w:val="21"/>
      <w:lang w:val="en-US" w:eastAsia="zh-CN" w:bidi="ar-SA"/>
    </w:rPr>
  </w:style>
  <w:style w:type="paragraph" w:customStyle="1" w:styleId="417">
    <w:name w:val="xl114"/>
    <w:basedOn w:val="1"/>
    <w:next w:val="269"/>
    <w:uiPriority w:val="0"/>
    <w:pPr>
      <w:widowControl/>
      <w:shd w:val="clear" w:color="000000" w:fill="FFFFFF"/>
      <w:spacing w:before="280" w:after="280"/>
      <w:jc w:val="center"/>
    </w:pPr>
    <w:rPr>
      <w:rFonts w:ascii="宋体" w:hAnsi="Calibri"/>
      <w:b/>
      <w:kern w:val="0"/>
      <w:sz w:val="20"/>
      <w:szCs w:val="20"/>
    </w:rPr>
  </w:style>
  <w:style w:type="paragraph" w:customStyle="1" w:styleId="418">
    <w:name w:val="xl107"/>
    <w:basedOn w:val="1"/>
    <w:next w:val="419"/>
    <w:uiPriority w:val="0"/>
    <w:pPr>
      <w:widowControl/>
      <w:shd w:val="clear" w:color="000000" w:fill="FFFFFF"/>
      <w:spacing w:before="280" w:after="280"/>
    </w:pPr>
    <w:rPr>
      <w:rFonts w:ascii="宋体" w:hAnsi="Calibri"/>
      <w:kern w:val="0"/>
      <w:sz w:val="20"/>
      <w:szCs w:val="20"/>
    </w:rPr>
  </w:style>
  <w:style w:type="paragraph" w:customStyle="1" w:styleId="419">
    <w:name w:val="toc 610"/>
    <w:next w:val="1"/>
    <w:uiPriority w:val="0"/>
    <w:pPr>
      <w:wordWrap w:val="0"/>
      <w:ind w:left="2125"/>
      <w:jc w:val="both"/>
    </w:pPr>
    <w:rPr>
      <w:rFonts w:ascii="Calibri" w:hAnsi="Calibri" w:eastAsia="宋体" w:cs="Times New Roman"/>
      <w:sz w:val="21"/>
      <w:lang w:val="en-US" w:eastAsia="zh-CN" w:bidi="ar-SA"/>
    </w:rPr>
  </w:style>
  <w:style w:type="paragraph" w:customStyle="1" w:styleId="420">
    <w:name w:val="toc 22"/>
    <w:next w:val="1"/>
    <w:uiPriority w:val="0"/>
    <w:pPr>
      <w:wordWrap w:val="0"/>
      <w:ind w:left="425"/>
      <w:jc w:val="both"/>
    </w:pPr>
    <w:rPr>
      <w:rFonts w:ascii="Calibri" w:hAnsi="Calibri" w:eastAsia="宋体" w:cs="Times New Roman"/>
      <w:sz w:val="21"/>
      <w:lang w:val="en-US" w:eastAsia="zh-CN" w:bidi="ar-SA"/>
    </w:rPr>
  </w:style>
  <w:style w:type="paragraph" w:customStyle="1" w:styleId="421">
    <w:name w:val="xl90"/>
    <w:basedOn w:val="1"/>
    <w:next w:val="223"/>
    <w:uiPriority w:val="0"/>
    <w:pPr>
      <w:widowControl/>
      <w:shd w:val="clear" w:color="000000" w:fill="FFFFFF"/>
      <w:spacing w:before="280" w:after="280"/>
    </w:pPr>
    <w:rPr>
      <w:rFonts w:ascii="宋体" w:hAnsi="Calibri"/>
      <w:kern w:val="0"/>
      <w:sz w:val="18"/>
      <w:szCs w:val="20"/>
    </w:rPr>
  </w:style>
  <w:style w:type="paragraph" w:customStyle="1" w:styleId="422">
    <w:name w:val="toc 616"/>
    <w:next w:val="1"/>
    <w:uiPriority w:val="0"/>
    <w:pPr>
      <w:wordWrap w:val="0"/>
      <w:ind w:left="2125"/>
      <w:jc w:val="both"/>
    </w:pPr>
    <w:rPr>
      <w:rFonts w:ascii="Calibri" w:hAnsi="Calibri" w:eastAsia="宋体" w:cs="Times New Roman"/>
      <w:sz w:val="21"/>
      <w:lang w:val="en-US" w:eastAsia="zh-CN" w:bidi="ar-SA"/>
    </w:rPr>
  </w:style>
  <w:style w:type="paragraph" w:customStyle="1" w:styleId="423">
    <w:name w:val="toc 96"/>
    <w:next w:val="1"/>
    <w:uiPriority w:val="0"/>
    <w:pPr>
      <w:wordWrap w:val="0"/>
      <w:ind w:left="3400"/>
      <w:jc w:val="both"/>
    </w:pPr>
    <w:rPr>
      <w:rFonts w:ascii="Calibri" w:hAnsi="Calibri" w:eastAsia="宋体" w:cs="Times New Roman"/>
      <w:sz w:val="21"/>
      <w:lang w:val="en-US" w:eastAsia="zh-CN" w:bidi="ar-SA"/>
    </w:rPr>
  </w:style>
  <w:style w:type="paragraph" w:customStyle="1" w:styleId="424">
    <w:name w:val="toc 42"/>
    <w:next w:val="1"/>
    <w:uiPriority w:val="0"/>
    <w:pPr>
      <w:wordWrap w:val="0"/>
      <w:ind w:left="1275"/>
      <w:jc w:val="both"/>
    </w:pPr>
    <w:rPr>
      <w:rFonts w:ascii="Calibri" w:hAnsi="Calibri" w:eastAsia="宋体" w:cs="Times New Roman"/>
      <w:sz w:val="21"/>
      <w:lang w:val="en-US" w:eastAsia="zh-CN" w:bidi="ar-SA"/>
    </w:rPr>
  </w:style>
  <w:style w:type="paragraph" w:customStyle="1" w:styleId="425">
    <w:name w:val="xl117"/>
    <w:basedOn w:val="1"/>
    <w:next w:val="322"/>
    <w:uiPriority w:val="0"/>
    <w:pPr>
      <w:widowControl/>
      <w:shd w:val="clear" w:color="000000" w:fill="FFFFFF"/>
      <w:spacing w:before="280" w:after="280"/>
      <w:jc w:val="center"/>
    </w:pPr>
    <w:rPr>
      <w:rFonts w:ascii="Arial Narrow" w:hAnsi="Calibri"/>
      <w:kern w:val="0"/>
      <w:sz w:val="24"/>
      <w:szCs w:val="20"/>
    </w:rPr>
  </w:style>
  <w:style w:type="paragraph" w:customStyle="1" w:styleId="426">
    <w:name w:val="p15"/>
    <w:basedOn w:val="1"/>
    <w:next w:val="247"/>
    <w:uiPriority w:val="0"/>
    <w:pPr>
      <w:widowControl/>
      <w:ind w:firstLine="420"/>
    </w:pPr>
    <w:rPr>
      <w:rFonts w:hAnsi="Calibri"/>
      <w:kern w:val="0"/>
      <w:szCs w:val="20"/>
    </w:rPr>
  </w:style>
  <w:style w:type="paragraph" w:customStyle="1" w:styleId="427">
    <w:name w:val="xl87"/>
    <w:basedOn w:val="1"/>
    <w:next w:val="428"/>
    <w:uiPriority w:val="0"/>
    <w:pPr>
      <w:widowControl/>
      <w:shd w:val="clear" w:color="000000" w:fill="FFFFFF"/>
      <w:spacing w:before="280" w:after="280"/>
    </w:pPr>
    <w:rPr>
      <w:rFonts w:ascii="Arial" w:hAnsi="Calibri"/>
      <w:kern w:val="0"/>
      <w:sz w:val="18"/>
      <w:szCs w:val="20"/>
    </w:rPr>
  </w:style>
  <w:style w:type="paragraph" w:customStyle="1" w:styleId="428">
    <w:name w:val="toc 98"/>
    <w:next w:val="1"/>
    <w:uiPriority w:val="0"/>
    <w:pPr>
      <w:wordWrap w:val="0"/>
      <w:ind w:left="3400"/>
      <w:jc w:val="both"/>
    </w:pPr>
    <w:rPr>
      <w:rFonts w:ascii="Calibri" w:hAnsi="Calibri" w:eastAsia="宋体" w:cs="Times New Roman"/>
      <w:sz w:val="21"/>
      <w:lang w:val="en-US" w:eastAsia="zh-CN" w:bidi="ar-SA"/>
    </w:rPr>
  </w:style>
  <w:style w:type="paragraph" w:customStyle="1" w:styleId="429">
    <w:name w:val="列出段落7"/>
    <w:basedOn w:val="1"/>
    <w:next w:val="411"/>
    <w:uiPriority w:val="0"/>
    <w:pPr>
      <w:ind w:firstLine="420"/>
    </w:pPr>
    <w:rPr>
      <w:rFonts w:hAnsi="Calibri"/>
      <w:kern w:val="0"/>
      <w:szCs w:val="20"/>
    </w:rPr>
  </w:style>
  <w:style w:type="paragraph" w:customStyle="1" w:styleId="430">
    <w:name w:val="xl78"/>
    <w:basedOn w:val="1"/>
    <w:next w:val="401"/>
    <w:uiPriority w:val="0"/>
    <w:pPr>
      <w:widowControl/>
      <w:shd w:val="clear" w:color="000000" w:fill="FFFFFF"/>
      <w:spacing w:before="280" w:after="280"/>
    </w:pPr>
    <w:rPr>
      <w:rFonts w:ascii="宋体" w:hAnsi="Calibri"/>
      <w:b/>
      <w:kern w:val="0"/>
      <w:sz w:val="20"/>
      <w:szCs w:val="20"/>
    </w:rPr>
  </w:style>
  <w:style w:type="paragraph" w:customStyle="1" w:styleId="431">
    <w:name w:val="toc 516"/>
    <w:next w:val="1"/>
    <w:uiPriority w:val="0"/>
    <w:pPr>
      <w:wordWrap w:val="0"/>
      <w:ind w:left="1700"/>
      <w:jc w:val="both"/>
    </w:pPr>
    <w:rPr>
      <w:rFonts w:ascii="Calibri" w:hAnsi="Calibri" w:eastAsia="宋体" w:cs="Times New Roman"/>
      <w:sz w:val="21"/>
      <w:lang w:val="en-US" w:eastAsia="zh-CN" w:bidi="ar-SA"/>
    </w:rPr>
  </w:style>
  <w:style w:type="paragraph" w:customStyle="1" w:styleId="432">
    <w:name w:val="xl89"/>
    <w:basedOn w:val="1"/>
    <w:next w:val="366"/>
    <w:uiPriority w:val="0"/>
    <w:pPr>
      <w:widowControl/>
      <w:shd w:val="clear" w:color="000000" w:fill="FFFFFF"/>
      <w:spacing w:before="280" w:after="280"/>
    </w:pPr>
    <w:rPr>
      <w:rFonts w:ascii="宋体" w:hAnsi="Calibri"/>
      <w:kern w:val="0"/>
      <w:sz w:val="20"/>
      <w:szCs w:val="20"/>
    </w:rPr>
  </w:style>
  <w:style w:type="paragraph" w:customStyle="1" w:styleId="433">
    <w:name w:val="toc 910"/>
    <w:next w:val="1"/>
    <w:uiPriority w:val="0"/>
    <w:pPr>
      <w:wordWrap w:val="0"/>
      <w:ind w:left="3400"/>
      <w:jc w:val="both"/>
    </w:pPr>
    <w:rPr>
      <w:rFonts w:ascii="Calibri" w:hAnsi="Calibri" w:eastAsia="宋体" w:cs="Times New Roman"/>
      <w:sz w:val="21"/>
      <w:lang w:val="en-US" w:eastAsia="zh-CN" w:bidi="ar-SA"/>
    </w:rPr>
  </w:style>
  <w:style w:type="paragraph" w:customStyle="1" w:styleId="434">
    <w:name w:val="toc 34"/>
    <w:next w:val="1"/>
    <w:uiPriority w:val="0"/>
    <w:pPr>
      <w:wordWrap w:val="0"/>
      <w:ind w:left="850"/>
      <w:jc w:val="both"/>
    </w:pPr>
    <w:rPr>
      <w:rFonts w:ascii="Calibri" w:hAnsi="Calibri" w:eastAsia="宋体" w:cs="Times New Roman"/>
      <w:sz w:val="21"/>
      <w:lang w:val="en-US" w:eastAsia="zh-CN" w:bidi="ar-SA"/>
    </w:rPr>
  </w:style>
  <w:style w:type="paragraph" w:customStyle="1" w:styleId="435">
    <w:name w:val="toc 816"/>
    <w:next w:val="1"/>
    <w:uiPriority w:val="0"/>
    <w:pPr>
      <w:wordWrap w:val="0"/>
      <w:ind w:left="2975"/>
      <w:jc w:val="both"/>
    </w:pPr>
    <w:rPr>
      <w:rFonts w:ascii="Calibri" w:hAnsi="Calibri" w:eastAsia="宋体" w:cs="Times New Roman"/>
      <w:sz w:val="21"/>
      <w:lang w:val="en-US" w:eastAsia="zh-CN" w:bidi="ar-SA"/>
    </w:rPr>
  </w:style>
  <w:style w:type="paragraph" w:customStyle="1" w:styleId="436">
    <w:name w:val="toc 43"/>
    <w:next w:val="1"/>
    <w:uiPriority w:val="0"/>
    <w:pPr>
      <w:wordWrap w:val="0"/>
      <w:ind w:left="1275"/>
      <w:jc w:val="both"/>
    </w:pPr>
    <w:rPr>
      <w:rFonts w:ascii="Calibri" w:hAnsi="Calibri" w:eastAsia="宋体" w:cs="Times New Roman"/>
      <w:sz w:val="21"/>
      <w:lang w:val="en-US" w:eastAsia="zh-CN" w:bidi="ar-SA"/>
    </w:rPr>
  </w:style>
  <w:style w:type="paragraph" w:customStyle="1" w:styleId="437">
    <w:name w:val="toc 16"/>
    <w:next w:val="1"/>
    <w:uiPriority w:val="0"/>
    <w:pPr>
      <w:wordWrap w:val="0"/>
      <w:jc w:val="both"/>
    </w:pPr>
    <w:rPr>
      <w:rFonts w:ascii="Calibri" w:hAnsi="Calibri" w:eastAsia="宋体" w:cs="Times New Roman"/>
      <w:sz w:val="21"/>
      <w:lang w:val="en-US" w:eastAsia="zh-CN" w:bidi="ar-SA"/>
    </w:rPr>
  </w:style>
  <w:style w:type="paragraph" w:styleId="438">
    <w:name w:val="Quote"/>
    <w:next w:val="1"/>
    <w:link w:val="439"/>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439">
    <w:name w:val="引用 Char"/>
    <w:basedOn w:val="46"/>
    <w:link w:val="438"/>
    <w:uiPriority w:val="0"/>
    <w:rPr>
      <w:rFonts w:ascii="Calibri" w:hAnsi="Calibri"/>
      <w:i/>
      <w:sz w:val="21"/>
    </w:rPr>
  </w:style>
  <w:style w:type="paragraph" w:customStyle="1" w:styleId="440">
    <w:name w:val="toc 114"/>
    <w:next w:val="1"/>
    <w:uiPriority w:val="0"/>
    <w:pPr>
      <w:wordWrap w:val="0"/>
      <w:jc w:val="both"/>
    </w:pPr>
    <w:rPr>
      <w:rFonts w:ascii="Calibri" w:hAnsi="Calibri" w:eastAsia="宋体" w:cs="Times New Roman"/>
      <w:sz w:val="21"/>
      <w:lang w:val="en-US" w:eastAsia="zh-CN" w:bidi="ar-SA"/>
    </w:rPr>
  </w:style>
  <w:style w:type="paragraph" w:customStyle="1" w:styleId="441">
    <w:name w:val="xl119"/>
    <w:basedOn w:val="1"/>
    <w:next w:val="416"/>
    <w:uiPriority w:val="0"/>
    <w:pPr>
      <w:widowControl/>
      <w:shd w:val="clear" w:color="000000" w:fill="FFFFFF"/>
      <w:spacing w:before="280" w:after="280"/>
      <w:jc w:val="center"/>
    </w:pPr>
    <w:rPr>
      <w:rFonts w:ascii="宋体" w:hAnsi="Calibri"/>
      <w:b/>
      <w:kern w:val="0"/>
      <w:sz w:val="20"/>
      <w:szCs w:val="20"/>
    </w:rPr>
  </w:style>
  <w:style w:type="paragraph" w:customStyle="1" w:styleId="442">
    <w:name w:val="toc 37"/>
    <w:next w:val="1"/>
    <w:uiPriority w:val="0"/>
    <w:pPr>
      <w:wordWrap w:val="0"/>
      <w:ind w:left="850"/>
      <w:jc w:val="both"/>
    </w:pPr>
    <w:rPr>
      <w:rFonts w:ascii="Calibri" w:hAnsi="Calibri" w:eastAsia="宋体" w:cs="Times New Roman"/>
      <w:sz w:val="21"/>
      <w:lang w:val="en-US" w:eastAsia="zh-CN" w:bidi="ar-SA"/>
    </w:rPr>
  </w:style>
  <w:style w:type="paragraph" w:customStyle="1" w:styleId="443">
    <w:name w:val="xl109"/>
    <w:basedOn w:val="1"/>
    <w:next w:val="389"/>
    <w:uiPriority w:val="0"/>
    <w:pPr>
      <w:widowControl/>
      <w:shd w:val="clear" w:color="000000" w:fill="FFFFFF"/>
      <w:spacing w:before="280" w:after="280"/>
    </w:pPr>
    <w:rPr>
      <w:rFonts w:ascii="宋体" w:hAnsi="Calibri"/>
      <w:kern w:val="0"/>
      <w:sz w:val="20"/>
      <w:szCs w:val="20"/>
    </w:rPr>
  </w:style>
  <w:style w:type="paragraph" w:customStyle="1" w:styleId="444">
    <w:name w:val="toc 215"/>
    <w:next w:val="1"/>
    <w:uiPriority w:val="0"/>
    <w:pPr>
      <w:wordWrap w:val="0"/>
      <w:ind w:left="425"/>
      <w:jc w:val="both"/>
    </w:pPr>
    <w:rPr>
      <w:rFonts w:ascii="Calibri" w:hAnsi="Calibri" w:eastAsia="宋体" w:cs="Times New Roman"/>
      <w:sz w:val="21"/>
      <w:lang w:val="en-US" w:eastAsia="zh-CN" w:bidi="ar-SA"/>
    </w:rPr>
  </w:style>
  <w:style w:type="paragraph" w:customStyle="1" w:styleId="445">
    <w:name w:val="xl76"/>
    <w:basedOn w:val="1"/>
    <w:next w:val="397"/>
    <w:uiPriority w:val="0"/>
    <w:pPr>
      <w:widowControl/>
      <w:shd w:val="clear" w:color="000000" w:fill="FFFFFF"/>
      <w:spacing w:before="280" w:after="280"/>
      <w:jc w:val="center"/>
    </w:pPr>
    <w:rPr>
      <w:rFonts w:ascii="宋体" w:hAnsi="Calibri"/>
      <w:b/>
      <w:kern w:val="0"/>
      <w:sz w:val="20"/>
      <w:szCs w:val="20"/>
    </w:rPr>
  </w:style>
  <w:style w:type="paragraph" w:customStyle="1" w:styleId="446">
    <w:name w:val="toc 92"/>
    <w:next w:val="1"/>
    <w:uiPriority w:val="0"/>
    <w:pPr>
      <w:wordWrap w:val="0"/>
      <w:ind w:left="3400"/>
      <w:jc w:val="both"/>
    </w:pPr>
    <w:rPr>
      <w:rFonts w:ascii="Calibri" w:hAnsi="Calibri" w:eastAsia="宋体" w:cs="Times New Roman"/>
      <w:sz w:val="21"/>
      <w:lang w:val="en-US" w:eastAsia="zh-CN" w:bidi="ar-SA"/>
    </w:rPr>
  </w:style>
  <w:style w:type="paragraph" w:customStyle="1" w:styleId="447">
    <w:name w:val="toc 216"/>
    <w:next w:val="1"/>
    <w:uiPriority w:val="0"/>
    <w:pPr>
      <w:wordWrap w:val="0"/>
      <w:ind w:left="425"/>
      <w:jc w:val="both"/>
    </w:pPr>
    <w:rPr>
      <w:rFonts w:ascii="Calibri" w:hAnsi="Calibri" w:eastAsia="宋体" w:cs="Times New Roman"/>
      <w:sz w:val="21"/>
      <w:lang w:val="en-US" w:eastAsia="zh-CN" w:bidi="ar-SA"/>
    </w:rPr>
  </w:style>
  <w:style w:type="paragraph" w:customStyle="1" w:styleId="448">
    <w:name w:val="xl70"/>
    <w:basedOn w:val="1"/>
    <w:next w:val="374"/>
    <w:uiPriority w:val="0"/>
    <w:pPr>
      <w:widowControl/>
      <w:shd w:val="clear" w:color="000000" w:fill="FFFFFF"/>
      <w:spacing w:before="280" w:after="280"/>
    </w:pPr>
    <w:rPr>
      <w:rFonts w:ascii="宋体" w:hAnsi="Calibri"/>
      <w:kern w:val="0"/>
      <w:sz w:val="20"/>
      <w:szCs w:val="20"/>
    </w:rPr>
  </w:style>
  <w:style w:type="paragraph" w:customStyle="1" w:styleId="449">
    <w:name w:val="toc 33"/>
    <w:next w:val="1"/>
    <w:uiPriority w:val="0"/>
    <w:pPr>
      <w:wordWrap w:val="0"/>
      <w:ind w:left="850"/>
      <w:jc w:val="both"/>
    </w:pPr>
    <w:rPr>
      <w:rFonts w:ascii="Calibri" w:hAnsi="Calibri" w:eastAsia="宋体" w:cs="Times New Roman"/>
      <w:sz w:val="21"/>
      <w:lang w:val="en-US" w:eastAsia="zh-CN" w:bidi="ar-SA"/>
    </w:rPr>
  </w:style>
  <w:style w:type="paragraph" w:customStyle="1" w:styleId="450">
    <w:name w:val="toc 61"/>
    <w:next w:val="1"/>
    <w:uiPriority w:val="0"/>
    <w:pPr>
      <w:wordWrap w:val="0"/>
      <w:ind w:left="2125"/>
      <w:jc w:val="both"/>
    </w:pPr>
    <w:rPr>
      <w:rFonts w:ascii="Calibri" w:hAnsi="Calibri" w:eastAsia="宋体" w:cs="Times New Roman"/>
      <w:sz w:val="21"/>
      <w:lang w:val="en-US" w:eastAsia="zh-CN" w:bidi="ar-SA"/>
    </w:rPr>
  </w:style>
  <w:style w:type="paragraph" w:customStyle="1" w:styleId="451">
    <w:name w:val="xl98"/>
    <w:basedOn w:val="1"/>
    <w:next w:val="392"/>
    <w:uiPriority w:val="0"/>
    <w:pPr>
      <w:widowControl/>
      <w:shd w:val="clear" w:color="000000" w:fill="FFFFFF"/>
      <w:spacing w:before="280" w:after="280"/>
      <w:jc w:val="center"/>
    </w:pPr>
    <w:rPr>
      <w:rFonts w:ascii="宋体" w:hAnsi="Calibri"/>
      <w:kern w:val="0"/>
      <w:sz w:val="20"/>
      <w:szCs w:val="20"/>
    </w:rPr>
  </w:style>
  <w:style w:type="paragraph" w:customStyle="1" w:styleId="452">
    <w:name w:val="toc 26"/>
    <w:next w:val="1"/>
    <w:uiPriority w:val="0"/>
    <w:pPr>
      <w:wordWrap w:val="0"/>
      <w:ind w:left="425"/>
      <w:jc w:val="both"/>
    </w:pPr>
    <w:rPr>
      <w:rFonts w:ascii="Calibri" w:hAnsi="Calibri" w:eastAsia="宋体" w:cs="Times New Roman"/>
      <w:sz w:val="21"/>
      <w:lang w:val="en-US" w:eastAsia="zh-CN" w:bidi="ar-SA"/>
    </w:rPr>
  </w:style>
  <w:style w:type="paragraph" w:customStyle="1" w:styleId="453">
    <w:name w:val="toc 13"/>
    <w:next w:val="1"/>
    <w:uiPriority w:val="0"/>
    <w:pPr>
      <w:wordWrap w:val="0"/>
      <w:jc w:val="both"/>
    </w:pPr>
    <w:rPr>
      <w:rFonts w:ascii="Calibri" w:hAnsi="Calibri" w:eastAsia="宋体" w:cs="Times New Roman"/>
      <w:sz w:val="21"/>
      <w:lang w:val="en-US" w:eastAsia="zh-CN" w:bidi="ar-SA"/>
    </w:rPr>
  </w:style>
  <w:style w:type="paragraph" w:customStyle="1" w:styleId="454">
    <w:name w:val="目录 51"/>
    <w:next w:val="1"/>
    <w:uiPriority w:val="0"/>
    <w:pPr>
      <w:wordWrap w:val="0"/>
      <w:ind w:left="1700"/>
      <w:jc w:val="both"/>
    </w:pPr>
    <w:rPr>
      <w:rFonts w:ascii="Calibri" w:hAnsi="Calibri" w:eastAsia="宋体" w:cs="Times New Roman"/>
      <w:sz w:val="21"/>
      <w:lang w:val="en-US" w:eastAsia="zh-CN" w:bidi="ar-SA"/>
    </w:rPr>
  </w:style>
  <w:style w:type="paragraph" w:customStyle="1" w:styleId="455">
    <w:name w:val="xl101"/>
    <w:basedOn w:val="1"/>
    <w:next w:val="423"/>
    <w:uiPriority w:val="0"/>
    <w:pPr>
      <w:widowControl/>
      <w:spacing w:before="280" w:after="280"/>
    </w:pPr>
    <w:rPr>
      <w:rFonts w:ascii="宋体" w:hAnsi="Calibri"/>
      <w:kern w:val="0"/>
      <w:sz w:val="20"/>
      <w:szCs w:val="20"/>
    </w:rPr>
  </w:style>
  <w:style w:type="paragraph" w:customStyle="1" w:styleId="456">
    <w:name w:val="toc 75"/>
    <w:next w:val="1"/>
    <w:uiPriority w:val="0"/>
    <w:pPr>
      <w:wordWrap w:val="0"/>
      <w:ind w:left="2550"/>
      <w:jc w:val="both"/>
    </w:pPr>
    <w:rPr>
      <w:rFonts w:ascii="Calibri" w:hAnsi="Calibri" w:eastAsia="宋体" w:cs="Times New Roman"/>
      <w:sz w:val="21"/>
      <w:lang w:val="en-US" w:eastAsia="zh-CN" w:bidi="ar-SA"/>
    </w:rPr>
  </w:style>
  <w:style w:type="paragraph" w:customStyle="1" w:styleId="457">
    <w:name w:val="toc 715"/>
    <w:next w:val="1"/>
    <w:uiPriority w:val="0"/>
    <w:pPr>
      <w:wordWrap w:val="0"/>
      <w:ind w:left="2550"/>
      <w:jc w:val="both"/>
    </w:pPr>
    <w:rPr>
      <w:rFonts w:ascii="Calibri" w:hAnsi="Calibri" w:eastAsia="宋体" w:cs="Times New Roman"/>
      <w:sz w:val="21"/>
      <w:lang w:val="en-US" w:eastAsia="zh-CN" w:bidi="ar-SA"/>
    </w:rPr>
  </w:style>
  <w:style w:type="paragraph" w:styleId="458">
    <w:name w:val="Intense Quote"/>
    <w:next w:val="1"/>
    <w:link w:val="459"/>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59">
    <w:name w:val="明显引用 Char"/>
    <w:basedOn w:val="46"/>
    <w:link w:val="458"/>
    <w:uiPriority w:val="0"/>
    <w:rPr>
      <w:rFonts w:ascii="Calibri" w:hAnsi="Calibri"/>
      <w:i/>
      <w:sz w:val="21"/>
    </w:rPr>
  </w:style>
  <w:style w:type="paragraph" w:customStyle="1" w:styleId="460">
    <w:name w:val="Char Char Char Char Char Char Char"/>
    <w:basedOn w:val="1"/>
    <w:next w:val="444"/>
    <w:uiPriority w:val="0"/>
    <w:pPr>
      <w:widowControl/>
      <w:spacing w:after="160" w:line="240" w:lineRule="exact"/>
    </w:pPr>
    <w:rPr>
      <w:rFonts w:hAnsi="Calibri"/>
      <w:kern w:val="0"/>
      <w:szCs w:val="20"/>
    </w:rPr>
  </w:style>
  <w:style w:type="paragraph" w:customStyle="1" w:styleId="461">
    <w:name w:val="toc 23"/>
    <w:next w:val="1"/>
    <w:uiPriority w:val="0"/>
    <w:pPr>
      <w:wordWrap w:val="0"/>
      <w:ind w:left="425"/>
      <w:jc w:val="both"/>
    </w:pPr>
    <w:rPr>
      <w:rFonts w:ascii="Calibri" w:hAnsi="Calibri" w:eastAsia="宋体" w:cs="Times New Roman"/>
      <w:sz w:val="21"/>
      <w:lang w:val="en-US" w:eastAsia="zh-CN" w:bidi="ar-SA"/>
    </w:rPr>
  </w:style>
  <w:style w:type="paragraph" w:customStyle="1" w:styleId="462">
    <w:name w:val="目录 61"/>
    <w:next w:val="1"/>
    <w:uiPriority w:val="0"/>
    <w:pPr>
      <w:wordWrap w:val="0"/>
      <w:ind w:left="2125"/>
      <w:jc w:val="both"/>
    </w:pPr>
    <w:rPr>
      <w:rFonts w:ascii="Calibri" w:hAnsi="Calibri" w:eastAsia="宋体" w:cs="Times New Roman"/>
      <w:sz w:val="21"/>
      <w:lang w:val="en-US" w:eastAsia="zh-CN" w:bidi="ar-SA"/>
    </w:rPr>
  </w:style>
  <w:style w:type="paragraph" w:customStyle="1" w:styleId="463">
    <w:name w:val="toc 97"/>
    <w:next w:val="1"/>
    <w:uiPriority w:val="0"/>
    <w:pPr>
      <w:wordWrap w:val="0"/>
      <w:ind w:left="3400"/>
      <w:jc w:val="both"/>
    </w:pPr>
    <w:rPr>
      <w:rFonts w:ascii="Calibri" w:hAnsi="Calibri" w:eastAsia="宋体" w:cs="Times New Roman"/>
      <w:sz w:val="21"/>
      <w:lang w:val="en-US" w:eastAsia="zh-CN" w:bidi="ar-SA"/>
    </w:rPr>
  </w:style>
  <w:style w:type="paragraph" w:customStyle="1" w:styleId="464">
    <w:name w:val="toc 74"/>
    <w:next w:val="1"/>
    <w:uiPriority w:val="0"/>
    <w:pPr>
      <w:wordWrap w:val="0"/>
      <w:ind w:left="2550"/>
      <w:jc w:val="both"/>
    </w:pPr>
    <w:rPr>
      <w:rFonts w:ascii="Calibri" w:hAnsi="Calibri" w:eastAsia="宋体" w:cs="Times New Roman"/>
      <w:sz w:val="21"/>
      <w:lang w:val="en-US" w:eastAsia="zh-CN" w:bidi="ar-SA"/>
    </w:rPr>
  </w:style>
  <w:style w:type="paragraph" w:customStyle="1" w:styleId="465">
    <w:name w:val="xl64"/>
    <w:basedOn w:val="1"/>
    <w:next w:val="440"/>
    <w:uiPriority w:val="0"/>
    <w:pPr>
      <w:widowControl/>
      <w:shd w:val="clear" w:color="000000" w:fill="FFFFFF"/>
      <w:spacing w:before="280" w:after="280"/>
    </w:pPr>
    <w:rPr>
      <w:rFonts w:ascii="宋体" w:hAnsi="Calibri"/>
      <w:kern w:val="0"/>
      <w:sz w:val="20"/>
      <w:szCs w:val="20"/>
    </w:rPr>
  </w:style>
  <w:style w:type="paragraph" w:customStyle="1" w:styleId="466">
    <w:name w:val="xl82"/>
    <w:basedOn w:val="1"/>
    <w:next w:val="285"/>
    <w:uiPriority w:val="0"/>
    <w:pPr>
      <w:widowControl/>
      <w:shd w:val="clear" w:color="000000" w:fill="FFFFFF"/>
      <w:spacing w:before="280" w:after="280"/>
    </w:pPr>
    <w:rPr>
      <w:rFonts w:ascii="宋体" w:hAnsi="Calibri"/>
      <w:kern w:val="0"/>
      <w:sz w:val="20"/>
      <w:szCs w:val="20"/>
    </w:rPr>
  </w:style>
  <w:style w:type="paragraph" w:customStyle="1" w:styleId="467">
    <w:name w:val="toc 32"/>
    <w:next w:val="1"/>
    <w:uiPriority w:val="0"/>
    <w:pPr>
      <w:wordWrap w:val="0"/>
      <w:ind w:left="850"/>
      <w:jc w:val="both"/>
    </w:pPr>
    <w:rPr>
      <w:rFonts w:ascii="Calibri" w:hAnsi="Calibri" w:eastAsia="宋体" w:cs="Times New Roman"/>
      <w:sz w:val="21"/>
      <w:lang w:val="en-US" w:eastAsia="zh-CN" w:bidi="ar-SA"/>
    </w:rPr>
  </w:style>
  <w:style w:type="paragraph" w:customStyle="1" w:styleId="468">
    <w:name w:val="xl77"/>
    <w:basedOn w:val="1"/>
    <w:next w:val="433"/>
    <w:uiPriority w:val="0"/>
    <w:pPr>
      <w:widowControl/>
      <w:shd w:val="clear" w:color="000000" w:fill="FFFFFF"/>
      <w:spacing w:before="280" w:after="280"/>
      <w:jc w:val="center"/>
    </w:pPr>
    <w:rPr>
      <w:rFonts w:ascii="宋体" w:hAnsi="Calibri"/>
      <w:kern w:val="0"/>
      <w:sz w:val="20"/>
      <w:szCs w:val="20"/>
    </w:rPr>
  </w:style>
  <w:style w:type="character" w:customStyle="1" w:styleId="469">
    <w:name w:val="正文缩进 Char1"/>
    <w:qFormat/>
    <w:uiPriority w:val="0"/>
    <w:rPr>
      <w:rFonts w:eastAsia="宋体"/>
      <w:kern w:val="2"/>
      <w:sz w:val="21"/>
      <w:lang w:val="en-US" w:eastAsia="zh-CN" w:bidi="ar-SA"/>
    </w:rPr>
  </w:style>
  <w:style w:type="character" w:customStyle="1" w:styleId="470">
    <w:name w:val="普通(网站) Char"/>
    <w:link w:val="38"/>
    <w:uiPriority w:val="0"/>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FCFF39-98A6-4A79-A619-58621BCB3E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37823</Words>
  <Characters>8122</Characters>
  <Lines>67</Lines>
  <Paragraphs>91</Paragraphs>
  <TotalTime>501</TotalTime>
  <ScaleCrop>false</ScaleCrop>
  <LinksUpToDate>false</LinksUpToDate>
  <CharactersWithSpaces>45854</CharactersWithSpaces>
  <Application>WPS Office_11.1.0.10567_F1E327BC-269C-435d-A152-05C5408002CA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2019-12-17T03:44:00Z</dcterms:created>
  <dc:creator>thsware</dc:creator>
  <cp:lastModifiedBy>WF</cp:lastModifiedBy>
  <cp:lastPrinted>2018-11-06T09:21:00Z</cp:lastPrinted>
  <dcterms:modified xsi:type="dcterms:W3CDTF">2021-07-11T08:18:00Z</dcterms:modified>
  <dc:title>招  标　文　件</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2052-11.1.0.10567</vt:lpwstr>
  </property>
  <property fmtid="{D5CDD505-2E9C-101B-9397-08002B2CF9AE}" pid="3" name="ICV">
    <vt:lpwstr>3F623AF6DF064D1CAD22F527E251439C</vt:lpwstr>
  </property>
</Properties>
</file>