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0D" w:rsidRPr="00E77E93" w:rsidRDefault="0042340D" w:rsidP="0042340D">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项目技术要求</w:t>
      </w:r>
    </w:p>
    <w:p w:rsidR="0042340D" w:rsidRPr="00AC0159" w:rsidRDefault="0042340D" w:rsidP="0042340D">
      <w:pPr>
        <w:spacing w:line="360" w:lineRule="auto"/>
        <w:ind w:firstLineChars="201" w:firstLine="424"/>
        <w:rPr>
          <w:rFonts w:ascii="新宋体" w:eastAsia="新宋体" w:hAnsi="新宋体"/>
          <w:b/>
        </w:rPr>
      </w:pPr>
      <w:r w:rsidRPr="00AC0159">
        <w:rPr>
          <w:rFonts w:ascii="新宋体" w:eastAsia="新宋体" w:hAnsi="新宋体" w:hint="eastAsia"/>
          <w:b/>
        </w:rPr>
        <w:t>（一）项目研究内容</w:t>
      </w:r>
    </w:p>
    <w:p w:rsidR="0042340D" w:rsidRPr="00AC0159" w:rsidRDefault="0042340D" w:rsidP="0042340D">
      <w:pPr>
        <w:spacing w:line="360" w:lineRule="auto"/>
        <w:ind w:firstLineChars="201" w:firstLine="424"/>
        <w:rPr>
          <w:rFonts w:ascii="新宋体" w:eastAsia="新宋体" w:hAnsi="新宋体"/>
          <w:b/>
        </w:rPr>
      </w:pPr>
      <w:r w:rsidRPr="00AC0159">
        <w:rPr>
          <w:rFonts w:ascii="新宋体" w:eastAsia="新宋体" w:hAnsi="新宋体" w:hint="eastAsia"/>
          <w:b/>
        </w:rPr>
        <w:t>粤港澳经济运行规则衔接和机制对接研究</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hint="eastAsia"/>
          <w:bCs/>
        </w:rPr>
        <w:t>随着粤港澳大湾区发展国家战略的逐步推进，加强对粤港澳三地经济运行的规则衔接与机制对接的研究具有重大的现实意义。习近平总书记在深圳经济特区建立40周年庆祝大会上的讲话中明确提出“要抓住粤港澳大湾区建设重大历史机遇，推动三地经济运行的规则衔接、机制对接”的要求。本课题需要对三地经济运行的规则及机制进行全面研究，并立足于深圳发展的实际情况，提出促进三地规则顺畅、高效地衔接的可行性建议，以进一步促进三地要素高效便捷流动，提升市场一体化水平。</w:t>
      </w:r>
    </w:p>
    <w:p w:rsidR="0042340D" w:rsidRPr="00AC0159" w:rsidRDefault="0042340D" w:rsidP="0042340D">
      <w:pPr>
        <w:spacing w:line="360" w:lineRule="auto"/>
        <w:ind w:firstLineChars="201" w:firstLine="424"/>
        <w:rPr>
          <w:rFonts w:ascii="新宋体" w:eastAsia="新宋体" w:hAnsi="新宋体"/>
          <w:b/>
        </w:rPr>
      </w:pPr>
      <w:r w:rsidRPr="00AC0159">
        <w:rPr>
          <w:rFonts w:ascii="新宋体" w:eastAsia="新宋体" w:hAnsi="新宋体" w:hint="eastAsia"/>
          <w:b/>
        </w:rPr>
        <w:t>（二）技术方案要求</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hint="eastAsia"/>
          <w:bCs/>
        </w:rPr>
        <w:t>投标人须提交编制服务方案</w:t>
      </w:r>
      <w:r w:rsidRPr="00AC0159">
        <w:rPr>
          <w:rFonts w:ascii="新宋体" w:eastAsia="新宋体" w:hAnsi="新宋体"/>
          <w:bCs/>
        </w:rPr>
        <w:t>,</w:t>
      </w:r>
      <w:r w:rsidRPr="00AC0159">
        <w:rPr>
          <w:rFonts w:ascii="新宋体" w:eastAsia="新宋体" w:hAnsi="新宋体" w:hint="eastAsia"/>
          <w:bCs/>
        </w:rPr>
        <w:t>方案主要内容包括但不限于：</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bCs/>
        </w:rPr>
        <w:t xml:space="preserve">1. </w:t>
      </w:r>
      <w:r w:rsidRPr="00AC0159">
        <w:rPr>
          <w:rFonts w:ascii="新宋体" w:eastAsia="新宋体" w:hAnsi="新宋体" w:hint="eastAsia"/>
          <w:bCs/>
        </w:rPr>
        <w:t>实施方案：项目工作方法、工作质量和标准、人员投入计划、时间进度安排、专家资源与信息资源的组织筹划等；</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bCs/>
        </w:rPr>
        <w:t xml:space="preserve">2. </w:t>
      </w:r>
      <w:r w:rsidRPr="00AC0159">
        <w:rPr>
          <w:rFonts w:ascii="新宋体" w:eastAsia="新宋体" w:hAnsi="新宋体" w:hint="eastAsia"/>
          <w:bCs/>
        </w:rPr>
        <w:t>项目重点难点分析、应对措施及相关的合理化建议：对项目需求的理解，对项目意义和工作目标的理解和认识，对本项目运行时的重点难点进行分析以及应对措施的设计计划等；</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bCs/>
        </w:rPr>
        <w:t xml:space="preserve">3. </w:t>
      </w:r>
      <w:r w:rsidRPr="00AC0159">
        <w:rPr>
          <w:rFonts w:ascii="新宋体" w:eastAsia="新宋体" w:hAnsi="新宋体" w:hint="eastAsia"/>
          <w:bCs/>
        </w:rPr>
        <w:t>质量保障措施及方案：对本项目的风险管理控制方案以及管理办法等内容；</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bCs/>
        </w:rPr>
        <w:t xml:space="preserve">4. </w:t>
      </w:r>
      <w:r w:rsidRPr="00AC0159">
        <w:rPr>
          <w:rFonts w:ascii="新宋体" w:eastAsia="新宋体" w:hAnsi="新宋体" w:hint="eastAsia"/>
          <w:bCs/>
        </w:rPr>
        <w:t>项目售后服务承诺；</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bCs/>
        </w:rPr>
        <w:t xml:space="preserve">5. </w:t>
      </w:r>
      <w:r w:rsidRPr="00AC0159">
        <w:rPr>
          <w:rFonts w:ascii="新宋体" w:eastAsia="新宋体" w:hAnsi="新宋体" w:hint="eastAsia"/>
          <w:bCs/>
        </w:rPr>
        <w:t>违约承诺等。</w:t>
      </w:r>
    </w:p>
    <w:p w:rsidR="0042340D" w:rsidRPr="00AC0159" w:rsidRDefault="0042340D" w:rsidP="0042340D">
      <w:pPr>
        <w:spacing w:line="360" w:lineRule="auto"/>
        <w:ind w:firstLineChars="201" w:firstLine="424"/>
        <w:rPr>
          <w:rFonts w:ascii="新宋体" w:eastAsia="新宋体" w:hAnsi="新宋体"/>
          <w:b/>
        </w:rPr>
      </w:pPr>
      <w:r w:rsidRPr="00AC0159">
        <w:rPr>
          <w:rFonts w:ascii="新宋体" w:eastAsia="新宋体" w:hAnsi="新宋体" w:hint="eastAsia"/>
          <w:b/>
        </w:rPr>
        <w:t>（三）成果要求</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hint="eastAsia"/>
          <w:bCs/>
        </w:rPr>
        <w:t>立足于加强粤港澳大湾区法治比较研究这一目标，完成“粤港澳经济运行规则衔接和机制对接研究”课题资料收集，并形成对应的研究成果报告。</w:t>
      </w:r>
    </w:p>
    <w:p w:rsidR="0042340D" w:rsidRPr="00AC0159" w:rsidRDefault="0042340D" w:rsidP="0042340D">
      <w:pPr>
        <w:spacing w:line="360" w:lineRule="auto"/>
        <w:ind w:firstLineChars="201" w:firstLine="422"/>
        <w:rPr>
          <w:rFonts w:ascii="新宋体" w:eastAsia="新宋体" w:hAnsi="新宋体"/>
          <w:bCs/>
        </w:rPr>
      </w:pPr>
      <w:r w:rsidRPr="00AC0159">
        <w:rPr>
          <w:rFonts w:ascii="新宋体" w:eastAsia="新宋体" w:hAnsi="新宋体" w:hint="eastAsia"/>
          <w:bCs/>
        </w:rPr>
        <w:t>提交研究成果时，必须按采购人的要求提供研究报告、相关资料的打印版、电子文档等。</w:t>
      </w:r>
    </w:p>
    <w:p w:rsidR="0042340D" w:rsidRPr="00E77E93" w:rsidRDefault="0042340D" w:rsidP="0042340D">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项目商务要求</w:t>
      </w:r>
    </w:p>
    <w:p w:rsidR="0042340D" w:rsidRPr="00E77E93" w:rsidRDefault="0042340D" w:rsidP="0042340D">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Pr="00AC0159">
        <w:rPr>
          <w:rFonts w:ascii="新宋体" w:eastAsia="新宋体" w:hAnsi="新宋体" w:cs="宋体" w:hint="eastAsia"/>
          <w:szCs w:val="21"/>
        </w:rPr>
        <w:t>合同签订之日起至2021年3月底前</w:t>
      </w:r>
      <w:proofErr w:type="gramStart"/>
      <w:r w:rsidRPr="00AC0159">
        <w:rPr>
          <w:rFonts w:ascii="新宋体" w:eastAsia="新宋体" w:hAnsi="新宋体" w:cs="宋体" w:hint="eastAsia"/>
          <w:szCs w:val="21"/>
        </w:rPr>
        <w:t>完成结项验收</w:t>
      </w:r>
      <w:proofErr w:type="gramEnd"/>
      <w:r w:rsidRPr="00AC0159">
        <w:rPr>
          <w:rFonts w:ascii="新宋体" w:eastAsia="新宋体" w:hAnsi="新宋体" w:cs="宋体" w:hint="eastAsia"/>
          <w:szCs w:val="21"/>
        </w:rPr>
        <w:t>工作，</w:t>
      </w:r>
      <w:proofErr w:type="gramStart"/>
      <w:r w:rsidRPr="00AC0159">
        <w:rPr>
          <w:rFonts w:ascii="新宋体" w:eastAsia="新宋体" w:hAnsi="新宋体" w:cs="宋体" w:hint="eastAsia"/>
          <w:szCs w:val="21"/>
        </w:rPr>
        <w:t>在结项验收</w:t>
      </w:r>
      <w:proofErr w:type="gramEnd"/>
      <w:r w:rsidRPr="00AC0159">
        <w:rPr>
          <w:rFonts w:ascii="新宋体" w:eastAsia="新宋体" w:hAnsi="新宋体" w:cs="宋体" w:hint="eastAsia"/>
          <w:szCs w:val="21"/>
        </w:rPr>
        <w:t>后提供为期180天的售后服务。</w:t>
      </w:r>
    </w:p>
    <w:p w:rsidR="0042340D" w:rsidRPr="00AC0159" w:rsidRDefault="0042340D" w:rsidP="0042340D">
      <w:pPr>
        <w:spacing w:line="360" w:lineRule="auto"/>
        <w:rPr>
          <w:rFonts w:ascii="新宋体" w:eastAsia="新宋体" w:hAnsi="新宋体" w:cs="宋体"/>
          <w:szCs w:val="21"/>
        </w:rPr>
      </w:pPr>
      <w:r w:rsidRPr="00E77E93">
        <w:rPr>
          <w:rFonts w:ascii="新宋体" w:eastAsia="新宋体" w:hAnsi="新宋体" w:cs="宋体" w:hint="eastAsia"/>
          <w:szCs w:val="21"/>
        </w:rPr>
        <w:t>（二）</w:t>
      </w:r>
      <w:r w:rsidRPr="00AC0159">
        <w:rPr>
          <w:rFonts w:ascii="新宋体" w:eastAsia="新宋体" w:hAnsi="新宋体" w:cs="宋体" w:hint="eastAsia"/>
          <w:szCs w:val="21"/>
        </w:rPr>
        <w:t>项目费用与结算要求：</w:t>
      </w:r>
    </w:p>
    <w:p w:rsidR="0042340D" w:rsidRPr="00AC0159" w:rsidRDefault="0042340D" w:rsidP="0042340D">
      <w:pPr>
        <w:spacing w:line="360" w:lineRule="auto"/>
        <w:rPr>
          <w:rFonts w:ascii="新宋体" w:eastAsia="新宋体" w:hAnsi="新宋体" w:cs="宋体"/>
          <w:szCs w:val="21"/>
        </w:rPr>
      </w:pPr>
      <w:r w:rsidRPr="00AC0159">
        <w:rPr>
          <w:rFonts w:ascii="新宋体" w:eastAsia="新宋体" w:hAnsi="新宋体" w:cs="宋体" w:hint="eastAsia"/>
          <w:szCs w:val="21"/>
        </w:rPr>
        <w:t>1.项目费用构成：本项目财政预算限额为30万元。本项目费用中包含但不限于上述服务内</w:t>
      </w:r>
      <w:r w:rsidRPr="00AC0159">
        <w:rPr>
          <w:rFonts w:ascii="新宋体" w:eastAsia="新宋体" w:hAnsi="新宋体" w:cs="宋体" w:hint="eastAsia"/>
          <w:szCs w:val="21"/>
        </w:rPr>
        <w:lastRenderedPageBreak/>
        <w:t>容中涉及的会议费、专家咨询费、档案/出版/文献/信息传播/知识产权事务费、报告撰写服务费用、劳务费以及本项目所产生的税费和管理费等。</w:t>
      </w:r>
    </w:p>
    <w:p w:rsidR="0042340D" w:rsidRPr="00E77E93" w:rsidRDefault="0042340D" w:rsidP="0042340D">
      <w:pPr>
        <w:spacing w:line="360" w:lineRule="auto"/>
        <w:rPr>
          <w:rFonts w:ascii="新宋体" w:eastAsia="新宋体" w:hAnsi="新宋体" w:cs="宋体"/>
          <w:szCs w:val="21"/>
        </w:rPr>
      </w:pPr>
      <w:r w:rsidRPr="00AC0159">
        <w:rPr>
          <w:rFonts w:ascii="新宋体" w:eastAsia="新宋体" w:hAnsi="新宋体" w:cs="宋体" w:hint="eastAsia"/>
          <w:szCs w:val="21"/>
        </w:rPr>
        <w:t>2.项目费用结算：具体支付方式分为两期支付，支付比例为80%：20%。第一期为合同签订生效后15个工作日内，在收到中标人开具的载明相应金额的合格发票后，支付本项目总费用的80%；第二期为本项目结束后10个工作日内，经招标方确认工作完成并通过专家评审验收后，在收到中标人开具的载明相应金额的合格发票后，支付项目总费用的20%。</w:t>
      </w:r>
    </w:p>
    <w:p w:rsidR="0042340D" w:rsidRPr="00E77E93" w:rsidRDefault="0042340D" w:rsidP="0042340D">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42340D" w:rsidRDefault="0042340D" w:rsidP="0042340D">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w:t>
      </w:r>
      <w:r>
        <w:rPr>
          <w:rFonts w:ascii="新宋体" w:eastAsia="新宋体" w:hAnsi="新宋体" w:cs="宋体" w:hint="eastAsia"/>
          <w:szCs w:val="21"/>
        </w:rPr>
        <w:t>及违约金</w:t>
      </w:r>
      <w:r w:rsidRPr="00E77E93">
        <w:rPr>
          <w:rFonts w:ascii="新宋体" w:eastAsia="新宋体" w:hAnsi="新宋体" w:cs="宋体" w:hint="eastAsia"/>
          <w:szCs w:val="21"/>
        </w:rPr>
        <w:t>：</w:t>
      </w:r>
    </w:p>
    <w:p w:rsidR="0042340D" w:rsidRPr="00AC0159" w:rsidRDefault="0042340D" w:rsidP="0042340D">
      <w:pPr>
        <w:spacing w:line="360" w:lineRule="auto"/>
        <w:rPr>
          <w:rFonts w:ascii="新宋体" w:eastAsia="新宋体" w:hAnsi="新宋体" w:cs="宋体"/>
          <w:szCs w:val="21"/>
        </w:rPr>
      </w:pPr>
      <w:r w:rsidRPr="00AC0159">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42340D" w:rsidRPr="00E77E93" w:rsidRDefault="0042340D" w:rsidP="0042340D">
      <w:pPr>
        <w:spacing w:line="360" w:lineRule="auto"/>
        <w:rPr>
          <w:rFonts w:ascii="新宋体" w:eastAsia="新宋体" w:hAnsi="新宋体" w:cs="宋体"/>
          <w:szCs w:val="21"/>
        </w:rPr>
      </w:pPr>
      <w:r w:rsidRPr="00AC0159">
        <w:rPr>
          <w:rFonts w:ascii="新宋体" w:eastAsia="新宋体" w:hAnsi="新宋体" w:cs="宋体" w:hint="eastAsia"/>
          <w:szCs w:val="21"/>
        </w:rPr>
        <w:t>2.违约金：因中标方原因，未能按规定时间完成有关工作的，每延误一天，招标方可在支付合同余款中扣除合同价款千分之一。</w:t>
      </w:r>
    </w:p>
    <w:p w:rsidR="00000000" w:rsidRPr="0042340D" w:rsidRDefault="0042340D"/>
    <w:sectPr w:rsidR="00000000" w:rsidRPr="00423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40D" w:rsidRDefault="0042340D" w:rsidP="0042340D">
      <w:r>
        <w:separator/>
      </w:r>
    </w:p>
  </w:endnote>
  <w:endnote w:type="continuationSeparator" w:id="1">
    <w:p w:rsidR="0042340D" w:rsidRDefault="0042340D" w:rsidP="004234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40D" w:rsidRDefault="0042340D" w:rsidP="0042340D">
      <w:r>
        <w:separator/>
      </w:r>
    </w:p>
  </w:footnote>
  <w:footnote w:type="continuationSeparator" w:id="1">
    <w:p w:rsidR="0042340D" w:rsidRDefault="0042340D" w:rsidP="004234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40D"/>
    <w:rsid w:val="00423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40D"/>
    <w:rPr>
      <w:sz w:val="18"/>
      <w:szCs w:val="18"/>
    </w:rPr>
  </w:style>
  <w:style w:type="paragraph" w:styleId="a4">
    <w:name w:val="footer"/>
    <w:basedOn w:val="a"/>
    <w:link w:val="Char0"/>
    <w:uiPriority w:val="99"/>
    <w:semiHidden/>
    <w:unhideWhenUsed/>
    <w:rsid w:val="004234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4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2020-11-16T09:48:00Z</dcterms:created>
  <dcterms:modified xsi:type="dcterms:W3CDTF">2020-11-16T09:49:00Z</dcterms:modified>
</cp:coreProperties>
</file>