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07" w:rsidRDefault="006979F6">
      <w:pPr>
        <w:pStyle w:val="1"/>
        <w:jc w:val="center"/>
        <w:rPr>
          <w:rFonts w:ascii="黑体" w:eastAsia="黑体" w:hAnsi="黑体"/>
        </w:rPr>
      </w:pPr>
      <w:bookmarkStart w:id="0" w:name="_Toc50149200"/>
      <w:r>
        <w:rPr>
          <w:rFonts w:ascii="黑体" w:eastAsia="黑体" w:hAnsi="黑体" w:hint="eastAsia"/>
        </w:rPr>
        <w:t>第二部分　技术部分</w:t>
      </w:r>
      <w:bookmarkEnd w:id="0"/>
    </w:p>
    <w:p w:rsidR="00FA2B07" w:rsidRDefault="006979F6">
      <w:pPr>
        <w:pStyle w:val="2"/>
        <w:jc w:val="center"/>
      </w:pPr>
      <w:bookmarkStart w:id="1" w:name="_Toc495824945"/>
      <w:bookmarkStart w:id="2" w:name="_Toc50149201"/>
      <w:r>
        <w:rPr>
          <w:rFonts w:ascii="Times New Roman" w:hAnsi="Times New Roman" w:hint="eastAsia"/>
        </w:rPr>
        <w:t>第六章　项目采购需求</w:t>
      </w:r>
      <w:bookmarkEnd w:id="1"/>
      <w:bookmarkEnd w:id="2"/>
    </w:p>
    <w:p w:rsidR="00FA2B07" w:rsidRDefault="006979F6">
      <w:pPr>
        <w:pStyle w:val="3"/>
        <w:jc w:val="center"/>
        <w:rPr>
          <w:rFonts w:ascii="宋体" w:hAnsi="宋体"/>
          <w:sz w:val="24"/>
        </w:rPr>
      </w:pPr>
      <w:bookmarkStart w:id="3" w:name="_Toc495824946"/>
      <w:bookmarkStart w:id="4" w:name="_Toc50149202"/>
      <w:r>
        <w:rPr>
          <w:rFonts w:ascii="宋体" w:hAnsi="宋体" w:hint="eastAsia"/>
          <w:sz w:val="24"/>
        </w:rPr>
        <w:t>第一节</w:t>
      </w:r>
      <w:r>
        <w:rPr>
          <w:rFonts w:ascii="宋体" w:hAnsi="宋体" w:hint="eastAsia"/>
          <w:sz w:val="24"/>
        </w:rPr>
        <w:t xml:space="preserve"> </w:t>
      </w:r>
      <w:r>
        <w:rPr>
          <w:rFonts w:ascii="宋体" w:hAnsi="宋体" w:hint="eastAsia"/>
          <w:sz w:val="24"/>
        </w:rPr>
        <w:t>项目概述</w:t>
      </w:r>
      <w:bookmarkEnd w:id="3"/>
      <w:bookmarkEnd w:id="4"/>
    </w:p>
    <w:p w:rsidR="006979F6" w:rsidRDefault="006979F6" w:rsidP="006979F6">
      <w:pPr>
        <w:spacing w:line="360" w:lineRule="auto"/>
        <w:rPr>
          <w:rFonts w:ascii="新宋体" w:eastAsia="新宋体" w:hAnsi="新宋体" w:hint="eastAsia"/>
          <w:sz w:val="24"/>
        </w:rPr>
      </w:pPr>
      <w:r>
        <w:rPr>
          <w:rFonts w:ascii="新宋体" w:eastAsia="新宋体" w:hAnsi="新宋体" w:hint="eastAsia"/>
          <w:sz w:val="24"/>
        </w:rPr>
        <w:t>一、项目基本需求</w:t>
      </w: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9"/>
        <w:gridCol w:w="7257"/>
      </w:tblGrid>
      <w:tr w:rsidR="006979F6" w:rsidTr="00B30517">
        <w:trPr>
          <w:jc w:val="center"/>
        </w:trPr>
        <w:tc>
          <w:tcPr>
            <w:tcW w:w="1249" w:type="dxa"/>
            <w:noWrap/>
          </w:tcPr>
          <w:p w:rsidR="006979F6" w:rsidRDefault="006979F6" w:rsidP="00B30517">
            <w:pPr>
              <w:spacing w:line="276" w:lineRule="auto"/>
              <w:jc w:val="center"/>
              <w:rPr>
                <w:rFonts w:ascii="宋体" w:hAnsi="宋体"/>
                <w:sz w:val="24"/>
              </w:rPr>
            </w:pPr>
            <w:r>
              <w:rPr>
                <w:rFonts w:ascii="宋体" w:hAnsi="宋体" w:hint="eastAsia"/>
                <w:sz w:val="24"/>
              </w:rPr>
              <w:t>项目</w:t>
            </w:r>
          </w:p>
        </w:tc>
        <w:tc>
          <w:tcPr>
            <w:tcW w:w="7257" w:type="dxa"/>
            <w:noWrap/>
          </w:tcPr>
          <w:p w:rsidR="006979F6" w:rsidRDefault="006979F6" w:rsidP="00B30517">
            <w:pPr>
              <w:spacing w:line="276" w:lineRule="auto"/>
              <w:jc w:val="center"/>
              <w:rPr>
                <w:rFonts w:ascii="宋体" w:hAnsi="宋体"/>
                <w:sz w:val="24"/>
              </w:rPr>
            </w:pPr>
            <w:r>
              <w:rPr>
                <w:rFonts w:ascii="宋体" w:hAnsi="宋体" w:hint="eastAsia"/>
                <w:sz w:val="24"/>
              </w:rPr>
              <w:t>具体</w:t>
            </w:r>
            <w:r>
              <w:rPr>
                <w:rFonts w:ascii="宋体" w:hAnsi="宋体"/>
                <w:sz w:val="24"/>
              </w:rPr>
              <w:t>说明</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cs="宋体" w:hint="eastAsia"/>
                <w:b/>
                <w:bCs/>
                <w:color w:val="000000"/>
                <w:kern w:val="0"/>
                <w:sz w:val="24"/>
              </w:rPr>
              <w:t>★</w:t>
            </w:r>
            <w:r>
              <w:rPr>
                <w:rFonts w:ascii="宋体" w:hAnsi="宋体" w:hint="eastAsia"/>
                <w:sz w:val="24"/>
              </w:rPr>
              <w:t>1、维保</w:t>
            </w:r>
            <w:r>
              <w:rPr>
                <w:rFonts w:ascii="宋体" w:hAnsi="宋体"/>
                <w:sz w:val="24"/>
              </w:rPr>
              <w:t>时间</w:t>
            </w:r>
          </w:p>
        </w:tc>
        <w:tc>
          <w:tcPr>
            <w:tcW w:w="7257" w:type="dxa"/>
            <w:noWrap/>
          </w:tcPr>
          <w:p w:rsidR="006979F6" w:rsidRPr="00A36DB5" w:rsidRDefault="006979F6" w:rsidP="00B30517">
            <w:pPr>
              <w:pStyle w:val="af2"/>
              <w:spacing w:line="276" w:lineRule="auto"/>
              <w:rPr>
                <w:rFonts w:ascii="宋体" w:hAnsi="宋体"/>
                <w:color w:val="auto"/>
                <w:sz w:val="24"/>
                <w:lang w:val="en-GB"/>
              </w:rPr>
            </w:pPr>
            <w:r w:rsidRPr="00A36DB5">
              <w:rPr>
                <w:rFonts w:ascii="宋体" w:hAnsi="宋体" w:hint="eastAsia"/>
                <w:sz w:val="24"/>
                <w:lang w:val="en-GB"/>
              </w:rPr>
              <w:t>本项目服务期三年，合同每年一签。每年维保期满，甲方有权终止下一年度合同的签订。第一年度维保起始时间为： 2021年2月1日起。</w:t>
            </w:r>
            <w:r>
              <w:rPr>
                <w:rFonts w:ascii="宋体" w:hAnsi="宋体" w:hint="eastAsia"/>
                <w:sz w:val="24"/>
                <w:lang w:val="en-GB"/>
              </w:rPr>
              <w:t>在维保服务起始时间之前如发生故障，合同生效后中标人需要立即处理进行维修，招标人不另行支付费用。</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cs="宋体" w:hint="eastAsia"/>
                <w:b/>
                <w:bCs/>
                <w:color w:val="000000"/>
                <w:kern w:val="0"/>
                <w:sz w:val="24"/>
              </w:rPr>
              <w:t>★</w:t>
            </w:r>
            <w:r>
              <w:rPr>
                <w:rFonts w:ascii="宋体" w:hAnsi="宋体"/>
                <w:sz w:val="24"/>
              </w:rPr>
              <w:t>2</w:t>
            </w:r>
            <w:r>
              <w:rPr>
                <w:rFonts w:ascii="宋体" w:hAnsi="宋体" w:hint="eastAsia"/>
                <w:sz w:val="24"/>
              </w:rPr>
              <w:t>、</w:t>
            </w:r>
            <w:r>
              <w:rPr>
                <w:rFonts w:ascii="宋体" w:hAnsi="宋体" w:hint="eastAsia"/>
                <w:sz w:val="24"/>
                <w:lang w:val="en-GB"/>
              </w:rPr>
              <w:t>硬件维保</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硬件维保服务设备清单详见附后的表格。</w:t>
            </w:r>
          </w:p>
          <w:p w:rsidR="006979F6" w:rsidRDefault="006979F6" w:rsidP="00B30517">
            <w:pPr>
              <w:spacing w:line="276" w:lineRule="auto"/>
              <w:rPr>
                <w:rFonts w:ascii="宋体" w:hAnsi="宋体"/>
                <w:sz w:val="24"/>
                <w:lang w:val="en-GB"/>
              </w:rPr>
            </w:pPr>
            <w:r>
              <w:rPr>
                <w:rFonts w:ascii="宋体" w:hAnsi="宋体" w:hint="eastAsia"/>
                <w:sz w:val="24"/>
                <w:lang w:val="en-GB"/>
              </w:rPr>
              <w:t>在维保服务期内，按照招标人要求将不在清单中的设备和在硬件维保范围内的设备进行机房内搬迁，投标人不得收取任何费用。</w:t>
            </w:r>
          </w:p>
          <w:p w:rsidR="006979F6" w:rsidRDefault="006979F6" w:rsidP="00B30517">
            <w:pPr>
              <w:spacing w:line="276" w:lineRule="auto"/>
              <w:rPr>
                <w:rFonts w:ascii="宋体" w:hAnsi="宋体"/>
                <w:sz w:val="24"/>
                <w:lang w:val="en-GB"/>
              </w:rPr>
            </w:pPr>
            <w:r>
              <w:rPr>
                <w:rFonts w:ascii="宋体" w:hAnsi="宋体" w:hint="eastAsia"/>
                <w:sz w:val="24"/>
                <w:lang w:val="en-GB"/>
              </w:rPr>
              <w:t>在维保服务期内，对硬件维保服务范围内的机器提供两次深圳市范围内的免费移机服务，投标人不得收取任何费用。</w:t>
            </w:r>
          </w:p>
          <w:p w:rsidR="006979F6" w:rsidRDefault="006979F6" w:rsidP="00B30517">
            <w:pPr>
              <w:spacing w:line="276" w:lineRule="auto"/>
              <w:rPr>
                <w:rFonts w:ascii="宋体" w:hAnsi="宋体"/>
                <w:sz w:val="24"/>
                <w:lang w:val="en-GB"/>
              </w:rPr>
            </w:pPr>
            <w:r>
              <w:rPr>
                <w:rFonts w:ascii="宋体" w:hAnsi="宋体" w:hint="eastAsia"/>
                <w:sz w:val="24"/>
                <w:lang w:val="en-GB"/>
              </w:rPr>
              <w:t>7x24小时提供硬件维保服务。</w:t>
            </w:r>
          </w:p>
          <w:p w:rsidR="006979F6" w:rsidRDefault="006979F6" w:rsidP="00B30517">
            <w:pPr>
              <w:spacing w:line="276" w:lineRule="auto"/>
              <w:rPr>
                <w:rFonts w:ascii="宋体" w:hAnsi="宋体"/>
                <w:sz w:val="24"/>
                <w:lang w:val="en-GB"/>
              </w:rPr>
            </w:pPr>
            <w:r>
              <w:rPr>
                <w:rFonts w:ascii="宋体" w:hAnsi="宋体" w:hint="eastAsia"/>
                <w:sz w:val="24"/>
                <w:lang w:val="en-GB"/>
              </w:rPr>
              <w:t>1、硬件维修和备件更换服务：</w:t>
            </w:r>
          </w:p>
          <w:p w:rsidR="006979F6" w:rsidRDefault="006979F6" w:rsidP="00B30517">
            <w:pPr>
              <w:spacing w:line="276" w:lineRule="auto"/>
              <w:rPr>
                <w:rFonts w:ascii="宋体" w:hAnsi="宋体"/>
                <w:sz w:val="24"/>
                <w:lang w:val="en-GB"/>
              </w:rPr>
            </w:pPr>
            <w:r>
              <w:rPr>
                <w:rFonts w:ascii="宋体" w:hAnsi="宋体" w:hint="eastAsia"/>
                <w:sz w:val="24"/>
                <w:lang w:val="en-GB"/>
              </w:rPr>
              <w:t>根据招标人机器配置，预先存储关键性备件；到达招标人现场提供维修及备件换件服务。</w:t>
            </w:r>
          </w:p>
          <w:p w:rsidR="006979F6" w:rsidRDefault="006979F6" w:rsidP="00B30517">
            <w:pPr>
              <w:spacing w:line="276" w:lineRule="auto"/>
              <w:rPr>
                <w:rFonts w:ascii="宋体" w:hAnsi="宋体"/>
                <w:sz w:val="24"/>
                <w:lang w:val="en-GB"/>
              </w:rPr>
            </w:pPr>
            <w:r>
              <w:rPr>
                <w:rFonts w:ascii="宋体" w:hAnsi="宋体" w:hint="eastAsia"/>
                <w:sz w:val="24"/>
                <w:lang w:val="en-GB"/>
              </w:rPr>
              <w:t>如果发生硬件系统紧急故障，应在接到报修电话后 30 分钟内响应，并在1小时内到招标人现场提供维修服务。</w:t>
            </w:r>
          </w:p>
          <w:p w:rsidR="006979F6" w:rsidRDefault="006979F6" w:rsidP="00B30517">
            <w:pPr>
              <w:spacing w:line="276" w:lineRule="auto"/>
              <w:rPr>
                <w:rFonts w:ascii="宋体" w:hAnsi="宋体"/>
                <w:sz w:val="24"/>
                <w:lang w:val="en-GB"/>
              </w:rPr>
            </w:pPr>
            <w:r>
              <w:rPr>
                <w:rFonts w:ascii="宋体" w:hAnsi="宋体" w:hint="eastAsia"/>
                <w:sz w:val="24"/>
                <w:lang w:val="en-GB"/>
              </w:rPr>
              <w:t>如果发生硬件系统一般故障，应在接到报修电话后 1 小时内响应，并根据招标人要求按时到招标人现场提供维修服务。</w:t>
            </w:r>
          </w:p>
          <w:p w:rsidR="006979F6" w:rsidRDefault="006979F6" w:rsidP="00B30517">
            <w:pPr>
              <w:spacing w:line="276" w:lineRule="auto"/>
              <w:rPr>
                <w:rFonts w:ascii="宋体" w:hAnsi="宋体"/>
                <w:sz w:val="24"/>
                <w:lang w:val="en-GB"/>
              </w:rPr>
            </w:pPr>
            <w:r>
              <w:rPr>
                <w:rFonts w:ascii="宋体" w:hAnsi="宋体" w:hint="eastAsia"/>
                <w:sz w:val="24"/>
                <w:lang w:val="en-GB"/>
              </w:rPr>
              <w:t>在投标人提供维保服务期间，当需要更换配件时，投标人应该及时提供相关配件及安装，并承担相关费用，其配置与性能应不低于原配件，且无质量与工艺方面的问题，能够正常使用。是否更换配件由投标人技术人员和招标人技术人员协商解决，但最终决定权在招标人技术人员。投标人必须提供全新、未曾使用过的配件，且完全与本合同所规定的质量、规格和性能相符，质量完全合格，不存在任何质量瑕疵。如果招标人发现使用不合要求的配件或非全新配件，将视为违约，招标人有权对投标人进行处罚和终止维保合同的执行。更换下来的存储数据的配件不允许带走。</w:t>
            </w:r>
          </w:p>
          <w:p w:rsidR="006979F6" w:rsidRDefault="006979F6" w:rsidP="00B30517">
            <w:pPr>
              <w:spacing w:line="276" w:lineRule="auto"/>
              <w:rPr>
                <w:rFonts w:ascii="宋体" w:hAnsi="宋体"/>
                <w:sz w:val="24"/>
                <w:lang w:val="en-GB"/>
              </w:rPr>
            </w:pPr>
            <w:r>
              <w:rPr>
                <w:rFonts w:ascii="宋体" w:hAnsi="宋体" w:hint="eastAsia"/>
                <w:sz w:val="24"/>
                <w:lang w:val="en-GB"/>
              </w:rPr>
              <w:t>2、提供相应硬件的微码升级服务；</w:t>
            </w:r>
          </w:p>
          <w:p w:rsidR="006979F6" w:rsidRDefault="006979F6" w:rsidP="00B30517">
            <w:pPr>
              <w:spacing w:line="276" w:lineRule="auto"/>
              <w:rPr>
                <w:rFonts w:ascii="宋体" w:hAnsi="宋体"/>
                <w:sz w:val="24"/>
                <w:lang w:val="en-GB"/>
              </w:rPr>
            </w:pPr>
            <w:r>
              <w:rPr>
                <w:rFonts w:ascii="宋体" w:hAnsi="宋体" w:hint="eastAsia"/>
                <w:sz w:val="24"/>
                <w:lang w:val="en-GB"/>
              </w:rPr>
              <w:t>3、与维保服务范围内的设备或软件相关的设备联接和调试，包括但</w:t>
            </w:r>
            <w:r>
              <w:rPr>
                <w:rFonts w:ascii="宋体" w:hAnsi="宋体" w:hint="eastAsia"/>
                <w:sz w:val="24"/>
                <w:lang w:val="en-GB"/>
              </w:rPr>
              <w:lastRenderedPageBreak/>
              <w:t>不限于相关的光纤交换机等设备的配置。</w:t>
            </w:r>
          </w:p>
          <w:p w:rsidR="006979F6" w:rsidRDefault="006979F6" w:rsidP="00B30517">
            <w:pPr>
              <w:spacing w:line="276" w:lineRule="auto"/>
              <w:rPr>
                <w:rFonts w:ascii="宋体" w:hAnsi="宋体"/>
                <w:sz w:val="24"/>
                <w:lang w:val="en-GB"/>
              </w:rPr>
            </w:pPr>
            <w:r>
              <w:rPr>
                <w:rFonts w:ascii="宋体" w:hAnsi="宋体" w:hint="eastAsia"/>
                <w:sz w:val="24"/>
                <w:lang w:val="en-GB"/>
              </w:rPr>
              <w:t>4、每次服务结束后，投标人需提交服务工作报告，包括服务的详细工作内容，双方需在此工作报告上签字确认服务时间和服务内容。内容包括但不限于：每次服务的日期、故障设备、故障描述、故障解决过程、确认人、联系方法、备件号，备件名称等。</w:t>
            </w:r>
          </w:p>
          <w:p w:rsidR="006979F6" w:rsidRDefault="006979F6" w:rsidP="00B30517">
            <w:pPr>
              <w:spacing w:line="276" w:lineRule="auto"/>
              <w:rPr>
                <w:rFonts w:ascii="宋体" w:hAnsi="宋体"/>
                <w:sz w:val="24"/>
                <w:lang w:val="en-GB"/>
              </w:rPr>
            </w:pPr>
            <w:r>
              <w:rPr>
                <w:rFonts w:ascii="宋体" w:hAnsi="宋体" w:hint="eastAsia"/>
                <w:sz w:val="24"/>
              </w:rPr>
              <w:t>5</w:t>
            </w:r>
            <w:r>
              <w:rPr>
                <w:rFonts w:ascii="宋体" w:hAnsi="宋体" w:hint="eastAsia"/>
                <w:sz w:val="24"/>
                <w:lang w:val="en-GB"/>
              </w:rPr>
              <w:t>、</w:t>
            </w:r>
            <w:r>
              <w:rPr>
                <w:rFonts w:ascii="宋体" w:hAnsi="宋体" w:hint="eastAsia"/>
                <w:sz w:val="24"/>
              </w:rPr>
              <w:t>投标人需提供完善的备件管理系统，能完整的记录设备的备件使用情况，并快速进行统计。</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cs="宋体" w:hint="eastAsia"/>
                <w:b/>
                <w:bCs/>
                <w:color w:val="000000"/>
                <w:kern w:val="0"/>
                <w:sz w:val="24"/>
              </w:rPr>
              <w:lastRenderedPageBreak/>
              <w:t>★</w:t>
            </w:r>
            <w:r>
              <w:rPr>
                <w:rFonts w:ascii="宋体" w:hAnsi="宋体"/>
                <w:sz w:val="24"/>
              </w:rPr>
              <w:t>3</w:t>
            </w:r>
            <w:r>
              <w:rPr>
                <w:rFonts w:ascii="宋体" w:hAnsi="宋体" w:hint="eastAsia"/>
                <w:sz w:val="24"/>
              </w:rPr>
              <w:t>、</w:t>
            </w:r>
            <w:r>
              <w:rPr>
                <w:rFonts w:ascii="宋体" w:hAnsi="宋体" w:hint="eastAsia"/>
                <w:sz w:val="24"/>
                <w:lang w:val="en-GB"/>
              </w:rPr>
              <w:t>软件维保</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包括但不限于硬件维保清单中列出的设备，包括国家税务总局深圳市税务局现有的设备和维保服务期间新购的设备。</w:t>
            </w:r>
          </w:p>
          <w:p w:rsidR="006979F6" w:rsidRDefault="006979F6" w:rsidP="00B30517">
            <w:pPr>
              <w:spacing w:line="276" w:lineRule="auto"/>
              <w:rPr>
                <w:rFonts w:ascii="宋体" w:hAnsi="宋体"/>
                <w:sz w:val="24"/>
                <w:lang w:val="en-GB"/>
              </w:rPr>
            </w:pPr>
            <w:r>
              <w:rPr>
                <w:rFonts w:ascii="宋体" w:hAnsi="宋体" w:hint="eastAsia"/>
                <w:sz w:val="24"/>
                <w:lang w:val="en-GB"/>
              </w:rPr>
              <w:t>7x24小时提供各种软件维保服务，具体内容包括但不限于：</w:t>
            </w:r>
          </w:p>
          <w:p w:rsidR="006979F6" w:rsidRDefault="006979F6" w:rsidP="00B30517">
            <w:pPr>
              <w:spacing w:line="276" w:lineRule="auto"/>
              <w:rPr>
                <w:rFonts w:ascii="宋体" w:hAnsi="宋体"/>
                <w:sz w:val="24"/>
                <w:lang w:val="en-GB"/>
              </w:rPr>
            </w:pPr>
            <w:r>
              <w:rPr>
                <w:rFonts w:ascii="宋体" w:hAnsi="宋体" w:hint="eastAsia"/>
                <w:sz w:val="24"/>
                <w:lang w:val="en-GB"/>
              </w:rPr>
              <w:t>1、AIX 各版本操作系统的安装和升级</w:t>
            </w:r>
          </w:p>
          <w:p w:rsidR="006979F6" w:rsidRDefault="006979F6" w:rsidP="00B30517">
            <w:pPr>
              <w:spacing w:line="276" w:lineRule="auto"/>
              <w:rPr>
                <w:rFonts w:ascii="宋体" w:hAnsi="宋体"/>
                <w:sz w:val="24"/>
                <w:lang w:val="en-GB"/>
              </w:rPr>
            </w:pPr>
            <w:r>
              <w:rPr>
                <w:rFonts w:ascii="宋体" w:hAnsi="宋体" w:hint="eastAsia"/>
                <w:sz w:val="24"/>
                <w:lang w:val="en-GB"/>
              </w:rPr>
              <w:t>根据招标人提出的安装升级计划做相关准备，并提供可行性建议；</w:t>
            </w:r>
          </w:p>
          <w:p w:rsidR="006979F6" w:rsidRDefault="006979F6" w:rsidP="00B30517">
            <w:pPr>
              <w:spacing w:line="276" w:lineRule="auto"/>
              <w:rPr>
                <w:rFonts w:ascii="宋体" w:hAnsi="宋体"/>
                <w:sz w:val="24"/>
                <w:lang w:val="en-GB"/>
              </w:rPr>
            </w:pPr>
            <w:r>
              <w:rPr>
                <w:rFonts w:ascii="宋体" w:hAnsi="宋体" w:hint="eastAsia"/>
                <w:sz w:val="24"/>
                <w:lang w:val="en-GB"/>
              </w:rPr>
              <w:t>安装新版本的 AIX或者ML的升级；</w:t>
            </w:r>
          </w:p>
          <w:p w:rsidR="006979F6" w:rsidRDefault="006979F6" w:rsidP="00B30517">
            <w:pPr>
              <w:spacing w:line="276" w:lineRule="auto"/>
              <w:rPr>
                <w:rFonts w:ascii="宋体" w:hAnsi="宋体"/>
                <w:sz w:val="24"/>
                <w:lang w:val="en-GB"/>
              </w:rPr>
            </w:pPr>
            <w:r>
              <w:rPr>
                <w:rFonts w:ascii="宋体" w:hAnsi="宋体" w:hint="eastAsia"/>
                <w:sz w:val="24"/>
                <w:lang w:val="en-GB"/>
              </w:rPr>
              <w:t>在新版本的 AIX 上进行系统配置并调试；包括但不限于安装字符集、与应用相关的软件等。</w:t>
            </w:r>
          </w:p>
          <w:p w:rsidR="006979F6" w:rsidRDefault="006979F6" w:rsidP="00B30517">
            <w:pPr>
              <w:spacing w:line="276" w:lineRule="auto"/>
              <w:rPr>
                <w:rFonts w:ascii="宋体" w:hAnsi="宋体"/>
                <w:sz w:val="24"/>
                <w:lang w:val="en-GB"/>
              </w:rPr>
            </w:pPr>
            <w:r>
              <w:rPr>
                <w:rFonts w:ascii="宋体" w:hAnsi="宋体" w:hint="eastAsia"/>
                <w:sz w:val="24"/>
                <w:lang w:val="en-GB"/>
              </w:rPr>
              <w:t>2、HACMP拓扑和资源组的创建、删除、修改等，HACMP升级和日常维护，根据招标人需求对HACMP相应的资源进行调配和管理；HACMP各节点的同步及测试；</w:t>
            </w:r>
          </w:p>
          <w:p w:rsidR="006979F6" w:rsidRDefault="006979F6" w:rsidP="00B30517">
            <w:pPr>
              <w:spacing w:line="276" w:lineRule="auto"/>
              <w:rPr>
                <w:rFonts w:ascii="宋体" w:hAnsi="宋体"/>
                <w:sz w:val="24"/>
                <w:lang w:val="en-GB"/>
              </w:rPr>
            </w:pPr>
            <w:r>
              <w:rPr>
                <w:rFonts w:ascii="宋体" w:hAnsi="宋体" w:hint="eastAsia"/>
                <w:sz w:val="24"/>
                <w:lang w:val="en-GB"/>
              </w:rPr>
              <w:t>3、小型机设备的逻辑分区的创建、删除、修改，硬件资源的调配，DLPAR（动态LPAR）的实施，虚拟分区的实施，控制台的安装和维护；</w:t>
            </w:r>
          </w:p>
          <w:p w:rsidR="006979F6" w:rsidRDefault="006979F6" w:rsidP="00B30517">
            <w:pPr>
              <w:spacing w:line="276" w:lineRule="auto"/>
              <w:rPr>
                <w:rFonts w:ascii="宋体" w:hAnsi="宋体"/>
                <w:sz w:val="24"/>
                <w:lang w:val="en-GB"/>
              </w:rPr>
            </w:pPr>
            <w:r>
              <w:rPr>
                <w:rFonts w:ascii="宋体" w:hAnsi="宋体" w:hint="eastAsia"/>
                <w:sz w:val="24"/>
                <w:lang w:val="en-GB"/>
              </w:rPr>
              <w:t>4、当运行在主机和存储上的应用系统出现问题时，如死机，性能问题，异常问题等，协助招标人解决问题；</w:t>
            </w:r>
          </w:p>
          <w:p w:rsidR="006979F6" w:rsidRDefault="006979F6" w:rsidP="00B30517">
            <w:pPr>
              <w:spacing w:line="276" w:lineRule="auto"/>
              <w:rPr>
                <w:rFonts w:ascii="宋体" w:hAnsi="宋体"/>
                <w:sz w:val="24"/>
                <w:lang w:val="en-GB"/>
              </w:rPr>
            </w:pPr>
            <w:r>
              <w:rPr>
                <w:rFonts w:ascii="宋体" w:hAnsi="宋体" w:hint="eastAsia"/>
                <w:sz w:val="24"/>
                <w:lang w:val="en-GB"/>
              </w:rPr>
              <w:t>5、存储管理软件的日常维护；存储资源的调整和划分；光纤布线和光纤交换机的配置；客户端管理软件和多路径软件的安装和配置；对划分出来的存储空间进行初步的读写性能评估；虚拟存储的管理配置、资源调整和日常维护。</w:t>
            </w:r>
          </w:p>
          <w:p w:rsidR="006979F6" w:rsidRDefault="006979F6" w:rsidP="00B30517">
            <w:pPr>
              <w:spacing w:line="276" w:lineRule="auto"/>
              <w:rPr>
                <w:rFonts w:ascii="宋体" w:hAnsi="宋体"/>
                <w:sz w:val="24"/>
                <w:lang w:val="en-GB"/>
              </w:rPr>
            </w:pPr>
            <w:r>
              <w:rPr>
                <w:rFonts w:ascii="宋体" w:hAnsi="宋体" w:hint="eastAsia"/>
                <w:sz w:val="24"/>
                <w:lang w:val="en-GB"/>
              </w:rPr>
              <w:t>6、光纤交换机的相关软件的升级及维护、相关配置的调整、对存储网络性能状态的监控和对相关软件使用的技术支持；</w:t>
            </w:r>
          </w:p>
          <w:p w:rsidR="006979F6" w:rsidRDefault="006979F6" w:rsidP="00B30517">
            <w:pPr>
              <w:spacing w:line="276" w:lineRule="auto"/>
              <w:rPr>
                <w:rFonts w:ascii="宋体" w:hAnsi="宋体"/>
                <w:sz w:val="24"/>
                <w:lang w:val="en-GB"/>
              </w:rPr>
            </w:pPr>
            <w:r>
              <w:rPr>
                <w:rFonts w:ascii="宋体" w:hAnsi="宋体" w:hint="eastAsia"/>
                <w:sz w:val="24"/>
                <w:lang w:val="en-GB"/>
              </w:rPr>
              <w:t>7、协助招标人制定灾难备份和恢复计划和实际演练；</w:t>
            </w:r>
          </w:p>
          <w:p w:rsidR="006979F6" w:rsidRDefault="006979F6" w:rsidP="00B30517">
            <w:pPr>
              <w:spacing w:line="276" w:lineRule="auto"/>
              <w:rPr>
                <w:rFonts w:ascii="宋体" w:hAnsi="宋体"/>
                <w:sz w:val="24"/>
                <w:lang w:val="en-GB"/>
              </w:rPr>
            </w:pPr>
            <w:r>
              <w:rPr>
                <w:rFonts w:ascii="宋体" w:hAnsi="宋体" w:hint="eastAsia"/>
                <w:sz w:val="24"/>
                <w:lang w:val="en-GB"/>
              </w:rPr>
              <w:t>8、每个维护年度提供备份介质（包括小型机磁带机清洗带和备份用磁带，数量由招标人确定），为核心系统逻辑分区进行备份；</w:t>
            </w:r>
          </w:p>
          <w:p w:rsidR="006979F6" w:rsidRDefault="006979F6" w:rsidP="00B30517">
            <w:pPr>
              <w:spacing w:line="276" w:lineRule="auto"/>
              <w:rPr>
                <w:rFonts w:ascii="宋体" w:hAnsi="宋体"/>
                <w:sz w:val="24"/>
                <w:lang w:val="en-GB"/>
              </w:rPr>
            </w:pPr>
            <w:r>
              <w:rPr>
                <w:rFonts w:ascii="宋体" w:hAnsi="宋体" w:hint="eastAsia"/>
                <w:sz w:val="24"/>
                <w:lang w:val="en-GB"/>
              </w:rPr>
              <w:t>9、提供数据迁移服务，包括逻辑分区、控制台等系统的操作系统、相关软件和数据的迁移；</w:t>
            </w:r>
          </w:p>
          <w:p w:rsidR="006979F6" w:rsidRDefault="006979F6" w:rsidP="00B30517">
            <w:pPr>
              <w:spacing w:line="276" w:lineRule="auto"/>
              <w:rPr>
                <w:rFonts w:ascii="宋体" w:hAnsi="宋体"/>
                <w:sz w:val="24"/>
                <w:lang w:val="en-GB"/>
              </w:rPr>
            </w:pPr>
            <w:r>
              <w:rPr>
                <w:rFonts w:ascii="宋体" w:hAnsi="宋体" w:hint="eastAsia"/>
                <w:sz w:val="24"/>
                <w:lang w:val="en-GB"/>
              </w:rPr>
              <w:t>10、变更文档维护。当系统资源和配置调整后，提供主机、存储、光线交换机等设备的系统资源和配置项的详细清单列表。</w:t>
            </w:r>
          </w:p>
          <w:p w:rsidR="006979F6" w:rsidRDefault="006979F6" w:rsidP="00B30517">
            <w:pPr>
              <w:spacing w:line="276" w:lineRule="auto"/>
              <w:rPr>
                <w:rFonts w:ascii="宋体" w:hAnsi="宋体"/>
                <w:sz w:val="24"/>
                <w:lang w:val="en-GB"/>
              </w:rPr>
            </w:pPr>
            <w:r>
              <w:rPr>
                <w:rFonts w:ascii="宋体" w:hAnsi="宋体" w:hint="eastAsia"/>
                <w:sz w:val="24"/>
                <w:lang w:val="en-GB"/>
              </w:rPr>
              <w:t>11、备份系统的管理和维护，包括但不限于：</w:t>
            </w:r>
          </w:p>
          <w:p w:rsidR="006979F6" w:rsidRDefault="006979F6" w:rsidP="00B30517">
            <w:pPr>
              <w:spacing w:line="276" w:lineRule="auto"/>
              <w:rPr>
                <w:rFonts w:ascii="宋体" w:hAnsi="宋体"/>
                <w:sz w:val="24"/>
                <w:lang w:val="en-GB"/>
              </w:rPr>
            </w:pPr>
            <w:r>
              <w:rPr>
                <w:rFonts w:ascii="宋体" w:hAnsi="宋体" w:hint="eastAsia"/>
                <w:sz w:val="24"/>
                <w:lang w:val="en-GB"/>
              </w:rPr>
              <w:t>使用现有安腾普TINA、TSM、Networker备份软件进行Oracle数据库备份管理，备份策略制定和调整；备份任务执行情况检查；定期进行恢复演练；客户端节点的维护和配置；新增客户端节点的安装。</w:t>
            </w:r>
          </w:p>
          <w:p w:rsidR="006979F6" w:rsidRDefault="006979F6" w:rsidP="00B30517">
            <w:pPr>
              <w:spacing w:line="276" w:lineRule="auto"/>
              <w:rPr>
                <w:rFonts w:ascii="宋体" w:hAnsi="宋体"/>
                <w:sz w:val="24"/>
                <w:lang w:val="en-GB"/>
              </w:rPr>
            </w:pPr>
            <w:r>
              <w:rPr>
                <w:rFonts w:ascii="宋体" w:hAnsi="宋体" w:hint="eastAsia"/>
                <w:sz w:val="24"/>
                <w:lang w:val="en-GB"/>
              </w:rPr>
              <w:lastRenderedPageBreak/>
              <w:t>处理备份管理软件的日常故障；定期对备份管理软件进行优化。</w:t>
            </w:r>
          </w:p>
          <w:p w:rsidR="006979F6" w:rsidRDefault="006979F6" w:rsidP="00B30517">
            <w:pPr>
              <w:spacing w:line="276" w:lineRule="auto"/>
              <w:rPr>
                <w:rFonts w:ascii="宋体" w:hAnsi="宋体"/>
                <w:sz w:val="24"/>
                <w:lang w:val="en-GB"/>
              </w:rPr>
            </w:pPr>
            <w:r>
              <w:rPr>
                <w:rFonts w:ascii="宋体" w:hAnsi="宋体" w:hint="eastAsia"/>
                <w:sz w:val="24"/>
                <w:lang w:val="en-GB"/>
              </w:rPr>
              <w:t>物理带库和虚拟带库的状态检查和配置调整。</w:t>
            </w:r>
          </w:p>
          <w:p w:rsidR="006979F6" w:rsidRDefault="006979F6" w:rsidP="00B30517">
            <w:pPr>
              <w:spacing w:line="276" w:lineRule="auto"/>
              <w:rPr>
                <w:rFonts w:ascii="宋体" w:hAnsi="宋体"/>
                <w:sz w:val="24"/>
              </w:rPr>
            </w:pPr>
            <w:r>
              <w:rPr>
                <w:rFonts w:ascii="宋体" w:hAnsi="宋体" w:hint="eastAsia"/>
                <w:sz w:val="24"/>
                <w:lang w:val="en-GB"/>
              </w:rPr>
              <w:t>1</w:t>
            </w:r>
            <w:r>
              <w:rPr>
                <w:rFonts w:ascii="宋体" w:hAnsi="宋体" w:hint="eastAsia"/>
                <w:sz w:val="24"/>
              </w:rPr>
              <w:t>2</w:t>
            </w:r>
            <w:r>
              <w:rPr>
                <w:rFonts w:ascii="宋体" w:hAnsi="宋体" w:hint="eastAsia"/>
                <w:sz w:val="24"/>
                <w:lang w:val="en-GB"/>
              </w:rPr>
              <w:t>、提供自动化补丁安装管理、脚本集中管理等增值运维服务工具协助招标人更好地进行日常维护工作。</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cs="宋体" w:hint="eastAsia"/>
                <w:b/>
                <w:bCs/>
                <w:color w:val="000000"/>
                <w:kern w:val="0"/>
                <w:sz w:val="24"/>
              </w:rPr>
              <w:lastRenderedPageBreak/>
              <w:t>★</w:t>
            </w:r>
            <w:r>
              <w:rPr>
                <w:rFonts w:ascii="宋体" w:hAnsi="宋体"/>
                <w:sz w:val="24"/>
              </w:rPr>
              <w:t>4</w:t>
            </w:r>
            <w:r>
              <w:rPr>
                <w:rFonts w:ascii="宋体" w:hAnsi="宋体" w:hint="eastAsia"/>
                <w:sz w:val="24"/>
              </w:rPr>
              <w:t>、</w:t>
            </w:r>
            <w:r>
              <w:rPr>
                <w:rFonts w:ascii="宋体" w:hAnsi="宋体" w:hint="eastAsia"/>
                <w:sz w:val="24"/>
                <w:lang w:val="en-GB"/>
              </w:rPr>
              <w:t>每月巡检</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包括但不限于硬件维保清单中列出的设备，包括国家税务总局深圳市税务局现有的设备和维保服务期间新购的设备。</w:t>
            </w:r>
          </w:p>
          <w:p w:rsidR="006979F6" w:rsidRDefault="006979F6" w:rsidP="00B30517">
            <w:pPr>
              <w:spacing w:line="276" w:lineRule="auto"/>
              <w:rPr>
                <w:rFonts w:ascii="宋体" w:hAnsi="宋体"/>
                <w:sz w:val="24"/>
                <w:lang w:val="en-GB"/>
              </w:rPr>
            </w:pPr>
            <w:r>
              <w:rPr>
                <w:rFonts w:ascii="宋体" w:hAnsi="宋体" w:hint="eastAsia"/>
                <w:sz w:val="24"/>
                <w:lang w:val="en-GB"/>
              </w:rPr>
              <w:t>包括但不限于现有和新购的小型机、存储、光纤交换机、虚拟带库、物理带库、备份软件等。</w:t>
            </w:r>
          </w:p>
          <w:p w:rsidR="006979F6" w:rsidRDefault="006979F6" w:rsidP="00B30517">
            <w:pPr>
              <w:spacing w:line="276" w:lineRule="auto"/>
              <w:rPr>
                <w:rFonts w:ascii="宋体" w:hAnsi="宋体"/>
                <w:sz w:val="24"/>
                <w:lang w:val="en-GB"/>
              </w:rPr>
            </w:pPr>
            <w:r>
              <w:rPr>
                <w:rFonts w:ascii="宋体" w:hAnsi="宋体" w:hint="eastAsia"/>
                <w:sz w:val="24"/>
                <w:lang w:val="en-GB"/>
              </w:rPr>
              <w:t xml:space="preserve">机房环境的检测，硬件设备必要的清洁，硬件设备的全面诊断； </w:t>
            </w:r>
          </w:p>
          <w:p w:rsidR="006979F6" w:rsidRDefault="006979F6" w:rsidP="00B30517">
            <w:pPr>
              <w:spacing w:line="276" w:lineRule="auto"/>
              <w:rPr>
                <w:rFonts w:ascii="宋体" w:hAnsi="宋体"/>
                <w:sz w:val="24"/>
                <w:lang w:val="en-GB"/>
              </w:rPr>
            </w:pPr>
            <w:r>
              <w:rPr>
                <w:rFonts w:ascii="宋体" w:hAnsi="宋体" w:hint="eastAsia"/>
                <w:sz w:val="24"/>
                <w:lang w:val="en-GB"/>
              </w:rPr>
              <w:t>检查错误记录及历史记录，系统故障的分析(包括软件和硬件)，排除故障隐患；</w:t>
            </w:r>
          </w:p>
          <w:p w:rsidR="006979F6" w:rsidRDefault="006979F6" w:rsidP="00B30517">
            <w:pPr>
              <w:spacing w:line="276" w:lineRule="auto"/>
              <w:rPr>
                <w:rFonts w:ascii="宋体" w:hAnsi="宋体"/>
                <w:sz w:val="24"/>
                <w:lang w:val="en-GB"/>
              </w:rPr>
            </w:pPr>
            <w:r>
              <w:rPr>
                <w:rFonts w:ascii="宋体" w:hAnsi="宋体" w:hint="eastAsia"/>
                <w:sz w:val="24"/>
                <w:lang w:val="en-GB"/>
              </w:rPr>
              <w:t>检查系统、数据及备份的完整性和可靠性；</w:t>
            </w:r>
          </w:p>
          <w:p w:rsidR="006979F6" w:rsidRDefault="006979F6" w:rsidP="00B30517">
            <w:pPr>
              <w:spacing w:line="276" w:lineRule="auto"/>
              <w:rPr>
                <w:rFonts w:ascii="宋体" w:hAnsi="宋体"/>
                <w:sz w:val="24"/>
                <w:lang w:val="en-GB"/>
              </w:rPr>
            </w:pPr>
            <w:r>
              <w:rPr>
                <w:rFonts w:ascii="宋体" w:hAnsi="宋体" w:hint="eastAsia"/>
                <w:sz w:val="24"/>
                <w:lang w:val="en-GB"/>
              </w:rPr>
              <w:t>提供补丁升级安装建议，按招标人要求安装补丁程序；</w:t>
            </w:r>
          </w:p>
          <w:p w:rsidR="006979F6" w:rsidRDefault="006979F6" w:rsidP="00B30517">
            <w:pPr>
              <w:spacing w:line="276" w:lineRule="auto"/>
              <w:rPr>
                <w:rFonts w:ascii="宋体" w:hAnsi="宋体"/>
                <w:sz w:val="24"/>
                <w:lang w:val="en-GB"/>
              </w:rPr>
            </w:pPr>
            <w:r>
              <w:rPr>
                <w:rFonts w:ascii="宋体" w:hAnsi="宋体" w:hint="eastAsia"/>
                <w:sz w:val="24"/>
                <w:lang w:val="en-GB"/>
              </w:rPr>
              <w:t>操作系统健康检查、系统基本的性能分析，提交健康情况分析报告；</w:t>
            </w:r>
          </w:p>
          <w:p w:rsidR="006979F6" w:rsidRDefault="006979F6" w:rsidP="00B30517">
            <w:pPr>
              <w:spacing w:line="276" w:lineRule="auto"/>
              <w:rPr>
                <w:rFonts w:ascii="宋体" w:hAnsi="宋体"/>
                <w:sz w:val="24"/>
                <w:lang w:val="en-GB"/>
              </w:rPr>
            </w:pPr>
            <w:r>
              <w:rPr>
                <w:rFonts w:ascii="宋体" w:hAnsi="宋体" w:hint="eastAsia"/>
                <w:sz w:val="24"/>
                <w:lang w:val="en-GB"/>
              </w:rPr>
              <w:t>协助招标人做好安全服务，制定相应防范措施；</w:t>
            </w:r>
          </w:p>
          <w:p w:rsidR="006979F6" w:rsidRDefault="006979F6" w:rsidP="00B30517">
            <w:pPr>
              <w:spacing w:line="276" w:lineRule="auto"/>
              <w:rPr>
                <w:rFonts w:ascii="宋体" w:hAnsi="宋体"/>
                <w:sz w:val="24"/>
                <w:lang w:val="en-GB"/>
              </w:rPr>
            </w:pPr>
            <w:r>
              <w:rPr>
                <w:rFonts w:ascii="宋体" w:hAnsi="宋体" w:hint="eastAsia"/>
                <w:sz w:val="24"/>
                <w:lang w:val="en-GB"/>
              </w:rPr>
              <w:t>向招标人提交详细的巡检服务报告，报告内容需要包括上述巡检项；巡检服务报告将作为服务质量评价的重要标准。</w:t>
            </w:r>
          </w:p>
          <w:p w:rsidR="006979F6" w:rsidRDefault="006979F6" w:rsidP="00B30517">
            <w:pPr>
              <w:spacing w:line="276" w:lineRule="auto"/>
              <w:rPr>
                <w:rFonts w:ascii="宋体" w:hAnsi="宋体"/>
                <w:sz w:val="24"/>
                <w:lang w:val="en-GB"/>
              </w:rPr>
            </w:pPr>
            <w:r>
              <w:rPr>
                <w:rFonts w:ascii="宋体" w:hAnsi="宋体" w:hint="eastAsia"/>
                <w:sz w:val="24"/>
                <w:lang w:val="en-GB"/>
              </w:rPr>
              <w:t>招标人可以根据运维具体情况的需要增加定期巡检内容。</w:t>
            </w:r>
          </w:p>
          <w:p w:rsidR="006979F6" w:rsidRDefault="006979F6" w:rsidP="00B30517">
            <w:pPr>
              <w:spacing w:line="276" w:lineRule="auto"/>
              <w:rPr>
                <w:rFonts w:ascii="宋体" w:hAnsi="宋体"/>
                <w:sz w:val="24"/>
                <w:lang w:val="en-GB"/>
              </w:rPr>
            </w:pPr>
            <w:r>
              <w:rPr>
                <w:rFonts w:ascii="宋体" w:hAnsi="宋体" w:hint="eastAsia"/>
                <w:sz w:val="24"/>
              </w:rPr>
              <w:t>投标人能提供小机硬件和AIX等操作系统的自动化信息收集和巡检、分析并生成报告。支持自定义检查项，生成巡检模板。基于巡检脚本收集数据，使用规则引擎进行数据解析和告警生成，以更加灵活的方式满足招标人多样化的巡检需求。</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cs="宋体" w:hint="eastAsia"/>
                <w:b/>
                <w:bCs/>
                <w:color w:val="000000"/>
                <w:kern w:val="0"/>
                <w:sz w:val="24"/>
              </w:rPr>
              <w:t>★</w:t>
            </w:r>
            <w:r>
              <w:rPr>
                <w:rFonts w:ascii="宋体" w:hAnsi="宋体"/>
                <w:sz w:val="24"/>
              </w:rPr>
              <w:t>5</w:t>
            </w:r>
            <w:r>
              <w:rPr>
                <w:rFonts w:ascii="宋体" w:hAnsi="宋体" w:hint="eastAsia"/>
                <w:sz w:val="24"/>
              </w:rPr>
              <w:t>、</w:t>
            </w:r>
            <w:r>
              <w:rPr>
                <w:rFonts w:ascii="宋体" w:hAnsi="宋体"/>
                <w:sz w:val="24"/>
                <w:lang w:val="en-GB"/>
              </w:rPr>
              <w:t>驻场服务</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需要提供至少2人的驻场服务，驻场服务时间为工作时间和需要驻场的其他时间，必须保持人员固定，驻场人员需要具有主机、存储等设备维保经验，服务内容包括提供不限设备不限服务内容的驻场服务和甲方指定的其他工作，并接受甲方的管理。</w:t>
            </w:r>
          </w:p>
          <w:p w:rsidR="006979F6" w:rsidRDefault="006979F6" w:rsidP="00B30517">
            <w:pPr>
              <w:spacing w:line="276" w:lineRule="auto"/>
              <w:rPr>
                <w:rFonts w:ascii="宋体" w:hAnsi="宋体"/>
                <w:sz w:val="24"/>
                <w:lang w:val="en-GB"/>
              </w:rPr>
            </w:pPr>
            <w:r>
              <w:rPr>
                <w:rFonts w:ascii="宋体" w:hAnsi="宋体" w:hint="eastAsia"/>
                <w:sz w:val="24"/>
                <w:lang w:val="en-GB"/>
              </w:rPr>
              <w:t>投标人提供维保服务的人员如果发生变动，必须征求招标人同意并保证后续人员具有同等的资质和能力，否则招标人有权终止维保合同的执行。</w:t>
            </w:r>
          </w:p>
          <w:p w:rsidR="006979F6" w:rsidRDefault="006979F6" w:rsidP="00B30517">
            <w:pPr>
              <w:spacing w:line="276" w:lineRule="auto"/>
              <w:rPr>
                <w:rFonts w:ascii="宋体" w:hAnsi="宋体"/>
                <w:sz w:val="24"/>
                <w:lang w:val="en-GB"/>
              </w:rPr>
            </w:pPr>
            <w:r>
              <w:rPr>
                <w:rFonts w:ascii="宋体" w:hAnsi="宋体" w:hint="eastAsia"/>
                <w:sz w:val="24"/>
                <w:lang w:val="en-GB"/>
              </w:rPr>
              <w:t>包括但不限于硬件维保清单中列出的设备，包括国家税务总局深圳市税务局现有的设备和维保服务期间新购的设备。</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sz w:val="24"/>
              </w:rPr>
              <w:t>6</w:t>
            </w:r>
            <w:r>
              <w:rPr>
                <w:rFonts w:ascii="宋体" w:hAnsi="宋体" w:hint="eastAsia"/>
                <w:sz w:val="24"/>
              </w:rPr>
              <w:t>、</w:t>
            </w:r>
            <w:r>
              <w:rPr>
                <w:rFonts w:ascii="宋体" w:hAnsi="宋体" w:hint="eastAsia"/>
                <w:sz w:val="24"/>
                <w:lang w:val="en-GB"/>
              </w:rPr>
              <w:t>阶段性报告</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投标人每年维保服务结束后，向招标人提供《阶段服务总结》及《阶段服务清单》，以便招标人全面准确的了解维保服务实施情况。</w:t>
            </w:r>
          </w:p>
          <w:p w:rsidR="006979F6" w:rsidRDefault="006979F6" w:rsidP="00B30517">
            <w:pPr>
              <w:spacing w:line="276" w:lineRule="auto"/>
              <w:rPr>
                <w:rFonts w:ascii="宋体" w:hAnsi="宋体"/>
                <w:sz w:val="24"/>
                <w:lang w:val="en-GB"/>
              </w:rPr>
            </w:pPr>
            <w:r>
              <w:rPr>
                <w:rFonts w:ascii="宋体" w:hAnsi="宋体" w:hint="eastAsia"/>
                <w:sz w:val="24"/>
                <w:lang w:val="en-GB"/>
              </w:rPr>
              <w:t>《阶段服务总结》内容包括但不限于：</w:t>
            </w:r>
          </w:p>
          <w:p w:rsidR="006979F6" w:rsidRDefault="006979F6" w:rsidP="00B30517">
            <w:pPr>
              <w:spacing w:line="276" w:lineRule="auto"/>
              <w:rPr>
                <w:rFonts w:ascii="宋体" w:hAnsi="宋体"/>
                <w:sz w:val="24"/>
                <w:lang w:val="en-GB"/>
              </w:rPr>
            </w:pPr>
            <w:r>
              <w:rPr>
                <w:rFonts w:ascii="宋体" w:hAnsi="宋体" w:hint="eastAsia"/>
                <w:sz w:val="24"/>
                <w:lang w:val="en-GB"/>
              </w:rPr>
              <w:t>服务情况的总结。对上个阶段的设备整体运行情况进行总结，评估每次维保行为的效果；总结分析遗留问题处理情况 。</w:t>
            </w:r>
          </w:p>
          <w:p w:rsidR="006979F6" w:rsidRDefault="006979F6" w:rsidP="00B30517">
            <w:pPr>
              <w:spacing w:line="276" w:lineRule="auto"/>
              <w:rPr>
                <w:rFonts w:ascii="宋体" w:hAnsi="宋体"/>
                <w:sz w:val="24"/>
                <w:lang w:val="en-GB"/>
              </w:rPr>
            </w:pPr>
            <w:r>
              <w:rPr>
                <w:rFonts w:ascii="宋体" w:hAnsi="宋体" w:hint="eastAsia"/>
                <w:sz w:val="24"/>
                <w:lang w:val="en-GB"/>
              </w:rPr>
              <w:t>重大故障分析报告，对故障的发生原因、处理过程和处理结果进行详细说明，并给出预防该类故障再次发生的建议；</w:t>
            </w:r>
          </w:p>
          <w:p w:rsidR="006979F6" w:rsidRDefault="006979F6" w:rsidP="00B30517">
            <w:pPr>
              <w:spacing w:line="276" w:lineRule="auto"/>
              <w:rPr>
                <w:rFonts w:ascii="宋体" w:hAnsi="宋体"/>
                <w:sz w:val="24"/>
                <w:lang w:val="en-GB"/>
              </w:rPr>
            </w:pPr>
            <w:r>
              <w:rPr>
                <w:rFonts w:ascii="宋体" w:hAnsi="宋体" w:hint="eastAsia"/>
                <w:sz w:val="24"/>
                <w:lang w:val="en-GB"/>
              </w:rPr>
              <w:t>故障概率、趋势分析；</w:t>
            </w:r>
          </w:p>
          <w:p w:rsidR="006979F6" w:rsidRDefault="006979F6" w:rsidP="00B30517">
            <w:pPr>
              <w:spacing w:line="276" w:lineRule="auto"/>
              <w:rPr>
                <w:rFonts w:ascii="宋体" w:hAnsi="宋体"/>
                <w:sz w:val="24"/>
                <w:lang w:val="en-GB"/>
              </w:rPr>
            </w:pPr>
            <w:r>
              <w:rPr>
                <w:rFonts w:ascii="宋体" w:hAnsi="宋体" w:hint="eastAsia"/>
                <w:sz w:val="24"/>
                <w:lang w:val="en-GB"/>
              </w:rPr>
              <w:lastRenderedPageBreak/>
              <w:t>计划执行分析。分析维保计划执行情况，对计划未执行项或未按时执行项进行原因分析，分析隐含问题。当出现服务质量问题及不符合约定的情况，则需提出分析报告和整改措施。</w:t>
            </w:r>
          </w:p>
          <w:p w:rsidR="006979F6" w:rsidRDefault="006979F6" w:rsidP="00B30517">
            <w:pPr>
              <w:spacing w:line="276" w:lineRule="auto"/>
              <w:rPr>
                <w:rFonts w:ascii="宋体" w:hAnsi="宋体"/>
                <w:sz w:val="24"/>
                <w:lang w:val="en-GB"/>
              </w:rPr>
            </w:pPr>
            <w:r>
              <w:rPr>
                <w:rFonts w:ascii="宋体" w:hAnsi="宋体" w:hint="eastAsia"/>
                <w:sz w:val="24"/>
                <w:lang w:val="en-GB"/>
              </w:rPr>
              <w:t>问题分析。对维保过程中出现的未曾预见的问题，及时分析总结，给出问题解决建议。</w:t>
            </w:r>
          </w:p>
          <w:p w:rsidR="006979F6" w:rsidRDefault="006979F6" w:rsidP="00B30517">
            <w:pPr>
              <w:spacing w:line="276" w:lineRule="auto"/>
              <w:rPr>
                <w:rFonts w:ascii="宋体" w:hAnsi="宋体"/>
                <w:sz w:val="24"/>
                <w:lang w:val="en-GB"/>
              </w:rPr>
            </w:pPr>
            <w:r>
              <w:rPr>
                <w:rFonts w:ascii="宋体" w:hAnsi="宋体" w:hint="eastAsia"/>
                <w:sz w:val="24"/>
                <w:lang w:val="en-GB"/>
              </w:rPr>
              <w:t>设备配置项的详细统计列表清单。包括但不限于主机各逻辑分区的资源配置情况，存储资源的划分情况，光纤交换机的配置情况。</w:t>
            </w:r>
          </w:p>
          <w:p w:rsidR="006979F6" w:rsidRDefault="006979F6" w:rsidP="00B30517">
            <w:pPr>
              <w:spacing w:line="276" w:lineRule="auto"/>
              <w:rPr>
                <w:rFonts w:ascii="宋体" w:hAnsi="宋体"/>
                <w:sz w:val="24"/>
                <w:lang w:val="en-GB"/>
              </w:rPr>
            </w:pPr>
            <w:r>
              <w:rPr>
                <w:rFonts w:ascii="宋体" w:hAnsi="宋体" w:hint="eastAsia"/>
                <w:sz w:val="24"/>
                <w:lang w:val="en-GB"/>
              </w:rPr>
              <w:t>《阶段服务清单》内容包括但不限于：每次服务的日期、故障设备、故障描述、故障解决过程、确认人、备件号，备件名称等。</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hint="eastAsia"/>
                <w:sz w:val="24"/>
              </w:rPr>
              <w:lastRenderedPageBreak/>
              <w:t>7、配套工具服务</w:t>
            </w:r>
          </w:p>
        </w:tc>
        <w:tc>
          <w:tcPr>
            <w:tcW w:w="7257" w:type="dxa"/>
            <w:noWrap/>
          </w:tcPr>
          <w:p w:rsidR="006979F6" w:rsidRDefault="006979F6" w:rsidP="00B30517">
            <w:pPr>
              <w:spacing w:line="276" w:lineRule="auto"/>
              <w:rPr>
                <w:rFonts w:ascii="宋体" w:hAnsi="宋体"/>
                <w:sz w:val="24"/>
              </w:rPr>
            </w:pPr>
            <w:r>
              <w:rPr>
                <w:rFonts w:ascii="宋体" w:hAnsi="宋体" w:hint="eastAsia"/>
                <w:sz w:val="24"/>
              </w:rPr>
              <w:t>投标人能提供一套符合ITIL管理规范的CMDB工具，用于管理本项目中涉及到的设备配置信息。要求：(1)具有标准的CI模型，范围覆盖数据中心的全部内容；(2)能够管理CI关系数据，并提供关系拓扑展示；(3)具备软硬件信息自动采集能力。</w:t>
            </w:r>
          </w:p>
          <w:p w:rsidR="006979F6" w:rsidRDefault="006979F6" w:rsidP="00B30517">
            <w:pPr>
              <w:spacing w:line="276" w:lineRule="auto"/>
              <w:rPr>
                <w:rFonts w:ascii="宋体" w:hAnsi="宋体"/>
                <w:sz w:val="24"/>
                <w:lang w:val="en-GB"/>
              </w:rPr>
            </w:pPr>
            <w:r>
              <w:rPr>
                <w:rFonts w:ascii="宋体" w:hAnsi="宋体" w:hint="eastAsia"/>
                <w:sz w:val="24"/>
              </w:rPr>
              <w:t>为了便于开展维保服务工作，投标人提供一套运维管理工具，功能包括灾备切换管理、备件管理、实时监控、自动化巡检等。</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hint="eastAsia"/>
                <w:sz w:val="24"/>
              </w:rPr>
              <w:t>8、培训服务</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需提供培训服务4人次（内容包括培训费用、交通费用、食宿费用和考试费用等）</w:t>
            </w:r>
          </w:p>
          <w:p w:rsidR="006979F6" w:rsidRDefault="006979F6" w:rsidP="00B30517">
            <w:pPr>
              <w:spacing w:line="276" w:lineRule="auto"/>
              <w:rPr>
                <w:rFonts w:ascii="宋体" w:hAnsi="宋体"/>
                <w:sz w:val="24"/>
                <w:lang w:val="en-GB"/>
              </w:rPr>
            </w:pPr>
            <w:r>
              <w:rPr>
                <w:rFonts w:ascii="宋体" w:hAnsi="宋体" w:hint="eastAsia"/>
                <w:sz w:val="24"/>
                <w:lang w:val="en-GB"/>
              </w:rPr>
              <w:t>所有培训必须为参加培训人员提供培训计算机、网络环境，文字资料和讲义等相关作品。所有的培训资料是中文或英文书写。</w:t>
            </w:r>
          </w:p>
          <w:p w:rsidR="006979F6" w:rsidRDefault="006979F6" w:rsidP="00B30517">
            <w:pPr>
              <w:spacing w:line="276" w:lineRule="auto"/>
              <w:rPr>
                <w:rFonts w:ascii="宋体" w:hAnsi="宋体"/>
                <w:sz w:val="24"/>
                <w:lang w:val="en-GB"/>
              </w:rPr>
            </w:pPr>
            <w:r>
              <w:rPr>
                <w:rFonts w:ascii="宋体" w:hAnsi="宋体" w:hint="eastAsia"/>
                <w:sz w:val="24"/>
                <w:lang w:val="en-GB"/>
              </w:rPr>
              <w:t>具体地点及培训时间和培训的详细内容由双方共同协商决定</w:t>
            </w:r>
          </w:p>
        </w:tc>
      </w:tr>
      <w:tr w:rsidR="006979F6" w:rsidTr="00B30517">
        <w:trPr>
          <w:jc w:val="center"/>
        </w:trPr>
        <w:tc>
          <w:tcPr>
            <w:tcW w:w="1249" w:type="dxa"/>
            <w:noWrap/>
            <w:vAlign w:val="center"/>
          </w:tcPr>
          <w:p w:rsidR="006979F6" w:rsidRDefault="006979F6" w:rsidP="00B30517">
            <w:pPr>
              <w:spacing w:line="276" w:lineRule="auto"/>
              <w:jc w:val="center"/>
              <w:rPr>
                <w:rFonts w:ascii="宋体" w:hAnsi="宋体"/>
                <w:sz w:val="24"/>
              </w:rPr>
            </w:pPr>
            <w:r>
              <w:rPr>
                <w:rFonts w:ascii="宋体" w:hAnsi="宋体" w:hint="eastAsia"/>
                <w:sz w:val="24"/>
              </w:rPr>
              <w:t>9、其他要求</w:t>
            </w:r>
          </w:p>
        </w:tc>
        <w:tc>
          <w:tcPr>
            <w:tcW w:w="7257" w:type="dxa"/>
            <w:noWrap/>
          </w:tcPr>
          <w:p w:rsidR="006979F6" w:rsidRDefault="006979F6" w:rsidP="00B30517">
            <w:pPr>
              <w:spacing w:line="276" w:lineRule="auto"/>
              <w:rPr>
                <w:rFonts w:ascii="宋体" w:hAnsi="宋体"/>
                <w:sz w:val="24"/>
                <w:lang w:val="en-GB"/>
              </w:rPr>
            </w:pPr>
            <w:r>
              <w:rPr>
                <w:rFonts w:ascii="宋体" w:hAnsi="宋体" w:hint="eastAsia"/>
                <w:sz w:val="24"/>
                <w:lang w:val="en-GB"/>
              </w:rPr>
              <w:t>如果在提供维保服务过程中出现无法在规定的时间内解决问题的情况时，应该立即向产品原厂商寻求支持解决问题，产生的所有相关费用由投标人承担。若投标人拖延不采取积极措施寻求相关原厂商的技术支持，由此产生的损失将根据合同条款的违约责任对投标人进行相应处罚和终止维保合同的执行。</w:t>
            </w:r>
          </w:p>
        </w:tc>
      </w:tr>
    </w:tbl>
    <w:p w:rsidR="006979F6" w:rsidRDefault="006979F6" w:rsidP="006979F6">
      <w:pPr>
        <w:spacing w:line="360" w:lineRule="auto"/>
        <w:ind w:firstLineChars="200" w:firstLine="480"/>
        <w:rPr>
          <w:rFonts w:ascii="新宋体" w:eastAsia="新宋体" w:hAnsi="新宋体" w:hint="eastAsia"/>
          <w:sz w:val="24"/>
        </w:rPr>
      </w:pPr>
      <w:r>
        <w:rPr>
          <w:rFonts w:ascii="新宋体" w:eastAsia="新宋体" w:hAnsi="新宋体" w:hint="eastAsia"/>
          <w:sz w:val="24"/>
        </w:rPr>
        <w:t>二、项目简介</w:t>
      </w:r>
    </w:p>
    <w:p w:rsidR="006979F6" w:rsidRPr="00C03E9C" w:rsidRDefault="006979F6" w:rsidP="006979F6">
      <w:pPr>
        <w:spacing w:line="360" w:lineRule="auto"/>
        <w:ind w:firstLineChars="200" w:firstLine="480"/>
        <w:rPr>
          <w:rFonts w:ascii="新宋体" w:eastAsia="新宋体" w:hAnsi="新宋体" w:cs="新宋体" w:hint="eastAsia"/>
          <w:sz w:val="24"/>
        </w:rPr>
      </w:pPr>
      <w:r w:rsidRPr="00C03E9C">
        <w:rPr>
          <w:rFonts w:ascii="新宋体" w:eastAsia="新宋体" w:hAnsi="新宋体" w:cs="新宋体" w:hint="eastAsia"/>
          <w:sz w:val="24"/>
        </w:rPr>
        <w:t>我局已经建立起了多个核心业务系统，业务流量和数据量日益增大，业务种类的多样性和应用系统的广泛性决定了IT系统 的多类多机现状，即机器的种类多，数量多。对于主机等硬件设备的要求也越来越高。因此，运维部门需要提供更高级别的运维服务，确保主机等设备的正常运转，从而保证各业务系统的健康运行。本项目为我局核心业务系统的小型机等基础环境提供维保服务，包括小型机、存储、服务器等600多台设备。</w:t>
      </w:r>
    </w:p>
    <w:p w:rsidR="006979F6" w:rsidRDefault="006979F6" w:rsidP="006979F6">
      <w:pPr>
        <w:pStyle w:val="3"/>
        <w:jc w:val="center"/>
        <w:rPr>
          <w:rFonts w:ascii="宋体" w:hAnsi="宋体"/>
          <w:sz w:val="24"/>
        </w:rPr>
      </w:pPr>
      <w:bookmarkStart w:id="5" w:name="_Toc18127"/>
      <w:bookmarkStart w:id="6" w:name="_Toc8284"/>
      <w:bookmarkStart w:id="7" w:name="_Toc25316"/>
      <w:bookmarkStart w:id="8" w:name="_Toc51803220"/>
      <w:r>
        <w:rPr>
          <w:rFonts w:ascii="宋体" w:hAnsi="宋体" w:hint="eastAsia"/>
          <w:sz w:val="24"/>
        </w:rPr>
        <w:t>第二节 商务需求</w:t>
      </w:r>
      <w:bookmarkEnd w:id="5"/>
      <w:bookmarkEnd w:id="6"/>
      <w:bookmarkEnd w:id="7"/>
      <w:bookmarkEnd w:id="8"/>
    </w:p>
    <w:p w:rsidR="006979F6" w:rsidRDefault="006979F6" w:rsidP="006979F6">
      <w:pPr>
        <w:spacing w:line="360" w:lineRule="auto"/>
        <w:rPr>
          <w:rFonts w:ascii="新宋体" w:eastAsia="新宋体" w:hAnsi="新宋体"/>
          <w:sz w:val="24"/>
        </w:rPr>
      </w:pPr>
      <w:r>
        <w:rPr>
          <w:rFonts w:ascii="新宋体" w:eastAsia="新宋体" w:hAnsi="新宋体" w:hint="eastAsia"/>
          <w:sz w:val="24"/>
        </w:rPr>
        <w:t>一</w:t>
      </w:r>
      <w:r>
        <w:rPr>
          <w:rFonts w:ascii="新宋体" w:eastAsia="新宋体" w:hAnsi="新宋体"/>
          <w:sz w:val="24"/>
        </w:rPr>
        <w:t>、服务期/项目工期</w:t>
      </w:r>
    </w:p>
    <w:p w:rsidR="006979F6" w:rsidRPr="00A67AF8" w:rsidRDefault="006979F6" w:rsidP="006979F6">
      <w:pPr>
        <w:spacing w:line="360" w:lineRule="auto"/>
        <w:rPr>
          <w:rFonts w:ascii="新宋体" w:eastAsia="新宋体" w:hAnsi="新宋体" w:cs="宋体" w:hint="eastAsia"/>
          <w:sz w:val="24"/>
        </w:rPr>
      </w:pPr>
      <w:r>
        <w:rPr>
          <w:rFonts w:ascii="新宋体" w:eastAsia="新宋体" w:hAnsi="新宋体"/>
        </w:rPr>
        <w:t xml:space="preserve">     </w:t>
      </w:r>
      <w:r>
        <w:rPr>
          <w:rFonts w:ascii="新宋体" w:eastAsia="新宋体" w:hAnsi="新宋体" w:cs="宋体" w:hint="eastAsia"/>
          <w:sz w:val="24"/>
        </w:rPr>
        <w:t>第一年度</w:t>
      </w:r>
      <w:r w:rsidRPr="00A67AF8">
        <w:rPr>
          <w:rFonts w:ascii="新宋体" w:eastAsia="新宋体" w:hAnsi="新宋体" w:cs="宋体" w:hint="eastAsia"/>
          <w:sz w:val="24"/>
        </w:rPr>
        <w:t>维保服务的时间区间：2021年2月1日-2022年1月31日。</w:t>
      </w:r>
    </w:p>
    <w:p w:rsidR="006979F6" w:rsidRDefault="006979F6" w:rsidP="006979F6">
      <w:pPr>
        <w:spacing w:line="360" w:lineRule="auto"/>
        <w:ind w:firstLineChars="200" w:firstLine="480"/>
        <w:rPr>
          <w:rFonts w:ascii="新宋体" w:eastAsia="新宋体" w:hAnsi="新宋体" w:cs="宋体" w:hint="eastAsia"/>
          <w:sz w:val="24"/>
        </w:rPr>
      </w:pPr>
      <w:r w:rsidRPr="00A67AF8">
        <w:rPr>
          <w:rFonts w:ascii="新宋体" w:eastAsia="新宋体" w:hAnsi="新宋体" w:cs="宋体" w:hint="eastAsia"/>
          <w:sz w:val="24"/>
        </w:rPr>
        <w:lastRenderedPageBreak/>
        <w:t>在维保服务起始时间之前如发生故障，合同生效后中标人需要立即处理进行维修，招标人不另行支付费用</w:t>
      </w:r>
      <w:r>
        <w:rPr>
          <w:rFonts w:ascii="新宋体" w:eastAsia="新宋体" w:hAnsi="新宋体" w:cs="宋体" w:hint="eastAsia"/>
          <w:sz w:val="24"/>
        </w:rPr>
        <w:t>。</w:t>
      </w:r>
    </w:p>
    <w:p w:rsidR="006979F6" w:rsidRDefault="006979F6" w:rsidP="006979F6">
      <w:pPr>
        <w:tabs>
          <w:tab w:val="left" w:pos="540"/>
        </w:tabs>
        <w:spacing w:line="360" w:lineRule="auto"/>
        <w:rPr>
          <w:rFonts w:ascii="新宋体" w:eastAsia="新宋体" w:hAnsi="新宋体"/>
          <w:sz w:val="24"/>
        </w:rPr>
      </w:pPr>
      <w:r>
        <w:rPr>
          <w:rFonts w:ascii="新宋体" w:eastAsia="新宋体" w:hAnsi="新宋体" w:hint="eastAsia"/>
          <w:sz w:val="24"/>
        </w:rPr>
        <w:t>二</w:t>
      </w:r>
      <w:r>
        <w:rPr>
          <w:rFonts w:ascii="新宋体" w:eastAsia="新宋体" w:hAnsi="新宋体"/>
          <w:sz w:val="24"/>
        </w:rPr>
        <w:t>、</w:t>
      </w:r>
      <w:r>
        <w:rPr>
          <w:rFonts w:ascii="新宋体" w:eastAsia="新宋体" w:hAnsi="新宋体" w:hint="eastAsia"/>
          <w:sz w:val="24"/>
        </w:rPr>
        <w:t>验收</w:t>
      </w:r>
      <w:r>
        <w:rPr>
          <w:rFonts w:ascii="新宋体" w:eastAsia="新宋体" w:hAnsi="新宋体"/>
          <w:sz w:val="24"/>
        </w:rPr>
        <w:t>及合同付款</w:t>
      </w:r>
      <w:r>
        <w:rPr>
          <w:rFonts w:ascii="新宋体" w:eastAsia="新宋体" w:hAnsi="新宋体" w:hint="eastAsia"/>
          <w:sz w:val="24"/>
        </w:rPr>
        <w:t>规定</w:t>
      </w:r>
    </w:p>
    <w:p w:rsidR="006979F6" w:rsidRDefault="006979F6" w:rsidP="006979F6">
      <w:pPr>
        <w:tabs>
          <w:tab w:val="left" w:pos="540"/>
        </w:tabs>
        <w:spacing w:line="360" w:lineRule="auto"/>
        <w:rPr>
          <w:rFonts w:ascii="新宋体" w:eastAsia="新宋体" w:hAnsi="新宋体" w:hint="eastAsia"/>
          <w:sz w:val="24"/>
        </w:rPr>
      </w:pPr>
      <w:r>
        <w:rPr>
          <w:rFonts w:ascii="新宋体" w:eastAsia="新宋体" w:hAnsi="新宋体" w:hint="eastAsia"/>
          <w:sz w:val="24"/>
        </w:rPr>
        <w:t xml:space="preserve">    1</w:t>
      </w:r>
      <w:r>
        <w:rPr>
          <w:rFonts w:ascii="新宋体" w:eastAsia="新宋体" w:hAnsi="新宋体"/>
          <w:sz w:val="24"/>
        </w:rPr>
        <w:t>.验收标准</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1</w:t>
      </w:r>
      <w:r>
        <w:rPr>
          <w:rFonts w:ascii="宋体" w:hAnsi="宋体" w:hint="eastAsia"/>
          <w:sz w:val="24"/>
        </w:rPr>
        <w:t>计算机类设备（包括PC机、打印机、扫描仪等）验收标准</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（1）乙方提供的服务未因乙方的原因造成甲方损失；</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（2）乙方在合同规定的时间内为甲方提供合同规定范围内的计算机类设备维护服务；</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（3）甲方对乙方所提供的维护服务的满意度在95%以上（含95%）；</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（4）乙方提交了合同要求的服务单、分析报告等书面和电子资料。</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2.应用系统类验收标准</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（1）乙方在合同规定的时间内为甲方提供合同规定范围内的应用系统维护服务；</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2）根据本合同规定的维护内容为依据，对于相应的处理问题，乙方技术人员出具问题记录单和问题分析报告及问题处理记录单，由甲方对处理结束后问题进行检测、测试，确认任务是否完成或达到标准。如检验通过，由甲方在乙方出具的客户服务单上签字确认。</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（3）甲方对乙方所提供的维护服务的满意度在95%以上（含95%）；</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（4）乙方提供了运维服务工程中所需的相关文档。</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3.信息安全类（包括网络安全、操作系统安全、应用系统类安全等）验收标准</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（1）乙方提供安全服务的系统中没有出现因乙方原因造成的重大安全事故；</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（2）乙方在合同规定的时间内为甲方提供合同规定范围内的安全服务；</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（3）甲方对乙方所提供的安全服务的满意度在95%以上（含95%）；</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（4）乙方提交了合同要求的服务单、分析报告等书面和电子资料。</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4.基础设施类（主机、网络、机房设备、服务器）验收标准</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（1）乙方提供服务系统中没有出现因乙方原因造成的重大安全事故；</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（2）乙方在合同规定的时间内为甲方提供合同规定范围内的安全服务；</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（3）甲方对乙方所提供的安全服务的满意度在95%以上（含95%）；</w:t>
      </w:r>
    </w:p>
    <w:p w:rsidR="006979F6" w:rsidRDefault="006979F6" w:rsidP="006979F6">
      <w:pPr>
        <w:tabs>
          <w:tab w:val="left" w:pos="540"/>
        </w:tabs>
        <w:spacing w:line="360" w:lineRule="auto"/>
        <w:ind w:firstLineChars="200" w:firstLine="480"/>
        <w:rPr>
          <w:rFonts w:ascii="宋体" w:hAnsi="宋体" w:hint="eastAsia"/>
          <w:sz w:val="24"/>
        </w:rPr>
      </w:pPr>
      <w:r>
        <w:rPr>
          <w:rFonts w:ascii="宋体" w:hAnsi="宋体" w:hint="eastAsia"/>
          <w:sz w:val="24"/>
        </w:rPr>
        <w:t>（4）乙方提交了合同要求的服务单、分析报告等书面和电子资料。</w:t>
      </w:r>
    </w:p>
    <w:p w:rsidR="006979F6" w:rsidRDefault="006979F6" w:rsidP="006979F6">
      <w:pPr>
        <w:tabs>
          <w:tab w:val="left" w:pos="540"/>
        </w:tabs>
        <w:spacing w:line="360" w:lineRule="auto"/>
        <w:ind w:firstLineChars="200" w:firstLine="480"/>
        <w:rPr>
          <w:rFonts w:ascii="宋体" w:hAnsi="宋体"/>
          <w:sz w:val="24"/>
        </w:rPr>
      </w:pPr>
      <w:r>
        <w:rPr>
          <w:rFonts w:ascii="宋体" w:hAnsi="宋体"/>
          <w:sz w:val="24"/>
        </w:rPr>
        <w:t>1.</w:t>
      </w:r>
      <w:r>
        <w:rPr>
          <w:rFonts w:ascii="宋体" w:hAnsi="宋体" w:hint="eastAsia"/>
          <w:sz w:val="24"/>
        </w:rPr>
        <w:t>5.其他</w:t>
      </w:r>
    </w:p>
    <w:p w:rsidR="006979F6" w:rsidRDefault="006979F6" w:rsidP="006979F6">
      <w:pPr>
        <w:tabs>
          <w:tab w:val="left" w:pos="540"/>
        </w:tabs>
        <w:spacing w:line="360" w:lineRule="auto"/>
        <w:ind w:firstLineChars="200" w:firstLine="480"/>
        <w:rPr>
          <w:rFonts w:ascii="新宋体" w:eastAsia="新宋体" w:hAnsi="新宋体" w:cs="宋体"/>
          <w:sz w:val="24"/>
          <w:highlight w:val="yellow"/>
        </w:rPr>
      </w:pPr>
    </w:p>
    <w:p w:rsidR="006979F6" w:rsidRDefault="006979F6" w:rsidP="006979F6">
      <w:pPr>
        <w:tabs>
          <w:tab w:val="left" w:pos="540"/>
        </w:tabs>
        <w:spacing w:line="360" w:lineRule="auto"/>
        <w:ind w:firstLineChars="200" w:firstLine="480"/>
        <w:rPr>
          <w:rFonts w:ascii="新宋体" w:eastAsia="新宋体" w:hAnsi="新宋体"/>
          <w:sz w:val="24"/>
        </w:rPr>
      </w:pPr>
      <w:r>
        <w:rPr>
          <w:rFonts w:ascii="新宋体" w:eastAsia="新宋体" w:hAnsi="新宋体" w:cs="宋体"/>
          <w:sz w:val="24"/>
        </w:rPr>
        <w:lastRenderedPageBreak/>
        <w:t>2</w:t>
      </w:r>
      <w:r>
        <w:rPr>
          <w:rFonts w:ascii="新宋体" w:eastAsia="新宋体" w:hAnsi="新宋体" w:cs="宋体" w:hint="eastAsia"/>
          <w:sz w:val="24"/>
        </w:rPr>
        <w:t>.合同付款规定。</w:t>
      </w:r>
    </w:p>
    <w:p w:rsidR="006979F6" w:rsidRPr="00A67AF8" w:rsidRDefault="006979F6" w:rsidP="006979F6">
      <w:pPr>
        <w:tabs>
          <w:tab w:val="left" w:pos="540"/>
        </w:tabs>
        <w:spacing w:line="360" w:lineRule="auto"/>
        <w:ind w:firstLineChars="200" w:firstLine="480"/>
        <w:rPr>
          <w:rFonts w:ascii="新宋体" w:eastAsia="新宋体" w:hAnsi="新宋体" w:hint="eastAsia"/>
          <w:sz w:val="24"/>
        </w:rPr>
      </w:pPr>
      <w:r w:rsidRPr="00A67AF8">
        <w:rPr>
          <w:rFonts w:ascii="新宋体" w:eastAsia="新宋体" w:hAnsi="新宋体" w:hint="eastAsia"/>
          <w:sz w:val="24"/>
        </w:rPr>
        <w:t>合同总价款: （单位：人民币元）人民币大写： _________[RMB 共计______元] 。甲乙双方明确，上述合同总价款为含税价格；除上述合同总价之外，本合同项下甲方无需再向乙方支付其他任何费用。</w:t>
      </w:r>
    </w:p>
    <w:p w:rsidR="006979F6" w:rsidRPr="00A67AF8" w:rsidRDefault="006979F6" w:rsidP="006979F6">
      <w:pPr>
        <w:tabs>
          <w:tab w:val="left" w:pos="540"/>
        </w:tabs>
        <w:spacing w:line="360" w:lineRule="auto"/>
        <w:ind w:firstLineChars="200" w:firstLine="480"/>
        <w:rPr>
          <w:rFonts w:ascii="新宋体" w:eastAsia="新宋体" w:hAnsi="新宋体" w:hint="eastAsia"/>
          <w:sz w:val="24"/>
        </w:rPr>
      </w:pPr>
      <w:r w:rsidRPr="00A67AF8">
        <w:rPr>
          <w:rFonts w:ascii="新宋体" w:eastAsia="新宋体" w:hAnsi="新宋体" w:hint="eastAsia"/>
          <w:sz w:val="24"/>
        </w:rPr>
        <w:t>合同总价分为    个阶段支付：</w:t>
      </w:r>
    </w:p>
    <w:p w:rsidR="006979F6" w:rsidRPr="00A80D08" w:rsidRDefault="006979F6" w:rsidP="006979F6">
      <w:pPr>
        <w:tabs>
          <w:tab w:val="left" w:pos="540"/>
        </w:tabs>
        <w:spacing w:line="360" w:lineRule="auto"/>
        <w:ind w:firstLineChars="200" w:firstLine="480"/>
        <w:rPr>
          <w:rFonts w:ascii="新宋体" w:eastAsia="新宋体" w:hAnsi="新宋体" w:hint="eastAsia"/>
          <w:sz w:val="24"/>
        </w:rPr>
      </w:pPr>
      <w:r>
        <w:rPr>
          <w:rFonts w:ascii="新宋体" w:eastAsia="新宋体" w:hAnsi="新宋体" w:hint="eastAsia"/>
          <w:sz w:val="24"/>
        </w:rPr>
        <w:t>（</w:t>
      </w:r>
      <w:r w:rsidRPr="00A80D08">
        <w:rPr>
          <w:rFonts w:ascii="新宋体" w:eastAsia="新宋体" w:hAnsi="新宋体" w:hint="eastAsia"/>
          <w:sz w:val="24"/>
        </w:rPr>
        <w:t>1</w:t>
      </w:r>
      <w:r>
        <w:rPr>
          <w:rFonts w:ascii="新宋体" w:eastAsia="新宋体" w:hAnsi="新宋体" w:hint="eastAsia"/>
          <w:sz w:val="24"/>
        </w:rPr>
        <w:t>）</w:t>
      </w:r>
      <w:r w:rsidRPr="00A80D08">
        <w:rPr>
          <w:rFonts w:ascii="新宋体" w:eastAsia="新宋体" w:hAnsi="新宋体" w:hint="eastAsia"/>
          <w:sz w:val="24"/>
        </w:rPr>
        <w:t>合同签订后乙方收到甲方通知进场运维后向甲方提供发票及银行账号并经甲方审核通过后20个工作日内，甲方向乙方支付合同总价的60%，即：[RMB_______元]。</w:t>
      </w:r>
    </w:p>
    <w:p w:rsidR="006979F6" w:rsidRDefault="006979F6" w:rsidP="006979F6">
      <w:pPr>
        <w:tabs>
          <w:tab w:val="left" w:pos="540"/>
        </w:tabs>
        <w:spacing w:line="360" w:lineRule="auto"/>
        <w:ind w:firstLineChars="200" w:firstLine="480"/>
        <w:rPr>
          <w:rFonts w:ascii="新宋体" w:eastAsia="新宋体" w:hAnsi="新宋体"/>
          <w:sz w:val="24"/>
        </w:rPr>
      </w:pPr>
      <w:r w:rsidRPr="00A67AF8">
        <w:rPr>
          <w:rFonts w:ascii="新宋体" w:eastAsia="新宋体" w:hAnsi="新宋体" w:hint="eastAsia"/>
          <w:sz w:val="24"/>
        </w:rPr>
        <w:t>（2）在乙方提供完合同期限内的运维服务后，甲方应根据服务期内乙方的服务情况，出具对应的验收合格证明，作为向乙方支付当期合同款的依据。乙方向甲方提供发票及银行账号并经甲方审核通过后20个工作日内，甲方向乙方支付合同总价的40%，即：[RMB________元]。</w:t>
      </w:r>
      <w:r w:rsidRPr="00A67AF8">
        <w:rPr>
          <w:rFonts w:ascii="新宋体" w:eastAsia="新宋体" w:hAnsi="新宋体"/>
          <w:sz w:val="24"/>
        </w:rPr>
        <w:cr/>
      </w: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sz w:val="24"/>
        </w:rPr>
      </w:pPr>
    </w:p>
    <w:p w:rsidR="006979F6" w:rsidRDefault="006979F6" w:rsidP="006979F6">
      <w:pPr>
        <w:tabs>
          <w:tab w:val="left" w:pos="540"/>
        </w:tabs>
        <w:spacing w:line="360" w:lineRule="auto"/>
        <w:ind w:firstLineChars="200" w:firstLine="480"/>
        <w:rPr>
          <w:rFonts w:ascii="新宋体" w:eastAsia="新宋体" w:hAnsi="新宋体" w:hint="eastAsia"/>
          <w:sz w:val="24"/>
        </w:rPr>
      </w:pPr>
    </w:p>
    <w:p w:rsidR="006979F6" w:rsidRDefault="006979F6" w:rsidP="006979F6">
      <w:pPr>
        <w:pStyle w:val="3"/>
        <w:jc w:val="center"/>
        <w:rPr>
          <w:rFonts w:ascii="宋体" w:hAnsi="宋体"/>
          <w:sz w:val="24"/>
        </w:rPr>
      </w:pPr>
      <w:bookmarkStart w:id="9" w:name="_Toc20047"/>
      <w:bookmarkStart w:id="10" w:name="_Toc22657"/>
      <w:bookmarkStart w:id="11" w:name="_Toc5484"/>
      <w:bookmarkStart w:id="12" w:name="_Toc51803221"/>
      <w:r>
        <w:rPr>
          <w:rFonts w:ascii="宋体" w:hAnsi="宋体" w:hint="eastAsia"/>
          <w:sz w:val="24"/>
        </w:rPr>
        <w:t>第三节 技术需求</w:t>
      </w:r>
      <w:bookmarkEnd w:id="9"/>
      <w:bookmarkEnd w:id="10"/>
      <w:bookmarkEnd w:id="11"/>
      <w:bookmarkEnd w:id="12"/>
    </w:p>
    <w:p w:rsidR="006979F6" w:rsidRPr="008E6C9F" w:rsidRDefault="006979F6" w:rsidP="006979F6">
      <w:pPr>
        <w:tabs>
          <w:tab w:val="left" w:pos="540"/>
        </w:tabs>
        <w:spacing w:line="360" w:lineRule="auto"/>
        <w:ind w:firstLineChars="200" w:firstLine="480"/>
        <w:rPr>
          <w:rFonts w:ascii="新宋体" w:eastAsia="新宋体" w:hAnsi="新宋体"/>
          <w:sz w:val="24"/>
        </w:rPr>
      </w:pPr>
      <w:r w:rsidRPr="008E6C9F">
        <w:rPr>
          <w:rFonts w:ascii="新宋体" w:eastAsia="新宋体" w:hAnsi="新宋体" w:hint="eastAsia"/>
          <w:sz w:val="24"/>
        </w:rPr>
        <w:t>硬件维保服务设备清单</w:t>
      </w:r>
      <w:r>
        <w:rPr>
          <w:rFonts w:ascii="新宋体" w:eastAsia="新宋体" w:hAnsi="新宋体" w:hint="eastAsia"/>
          <w:sz w:val="24"/>
        </w:rPr>
        <w:t>如下：</w:t>
      </w:r>
    </w:p>
    <w:tbl>
      <w:tblPr>
        <w:tblW w:w="8520" w:type="dxa"/>
        <w:tblInd w:w="93" w:type="dxa"/>
        <w:tblLook w:val="04A0" w:firstRow="1" w:lastRow="0" w:firstColumn="1" w:lastColumn="0" w:noHBand="0" w:noVBand="1"/>
      </w:tblPr>
      <w:tblGrid>
        <w:gridCol w:w="2992"/>
        <w:gridCol w:w="2977"/>
        <w:gridCol w:w="2551"/>
      </w:tblGrid>
      <w:tr w:rsidR="006979F6" w:rsidRPr="008B7EA6" w:rsidTr="00B30517">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b/>
                <w:bCs/>
                <w:color w:val="000000"/>
                <w:kern w:val="0"/>
                <w:sz w:val="24"/>
              </w:rPr>
            </w:pPr>
            <w:r w:rsidRPr="008B7EA6">
              <w:rPr>
                <w:rFonts w:ascii="宋体" w:hAnsi="宋体" w:cs="宋体" w:hint="eastAsia"/>
                <w:b/>
                <w:bCs/>
                <w:color w:val="000000"/>
                <w:kern w:val="0"/>
                <w:sz w:val="24"/>
              </w:rPr>
              <w:t>设备名称型号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b/>
                <w:bCs/>
                <w:color w:val="000000"/>
                <w:kern w:val="0"/>
                <w:sz w:val="24"/>
              </w:rPr>
            </w:pPr>
            <w:r w:rsidRPr="008B7EA6">
              <w:rPr>
                <w:rFonts w:ascii="宋体" w:hAnsi="宋体" w:cs="宋体" w:hint="eastAsia"/>
                <w:b/>
                <w:bCs/>
                <w:color w:val="000000"/>
                <w:kern w:val="0"/>
                <w:sz w:val="24"/>
              </w:rPr>
              <w:t>序列号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b/>
                <w:bCs/>
                <w:color w:val="000000"/>
                <w:kern w:val="0"/>
                <w:sz w:val="24"/>
              </w:rPr>
            </w:pPr>
            <w:r w:rsidRPr="008B7EA6">
              <w:rPr>
                <w:rFonts w:ascii="宋体" w:hAnsi="宋体" w:cs="宋体" w:hint="eastAsia"/>
                <w:b/>
                <w:bCs/>
                <w:color w:val="000000"/>
                <w:kern w:val="0"/>
                <w:sz w:val="24"/>
              </w:rPr>
              <w:t>维保起始时间</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万全R525 G3</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NC00783687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万全R525 G3</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NC00642328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NC00786027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 G7</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NC00783646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9800054600506033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9800054600507240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9800054600507243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9800054600506031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9800054600507242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DL180 G6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CNG948S3SL</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DL180 G6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CNG948S3SV</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DL180 G6</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CNG948S3SG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DL180 G6</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CNG948S3SR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DL380 G5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CNG717S05Z</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DL380 G5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CNG719S2Q5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DL580 G4</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CNG739S1J7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DL580 G4</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CNG744S05Y</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DL580 G5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CNG903S1DZ</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HP 服务器 DL580 G5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CNG903S1G4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H3C 服务器 FlexServer R390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219801A0LC914V50209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H3C 服务器 FlexServer R390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219801A0LC9148V50183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H3C 服务器 FlexServer R390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6CU43302813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I620r-G</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9800026700283191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9800076500638515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9800076500638511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9800076500638510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9800076500638495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9800076500638496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9800076500638514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9800076500638513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9800076500638497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I840-G25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9800076500638494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9800026600149651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9800036000359139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9800036000359137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9800036000359138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9800036000359151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奥联OLYM 服务器 IBC SERVER-9000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1206LXE0067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奥联OLYM 服务器 IBC SERVER-9000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1307LXE00269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NF8560M2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214215068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NF8560M2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214215054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NF8560M2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214215065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PR4860R2016041517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PR4860R2016041510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PR4860R2016041504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PR4860R2016041514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PowerLeader 4860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PR4860R2016041515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NC01652890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NC01652881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NC01652880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NC00783672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NC00642325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NC00642347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NC00642333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NC00787257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NC00783671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NC00783673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NC00783652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NC00783679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NC00642346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auto" w:fill="auto"/>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NC00783680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NC00787266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NC00645296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NC00565027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NC00787267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NC00783686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NC00787262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NC00787234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NC00642343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联想 服务器 SureServer R525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NC00642318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NC00787259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SureServer R525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NC00642340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9800074900636758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9800074900636759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9800074900636756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9800074900633386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9800074900636763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9800074900636764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9800074900633387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TC6600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9800074900636751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RD350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SM10G01185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PC07Z6AN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PC07ZXVA</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PC07ZXWJ</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PC07ZXWK</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PC0ABHUE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PC07ZXVB</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RD630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NC01307510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RD830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NC01200769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RD830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NC01200762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RD830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NC01200766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RD830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NC01200763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NC01652882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NC01652891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NC01652884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NC01652892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NC01652879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NC01918908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NC01918903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NC01918901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NC01918898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NC01918900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NC00652883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NC01918902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NC01652877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NC00783638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NC00533264</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NC00827930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NC00533269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NC00943620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NC00619532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NC00576485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万全R520 G7</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NC00943621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万全R630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NC00390474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NC00786028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NC01011883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NC00786026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NC00788007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NC01011884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NC01011881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NC00783644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 G7</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NC00952965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THECUS 服务器 N4510U-S</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4712505090689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THECUS 服务器 1U4600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4712505090658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长城 服务器 至翔S320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1S510732468V7552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PR2710G</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PR2710G22016041226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宝德 服务器 PR2710G</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PR2710G22016041224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PC07ZXWL</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PC07Z6AP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PC07ZXWB</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ThinkServer RD450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PC07ZXV7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I840r-GP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9800026600149656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H3C 服务器 FlexServer R390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219801A0LC9148V50182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H3C 服务器 FlexServer R390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219801A0LC9148V50189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815137961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815137953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815137962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815137942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815138316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815138312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815137963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NF8460M3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815137954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216365937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216365946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216365925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216365936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216365077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216365935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TS860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216365926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格尔国信 服务器 KII-ESEAL-LITE-8220-S20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ESEAL822042114010802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格尔国信 服务器 KII-ESEAL-LITE-8220-S20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ESEAL822042114010801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2102311QGKCNJA000048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2102311QGKCNJA000564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华为 服务器 RH5885 V3 </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2102311GEV10G2000058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2102311SAM10J6000009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2102311SAM10J5000031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2102311NQH10G8000001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2102311SAM10J6000012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2021-12-07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J300AGKY</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J300AGKL</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J300AEXK</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J301AGKN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J300AGKV</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J300AEXM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J300AGKP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2023-07-17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J30FEX4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J30FEYP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J30FEXX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J30H9PG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J31NOT7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J337HXB</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J337HXK</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J337HXE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J31NONG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2022-07-19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06CR040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06CR039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06FYDXH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 服务器 BTS500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17112102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 服务器 BTS500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17112101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2102311SAM10J2000012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2102311SAM10J2000014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J30VLG9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J30VLG6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J30VLG7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J30VLG5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J30VLG8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2102311NQH10G8000003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2102311NQH10G8000002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X3950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J30R7XL</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2102311SAM10J2000015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X3950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2102311SAM10J2000016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J30R7XK</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J325ETC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X3950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99E4965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X3950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99E4968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2102311QGKCNJA000656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J30R7XH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99P7176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99M0898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99M4359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99P4451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UAP3300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2102300635N0R9000088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06CR744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06CWXRF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99D2014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06CWXPZ</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06CWXRB</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06CWXRC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06L0255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99E5024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99C6513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99C6512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06CKHMK</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99K7517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bladecenter H</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99E2405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99E5026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99T3650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bladecenter E</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06WW498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99P0977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99C4384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X3750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06AK203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99C3597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99M8334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IBM 服务器 X3850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99E5028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99P0984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99T3657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X3750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06AK200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X260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99F0008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X260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99F0015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Dell 服务器 R900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17VQS2X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Dell 服务器 R900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47VQS2X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99E5029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99P0983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Dell 服务器 R900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37VQS2X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X3750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06AF833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99E1834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99P0976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99P0979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99P0981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99P0475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99E5025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RH2285 V2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21S401736010F000006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06L0256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06K3353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06CR738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bladecenter E</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06YPG12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06K3352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06K3359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06K3362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06K3355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06CWXPT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06CWXRA</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99DM432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bladecenter H</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99E2395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bladecenter E</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06CYA31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06CR761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06XDLH4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SJY42C130045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06XDLG3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06XDLND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2014061916801378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2014032612901130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SJY42C130044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06AC824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X260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99F0012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IBM 服务器 X3850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99D2013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 M3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99M2133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bladecenter H</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99E2388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06P4745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X3550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686B1ED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X3650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99DM423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X3950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99E4967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X3950 M2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99E4966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Lenovo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06EP171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06EP180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06CR736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06CR756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2102300742N0G5000002</w:t>
            </w:r>
            <w:r w:rsidRPr="008B7EA6">
              <w:rPr>
                <w:rFonts w:ascii="宋体" w:hAnsi="宋体" w:cs="宋体" w:hint="eastAsia"/>
                <w:color w:val="000000"/>
                <w:kern w:val="0"/>
                <w:sz w:val="18"/>
                <w:szCs w:val="18"/>
              </w:rPr>
              <w:br/>
              <w:t>210230102810G5000188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2102300742N0G4000357</w:t>
            </w:r>
            <w:r w:rsidRPr="008B7EA6">
              <w:rPr>
                <w:rFonts w:ascii="宋体" w:hAnsi="宋体" w:cs="宋体" w:hint="eastAsia"/>
                <w:color w:val="000000"/>
                <w:kern w:val="0"/>
                <w:sz w:val="18"/>
                <w:szCs w:val="18"/>
              </w:rPr>
              <w:br/>
              <w:t>210230102810G5000282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210305681910G4000152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210305681910G5000015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2102300742N0G4000375</w:t>
            </w:r>
            <w:r w:rsidRPr="008B7EA6">
              <w:rPr>
                <w:rFonts w:ascii="宋体" w:hAnsi="宋体" w:cs="宋体" w:hint="eastAsia"/>
                <w:color w:val="000000"/>
                <w:kern w:val="0"/>
                <w:sz w:val="18"/>
                <w:szCs w:val="18"/>
              </w:rPr>
              <w:br/>
              <w:t>210230102810G5000280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210305681910G4000128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2102300742N0G4000393</w:t>
            </w:r>
            <w:r w:rsidRPr="008B7EA6">
              <w:rPr>
                <w:rFonts w:ascii="宋体" w:hAnsi="宋体" w:cs="宋体" w:hint="eastAsia"/>
                <w:color w:val="000000"/>
                <w:kern w:val="0"/>
                <w:sz w:val="18"/>
                <w:szCs w:val="18"/>
              </w:rPr>
              <w:br/>
              <w:t>210230102810G5000281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2102300742N0G4000386</w:t>
            </w:r>
            <w:r w:rsidRPr="008B7EA6">
              <w:rPr>
                <w:rFonts w:ascii="宋体" w:hAnsi="宋体" w:cs="宋体" w:hint="eastAsia"/>
                <w:color w:val="000000"/>
                <w:kern w:val="0"/>
                <w:sz w:val="18"/>
                <w:szCs w:val="18"/>
              </w:rPr>
              <w:br/>
              <w:t>210230102810G5000284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210305681910G5000011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210305681910G5000013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2102300742N0G4000392</w:t>
            </w:r>
            <w:r w:rsidRPr="008B7EA6">
              <w:rPr>
                <w:rFonts w:ascii="宋体" w:hAnsi="宋体" w:cs="宋体" w:hint="eastAsia"/>
                <w:color w:val="000000"/>
                <w:kern w:val="0"/>
                <w:sz w:val="18"/>
                <w:szCs w:val="18"/>
              </w:rPr>
              <w:br/>
              <w:t>210230102810G5000299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210305681910G5000010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210305681910G4000129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2102300742N0G4000409</w:t>
            </w:r>
            <w:r w:rsidRPr="008B7EA6">
              <w:rPr>
                <w:rFonts w:ascii="宋体" w:hAnsi="宋体" w:cs="宋体" w:hint="eastAsia"/>
                <w:color w:val="000000"/>
                <w:kern w:val="0"/>
                <w:sz w:val="18"/>
                <w:szCs w:val="18"/>
              </w:rPr>
              <w:br/>
              <w:t>210230102810G5000285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210305681910G5000014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2102300742N0G4000378</w:t>
            </w:r>
            <w:r w:rsidRPr="008B7EA6">
              <w:rPr>
                <w:rFonts w:ascii="宋体" w:hAnsi="宋体" w:cs="宋体" w:hint="eastAsia"/>
                <w:color w:val="000000"/>
                <w:kern w:val="0"/>
                <w:sz w:val="18"/>
                <w:szCs w:val="18"/>
              </w:rPr>
              <w:br/>
              <w:t>210230102810G5000299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210305681910G4000151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2102300742N0G4000396</w:t>
            </w:r>
            <w:r w:rsidRPr="008B7EA6">
              <w:rPr>
                <w:rFonts w:ascii="宋体" w:hAnsi="宋体" w:cs="宋体" w:hint="eastAsia"/>
                <w:color w:val="000000"/>
                <w:kern w:val="0"/>
                <w:sz w:val="18"/>
                <w:szCs w:val="18"/>
              </w:rPr>
              <w:br/>
              <w:t>210230102810G5000277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210305681910G5000001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210305681910G4000136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210305681910G4000147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PR2510RN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PR2710G22016041223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PR4860R000275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PR4860R000272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PR4860R000280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PR4860R000236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PR4860R000295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PR4860R000266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PR4860R000268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宝德 服务器 PR4840R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PR4860R000240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2102311QGT10J8000454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NC01918907NC650929A8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NC01918905NC650929A8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NC01918808NC650929AM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NC01918909NC650929A8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NC01652876NC64112878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NC01652893NC64112876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NC01652886NC64112877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NC01918911NC650929A8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NC01918913NC650929A8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CNEEBS4L00602053C3A00KX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2102311QGN10J6000412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2102311QGN10J6000357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2102311QGN10J6000369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2102311QGN10J6000366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2102311QGN10J6000406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2102311SAM10J5000013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RH5885H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2102311SAM10J5000020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S2600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2102350SJN9WH9000042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2102311QGN10J6000358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2102311QGN10J6000432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2102311QGN10J6000409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2102311QGN10J6000352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2102311QGS10J3000116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U2980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2102310KFE10JB000010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U2980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2102310KFE10JB000011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2021-10-25</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J300AGKC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J300AEXL</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SR860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J300AEXD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NC00786024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NC00786025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万全R680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NC00786023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2102311EDS10G3000689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2102311EDS10G3000676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2102311EDS10G3000701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2102311E0S10G3000658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2102311QGKCNJA000496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2102300742N0G6000033</w:t>
            </w:r>
            <w:r w:rsidRPr="008B7EA6">
              <w:rPr>
                <w:rFonts w:ascii="宋体" w:hAnsi="宋体" w:cs="宋体" w:hint="eastAsia"/>
                <w:color w:val="000000"/>
                <w:kern w:val="0"/>
                <w:sz w:val="18"/>
                <w:szCs w:val="18"/>
              </w:rPr>
              <w:br/>
              <w:t>210230102810G6000074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2023-5-17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210305681910J6000034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2023-5-17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210305681910J6000033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2023-5-17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HUAWEI 服务器 E9000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2102300742N0G6000018</w:t>
            </w:r>
            <w:r w:rsidRPr="008B7EA6">
              <w:rPr>
                <w:rFonts w:ascii="宋体" w:hAnsi="宋体" w:cs="宋体" w:hint="eastAsia"/>
                <w:color w:val="000000"/>
                <w:kern w:val="0"/>
                <w:sz w:val="18"/>
                <w:szCs w:val="18"/>
              </w:rPr>
              <w:br/>
              <w:t>210230102810G6000075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2023-5-17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CH242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210305681910J6000032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2023-5-17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英信NF5280M5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419223707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2022-11-30</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英信NF5280M5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419223715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2022-11-30</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英信NF5280M5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419223712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2022-11-30</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服务器 英信NF5280M5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419223705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2022-11-30</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J338MKP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J338MKV</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2022-9-19</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J338MKW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J338MKT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J338MKR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J338MKX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J337NB3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J337NB1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J337455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J337NB0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J337NB2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J337NB4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SystemX 3650 M5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J337456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2022-9-17</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2102311QGKCNJA000047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w:t>
            </w:r>
            <w:r>
              <w:rPr>
                <w:rFonts w:ascii="宋体" w:hAnsi="宋体" w:cs="宋体" w:hint="eastAsia"/>
                <w:color w:val="000000"/>
                <w:kern w:val="0"/>
                <w:sz w:val="18"/>
                <w:szCs w:val="18"/>
              </w:rPr>
              <w:t>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2102311QGKCNJA000654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w:t>
            </w:r>
            <w:r>
              <w:rPr>
                <w:rFonts w:ascii="宋体" w:hAnsi="宋体" w:cs="宋体" w:hint="eastAsia"/>
                <w:color w:val="000000"/>
                <w:kern w:val="0"/>
                <w:sz w:val="18"/>
                <w:szCs w:val="18"/>
              </w:rPr>
              <w:t>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2102311QGKCNJA000620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2102311QGT10J8000453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2021-11-22</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服务器 RH2288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2102311QGT10J8000524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2021-11-22</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NC01918812NC650929AM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06P3087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06P4748</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06L0257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06P3256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06K3354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06K3361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06P5194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06K3360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06K3357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服务器 X3850 X5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06K3363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P570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65CB54F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2021-6-30</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P595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83B1B90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102898R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1028A2R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066745T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06BD73T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06BE27T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846BA2W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2021-8-12</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846BA1W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2021-8-12</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846BA0W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2021-8-12</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DS8800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75AYX10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IBM SVC</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75RVFPA</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华为S5600-CGS</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Z0B6000003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华为S5600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Z0C3000001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浪潮 存储 浪潮AS1000G2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210787467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华为 存储 华为S5600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Z0C3000001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存储 EMC VPLEX</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CKM00161701403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存储 EMC VPLEX</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CKM00161701391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存储 DCNNCS6600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000496800482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飞康 存储 飞康NSS</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BM2CYM2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飞康 存储 飞康NSS</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BM47YM2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飞康 存储 飞康CDP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CDP-SH</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飞康 存储 飞康CDP</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CDP-GS2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DELL 存储 DELL SC7020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7JQBZQ2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2022-2-26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DELL 存储 DELL SC7020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BRQ7ZQ2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2022-2-26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华为18500V5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2103051QDSU10J6000001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2022-3-18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华为18500V5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2103051QDSU10J6000002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2022-3-18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存储 DCNNCS6650F</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000297802109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2022-9-20</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宏衫 存储 宏衫存储MS3000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1001020012314A000007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存储 EMC DataDomain6800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CKM00182801042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昆腾 存储 昆腾DXi6900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AV1435BVVV00069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博科 光纤交换机 Brocade DCX8510-8</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AFX2546K009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博科 光纤交换机 Brocade  DCX8510-8</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AFX2543K005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光纤交换机 华为OceanStor SNS3096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CHQ4010P01L</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2022-3-18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光纤交换机 华为OceanStor SNS3096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CHQ4010P01K</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2022-3-18</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EMC DS_6520B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BRCCHQ2540K01B</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EMC DS_6520B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BRCCHQ2540K00N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EMC ED-24000B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KQ02XE21E6A</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EMC ED-24000B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KQ02XE21DD6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博科 光纤交换机 Brocade DS-6510B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BRW4025P047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2022-2-26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博科 光纤交换机 Brocade DS-6510B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BRW4025P043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2022-2-26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博科 光纤交换机 Brocade DS-6510B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BRW4025P04E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2022-2-26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博科 光纤交换机 Brocade DS-6510B</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BRW4025P044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2022-2-26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DCX8510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BRCANN1928N00Y</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DCX8510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BRCANN1928N012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ED-48000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BRCQV060011112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ED-48000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BRCQV060011111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EMC DS_5100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0916ALM1R6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EMC 光纤交换机 EMC DS_5100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ALM2538F009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2022-4-23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845016W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2021-6-13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845012W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2021-6-3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645013W</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2021-6-3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06C6CFR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P780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06C6D0R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P570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65-0971F</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06-05DF6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06-05DE6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06-07346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P550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06-07396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S822</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681B11X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P615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65-D3D9D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P615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65-D3CDD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P615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65-D3C0D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P615</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65-D3C7D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P740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068DE5R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小型机 P560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066E905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DS 8870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75FFY50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DS 8870（扩展柜）</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75FTN80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2021-6-3</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DS 8870（扩展柜）</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75GBK50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2022-12-21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78215XB</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78215PG</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78215NN</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78218HD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78215WM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78215WZ</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V7000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78215PY</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存储 DS 8800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75AKB40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OceanStor VTL6900-I</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210235G77510EB000006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OceanStor S2600T（控制框）</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Z0D4000004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存储 OceanStor S2600T（硬盘框）</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Z0D4000001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OceanStor 5600 V3</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2102350BSB10GB000001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OceanStor SNS3096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xml:space="preserve"> 2102350AHN10GB000004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 OceanStor SNS3096  </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2102350AHN10GB000005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3584-L53 物理带库</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7827879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3582 物理带库</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7821226</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DELL带库</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TL4000</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2005-B64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104610T</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2005-B64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104610P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2005-B16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101041D</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2005-B16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101042E</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2498-B24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108676P</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2498-B24</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108670R</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lastRenderedPageBreak/>
              <w:t>IBM 交换机 2498-B40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10203ZV</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2498-B40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10203ZM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2498-B40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107280C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2498-B40</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107272C</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2498-F96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10371HX</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IBM 交换机 2498-F96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10371HM</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交换机 SNS3096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2102350AHN10GB000005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华为 交换机 SNS3096</w:t>
            </w:r>
          </w:p>
        </w:tc>
        <w:tc>
          <w:tcPr>
            <w:tcW w:w="2977" w:type="dxa"/>
            <w:tcBorders>
              <w:top w:val="nil"/>
              <w:left w:val="nil"/>
              <w:bottom w:val="single" w:sz="4" w:space="0" w:color="auto"/>
              <w:right w:val="single" w:sz="4" w:space="0" w:color="auto"/>
            </w:tcBorders>
            <w:shd w:val="clear" w:color="000000" w:fill="FFFFFF"/>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2102350AHN10GB000004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2021-2-1</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9800054600507094</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9800054600506023</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9800054600507241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9800054600506027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9800054600506032</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曙光 服务器 A840-G10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9800054600507095</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NC01918897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NC01918811</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NC01918809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NC01918907</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r w:rsidR="006979F6" w:rsidRPr="008B7EA6" w:rsidTr="00B30517">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联想 服务器 RQ940</w:t>
            </w:r>
          </w:p>
        </w:tc>
        <w:tc>
          <w:tcPr>
            <w:tcW w:w="2977"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color w:val="000000"/>
                <w:kern w:val="0"/>
                <w:sz w:val="18"/>
                <w:szCs w:val="18"/>
              </w:rPr>
            </w:pPr>
            <w:r w:rsidRPr="008B7EA6">
              <w:rPr>
                <w:rFonts w:ascii="宋体" w:hAnsi="宋体" w:cs="宋体" w:hint="eastAsia"/>
                <w:color w:val="000000"/>
                <w:kern w:val="0"/>
                <w:sz w:val="18"/>
                <w:szCs w:val="18"/>
              </w:rPr>
              <w:t>NC01918999</w:t>
            </w:r>
          </w:p>
        </w:tc>
        <w:tc>
          <w:tcPr>
            <w:tcW w:w="2551" w:type="dxa"/>
            <w:tcBorders>
              <w:top w:val="nil"/>
              <w:left w:val="nil"/>
              <w:bottom w:val="single" w:sz="4" w:space="0" w:color="auto"/>
              <w:right w:val="single" w:sz="4" w:space="0" w:color="auto"/>
            </w:tcBorders>
            <w:shd w:val="clear" w:color="auto" w:fill="auto"/>
            <w:noWrap/>
            <w:vAlign w:val="center"/>
            <w:hideMark/>
          </w:tcPr>
          <w:p w:rsidR="006979F6" w:rsidRPr="008B7EA6" w:rsidRDefault="006979F6" w:rsidP="00B30517">
            <w:pPr>
              <w:widowControl/>
              <w:jc w:val="center"/>
              <w:rPr>
                <w:rFonts w:ascii="宋体" w:hAnsi="宋体" w:cs="宋体"/>
                <w:kern w:val="0"/>
                <w:sz w:val="18"/>
                <w:szCs w:val="18"/>
              </w:rPr>
            </w:pPr>
            <w:r w:rsidRPr="008B7EA6">
              <w:rPr>
                <w:rFonts w:ascii="宋体" w:hAnsi="宋体" w:cs="宋体" w:hint="eastAsia"/>
                <w:kern w:val="0"/>
                <w:sz w:val="18"/>
                <w:szCs w:val="18"/>
              </w:rPr>
              <w:t>2021-10-16</w:t>
            </w:r>
          </w:p>
        </w:tc>
      </w:tr>
    </w:tbl>
    <w:p w:rsidR="006979F6" w:rsidRPr="00351565" w:rsidRDefault="006979F6" w:rsidP="006979F6">
      <w:pPr>
        <w:spacing w:line="360" w:lineRule="auto"/>
        <w:ind w:firstLineChars="200" w:firstLine="480"/>
        <w:rPr>
          <w:rFonts w:ascii="宋体" w:hAnsi="宋体"/>
          <w:kern w:val="0"/>
          <w:sz w:val="24"/>
          <w:lang w:eastAsia="x-none"/>
        </w:rPr>
      </w:pPr>
    </w:p>
    <w:p w:rsidR="00FA2B07" w:rsidRDefault="00FA2B07" w:rsidP="006979F6">
      <w:pPr>
        <w:spacing w:line="360" w:lineRule="auto"/>
      </w:pPr>
      <w:bookmarkStart w:id="13" w:name="_GoBack"/>
      <w:bookmarkEnd w:id="13"/>
    </w:p>
    <w:sectPr w:rsidR="00FA2B07">
      <w:headerReference w:type="default" r:id="rId8"/>
      <w:footerReference w:type="default" r:id="rId9"/>
      <w:pgSz w:w="11906" w:h="16838"/>
      <w:pgMar w:top="1304" w:right="1304" w:bottom="1304" w:left="1304" w:header="851" w:footer="992" w:gutter="17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79F6">
      <w:r>
        <w:separator/>
      </w:r>
    </w:p>
  </w:endnote>
  <w:endnote w:type="continuationSeparator" w:id="0">
    <w:p w:rsidR="00000000" w:rsidRDefault="0069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07" w:rsidRDefault="006979F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p w:rsidR="00FA2B07" w:rsidRDefault="00FA2B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79F6">
      <w:r>
        <w:separator/>
      </w:r>
    </w:p>
  </w:footnote>
  <w:footnote w:type="continuationSeparator" w:id="0">
    <w:p w:rsidR="00000000" w:rsidRDefault="00697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07" w:rsidRDefault="00FA2B07">
    <w:pPr>
      <w:pStyle w:val="a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985912"/>
    <w:multiLevelType w:val="singleLevel"/>
    <w:tmpl w:val="A9985912"/>
    <w:lvl w:ilvl="0">
      <w:start w:val="4"/>
      <w:numFmt w:val="decimal"/>
      <w:suff w:val="nothing"/>
      <w:lvlText w:val="%1、"/>
      <w:lvlJc w:val="left"/>
    </w:lvl>
  </w:abstractNum>
  <w:abstractNum w:abstractNumId="1">
    <w:nsid w:val="00000007"/>
    <w:multiLevelType w:val="singleLevel"/>
    <w:tmpl w:val="00000007"/>
    <w:lvl w:ilvl="0">
      <w:start w:val="1"/>
      <w:numFmt w:val="japaneseCounting"/>
      <w:lvlText w:val="%1、"/>
      <w:lvlJc w:val="left"/>
      <w:pPr>
        <w:tabs>
          <w:tab w:val="num" w:pos="480"/>
        </w:tabs>
        <w:ind w:left="480" w:hanging="480"/>
      </w:pPr>
      <w:rPr>
        <w:rFonts w:hint="eastAsia"/>
      </w:rPr>
    </w:lvl>
  </w:abstractNum>
  <w:abstractNum w:abstractNumId="2">
    <w:nsid w:val="00000008"/>
    <w:multiLevelType w:val="singleLevel"/>
    <w:tmpl w:val="FFAC0A18"/>
    <w:lvl w:ilvl="0">
      <w:start w:val="1"/>
      <w:numFmt w:val="decimal"/>
      <w:lvlText w:val="%1、"/>
      <w:lvlJc w:val="left"/>
      <w:pPr>
        <w:tabs>
          <w:tab w:val="num" w:pos="1200"/>
        </w:tabs>
        <w:ind w:left="1200" w:hanging="360"/>
      </w:pPr>
      <w:rPr>
        <w:rFonts w:ascii="宋体" w:eastAsia="宋体" w:hAnsi="宋体" w:cs="Times New Roman"/>
      </w:rPr>
    </w:lvl>
  </w:abstractNum>
  <w:abstractNum w:abstractNumId="3">
    <w:nsid w:val="00000009"/>
    <w:multiLevelType w:val="multilevel"/>
    <w:tmpl w:val="00000009"/>
    <w:lvl w:ilvl="0">
      <w:start w:val="1"/>
      <w:numFmt w:val="decimal"/>
      <w:lvlText w:val="（%1）"/>
      <w:lvlJc w:val="left"/>
      <w:pPr>
        <w:tabs>
          <w:tab w:val="num" w:pos="1004"/>
        </w:tabs>
        <w:ind w:left="1004"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4">
    <w:nsid w:val="0000000F"/>
    <w:multiLevelType w:val="multilevel"/>
    <w:tmpl w:val="0000000F"/>
    <w:lvl w:ilvl="0">
      <w:start w:val="1"/>
      <w:numFmt w:val="chineseCountingThousand"/>
      <w:lvlText w:val="%1、"/>
      <w:lvlJc w:val="left"/>
      <w:pPr>
        <w:tabs>
          <w:tab w:val="num" w:pos="984"/>
        </w:tabs>
        <w:ind w:left="984" w:hanging="564"/>
      </w:pPr>
      <w:rPr>
        <w:rFonts w:hint="eastAsia"/>
      </w:rPr>
    </w:lvl>
    <w:lvl w:ilvl="1">
      <w:start w:val="1"/>
      <w:numFmt w:val="chineseCountingThousand"/>
      <w:lvlText w:val="%2、"/>
      <w:lvlJc w:val="left"/>
      <w:pPr>
        <w:tabs>
          <w:tab w:val="num" w:pos="984"/>
        </w:tabs>
        <w:ind w:left="984" w:hanging="564"/>
      </w:pPr>
      <w:rPr>
        <w:rFonts w:hint="eastAsia"/>
      </w:rPr>
    </w:lvl>
    <w:lvl w:ilvl="2">
      <w:start w:val="1"/>
      <w:numFmt w:val="chineseCountingThousand"/>
      <w:lvlText w:val="（%3）"/>
      <w:lvlJc w:val="left"/>
      <w:pPr>
        <w:tabs>
          <w:tab w:val="num" w:pos="15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5"/>
    <w:multiLevelType w:val="multilevel"/>
    <w:tmpl w:val="00000015"/>
    <w:lvl w:ilvl="0">
      <w:start w:val="1"/>
      <w:numFmt w:val="decimal"/>
      <w:lvlText w:val="%1、"/>
      <w:lvlJc w:val="left"/>
      <w:pPr>
        <w:tabs>
          <w:tab w:val="num" w:pos="720"/>
        </w:tabs>
        <w:ind w:left="720" w:hanging="720"/>
      </w:pPr>
      <w:rPr>
        <w:rFonts w:hint="eastAsia"/>
      </w:rPr>
    </w:lvl>
    <w:lvl w:ilvl="1">
      <w:start w:val="1"/>
      <w:numFmt w:val="upperLetter"/>
      <w:lvlText w:val="%2、"/>
      <w:lvlJc w:val="left"/>
      <w:pPr>
        <w:tabs>
          <w:tab w:val="num" w:pos="1140"/>
        </w:tabs>
        <w:ind w:left="1140" w:hanging="72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8"/>
    <w:multiLevelType w:val="multilevel"/>
    <w:tmpl w:val="00000018"/>
    <w:lvl w:ilvl="0">
      <w:start w:val="1"/>
      <w:numFmt w:val="decimal"/>
      <w:lvlText w:val="（%1）"/>
      <w:lvlJc w:val="left"/>
      <w:pPr>
        <w:tabs>
          <w:tab w:val="num" w:pos="1146"/>
        </w:tabs>
        <w:ind w:left="1146" w:hanging="720"/>
      </w:pPr>
      <w:rPr>
        <w:rFonts w:hint="eastAsia"/>
      </w:rPr>
    </w:lvl>
    <w:lvl w:ilvl="1">
      <w:start w:val="1"/>
      <w:numFmt w:val="lowerLetter"/>
      <w:lvlText w:val="%2)"/>
      <w:lvlJc w:val="left"/>
      <w:pPr>
        <w:tabs>
          <w:tab w:val="num" w:pos="414"/>
        </w:tabs>
        <w:ind w:left="414" w:hanging="420"/>
      </w:pPr>
    </w:lvl>
    <w:lvl w:ilvl="2">
      <w:start w:val="1"/>
      <w:numFmt w:val="lowerRoman"/>
      <w:lvlText w:val="%3."/>
      <w:lvlJc w:val="right"/>
      <w:pPr>
        <w:tabs>
          <w:tab w:val="num" w:pos="834"/>
        </w:tabs>
        <w:ind w:left="834" w:hanging="420"/>
      </w:pPr>
    </w:lvl>
    <w:lvl w:ilvl="3">
      <w:start w:val="1"/>
      <w:numFmt w:val="decimal"/>
      <w:lvlText w:val="%4."/>
      <w:lvlJc w:val="left"/>
      <w:pPr>
        <w:tabs>
          <w:tab w:val="num" w:pos="1254"/>
        </w:tabs>
        <w:ind w:left="1254" w:hanging="420"/>
      </w:pPr>
    </w:lvl>
    <w:lvl w:ilvl="4">
      <w:start w:val="1"/>
      <w:numFmt w:val="lowerLetter"/>
      <w:lvlText w:val="%5)"/>
      <w:lvlJc w:val="left"/>
      <w:pPr>
        <w:tabs>
          <w:tab w:val="num" w:pos="1674"/>
        </w:tabs>
        <w:ind w:left="1674" w:hanging="420"/>
      </w:pPr>
    </w:lvl>
    <w:lvl w:ilvl="5">
      <w:start w:val="1"/>
      <w:numFmt w:val="lowerRoman"/>
      <w:lvlText w:val="%6."/>
      <w:lvlJc w:val="right"/>
      <w:pPr>
        <w:tabs>
          <w:tab w:val="num" w:pos="2094"/>
        </w:tabs>
        <w:ind w:left="2094" w:hanging="420"/>
      </w:pPr>
    </w:lvl>
    <w:lvl w:ilvl="6">
      <w:start w:val="1"/>
      <w:numFmt w:val="decimal"/>
      <w:lvlText w:val="%7."/>
      <w:lvlJc w:val="left"/>
      <w:pPr>
        <w:tabs>
          <w:tab w:val="num" w:pos="2514"/>
        </w:tabs>
        <w:ind w:left="2514" w:hanging="420"/>
      </w:pPr>
    </w:lvl>
    <w:lvl w:ilvl="7">
      <w:start w:val="1"/>
      <w:numFmt w:val="lowerLetter"/>
      <w:lvlText w:val="%8)"/>
      <w:lvlJc w:val="left"/>
      <w:pPr>
        <w:tabs>
          <w:tab w:val="num" w:pos="2934"/>
        </w:tabs>
        <w:ind w:left="2934" w:hanging="420"/>
      </w:pPr>
    </w:lvl>
    <w:lvl w:ilvl="8">
      <w:start w:val="1"/>
      <w:numFmt w:val="lowerRoman"/>
      <w:lvlText w:val="%9."/>
      <w:lvlJc w:val="right"/>
      <w:pPr>
        <w:tabs>
          <w:tab w:val="num" w:pos="3354"/>
        </w:tabs>
        <w:ind w:left="3354" w:hanging="420"/>
      </w:pPr>
    </w:lvl>
  </w:abstractNum>
  <w:abstractNum w:abstractNumId="7">
    <w:nsid w:val="0000001E"/>
    <w:multiLevelType w:val="multilevel"/>
    <w:tmpl w:val="0F36E5E2"/>
    <w:lvl w:ilvl="0">
      <w:start w:val="1"/>
      <w:numFmt w:val="decimal"/>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F"/>
    <w:multiLevelType w:val="multilevel"/>
    <w:tmpl w:val="0000001F"/>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720"/>
        </w:tabs>
        <w:ind w:left="72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27"/>
    <w:multiLevelType w:val="multilevel"/>
    <w:tmpl w:val="00000027"/>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1288"/>
        </w:tabs>
        <w:ind w:left="1288" w:hanging="720"/>
      </w:pPr>
      <w:rPr>
        <w:rFonts w:hint="eastAsia"/>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30B672C"/>
    <w:multiLevelType w:val="hybridMultilevel"/>
    <w:tmpl w:val="D9704E34"/>
    <w:lvl w:ilvl="0" w:tplc="1E2009C2">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7E3301A"/>
    <w:multiLevelType w:val="hybridMultilevel"/>
    <w:tmpl w:val="1BA614F8"/>
    <w:lvl w:ilvl="0" w:tplc="04090011">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8B23A04"/>
    <w:multiLevelType w:val="hybridMultilevel"/>
    <w:tmpl w:val="6B7C0FC0"/>
    <w:lvl w:ilvl="0" w:tplc="EC921C3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DE547A5"/>
    <w:multiLevelType w:val="hybridMultilevel"/>
    <w:tmpl w:val="0A0826DC"/>
    <w:lvl w:ilvl="0" w:tplc="17C8B8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B1B19C3"/>
    <w:multiLevelType w:val="hybridMultilevel"/>
    <w:tmpl w:val="2AE02048"/>
    <w:lvl w:ilvl="0" w:tplc="F64EBD90">
      <w:start w:val="1"/>
      <w:numFmt w:val="decimal"/>
      <w:lvlText w:val="（%1）"/>
      <w:lvlJc w:val="left"/>
      <w:pPr>
        <w:ind w:left="900" w:hanging="420"/>
      </w:pPr>
      <w:rPr>
        <w:rFonts w:hint="default"/>
        <w:color w:val="auto"/>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1B7F0594"/>
    <w:multiLevelType w:val="hybridMultilevel"/>
    <w:tmpl w:val="780606B2"/>
    <w:lvl w:ilvl="0" w:tplc="24880314">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24161405"/>
    <w:multiLevelType w:val="hybridMultilevel"/>
    <w:tmpl w:val="249E4E8A"/>
    <w:lvl w:ilvl="0" w:tplc="F0300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4422E45"/>
    <w:multiLevelType w:val="hybridMultilevel"/>
    <w:tmpl w:val="22C8C2A6"/>
    <w:lvl w:ilvl="0" w:tplc="8EFA9E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4A3085"/>
    <w:multiLevelType w:val="hybridMultilevel"/>
    <w:tmpl w:val="11DA184C"/>
    <w:lvl w:ilvl="0" w:tplc="69E0164E">
      <w:start w:val="1"/>
      <w:numFmt w:val="decimal"/>
      <w:lvlText w:val="（%1）"/>
      <w:lvlJc w:val="left"/>
      <w:pPr>
        <w:ind w:left="900" w:hanging="420"/>
      </w:pPr>
      <w:rPr>
        <w:rFonts w:hint="default"/>
        <w:color w:val="FF000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2E8608A6"/>
    <w:multiLevelType w:val="hybridMultilevel"/>
    <w:tmpl w:val="C0CAB4E0"/>
    <w:lvl w:ilvl="0" w:tplc="84AEA69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3BA18C5"/>
    <w:multiLevelType w:val="hybridMultilevel"/>
    <w:tmpl w:val="085C36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0A1553"/>
    <w:multiLevelType w:val="hybridMultilevel"/>
    <w:tmpl w:val="ECAC17F2"/>
    <w:lvl w:ilvl="0" w:tplc="BEAC7542">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65B752E"/>
    <w:multiLevelType w:val="hybridMultilevel"/>
    <w:tmpl w:val="6CF6973C"/>
    <w:lvl w:ilvl="0" w:tplc="CCBCC6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C4445E5"/>
    <w:multiLevelType w:val="hybridMultilevel"/>
    <w:tmpl w:val="CBF4CFDC"/>
    <w:lvl w:ilvl="0" w:tplc="7F38EF7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3DBB7872"/>
    <w:multiLevelType w:val="hybridMultilevel"/>
    <w:tmpl w:val="D5D4E36A"/>
    <w:lvl w:ilvl="0" w:tplc="E484286A">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3DDE36F9"/>
    <w:multiLevelType w:val="hybridMultilevel"/>
    <w:tmpl w:val="C534EAF6"/>
    <w:lvl w:ilvl="0" w:tplc="EDA80B8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C35DAE"/>
    <w:multiLevelType w:val="hybridMultilevel"/>
    <w:tmpl w:val="0750E846"/>
    <w:lvl w:ilvl="0" w:tplc="74A6A5B0">
      <w:start w:val="1"/>
      <w:numFmt w:val="decimal"/>
      <w:lvlText w:val="（%1）"/>
      <w:lvlJc w:val="left"/>
      <w:pPr>
        <w:ind w:left="900" w:hanging="420"/>
      </w:pPr>
      <w:rPr>
        <w:rFonts w:hint="default"/>
        <w:color w:val="FF0000"/>
        <w:sz w:val="24"/>
        <w:szCs w:val="24"/>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452C73D9"/>
    <w:multiLevelType w:val="hybridMultilevel"/>
    <w:tmpl w:val="BD5CEC30"/>
    <w:lvl w:ilvl="0" w:tplc="112E87F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4229B9"/>
    <w:multiLevelType w:val="hybridMultilevel"/>
    <w:tmpl w:val="16ECAB94"/>
    <w:lvl w:ilvl="0" w:tplc="AF9EBFF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52055C4F"/>
    <w:multiLevelType w:val="hybridMultilevel"/>
    <w:tmpl w:val="CE08C5E4"/>
    <w:lvl w:ilvl="0" w:tplc="6E261828">
      <w:start w:val="1"/>
      <w:numFmt w:val="decimal"/>
      <w:lvlText w:val="（%1）"/>
      <w:lvlJc w:val="left"/>
      <w:pPr>
        <w:ind w:left="1140" w:hanging="720"/>
      </w:pPr>
      <w:rPr>
        <w:rFonts w:hint="default"/>
        <w:lang w:val="x-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5CEF8118"/>
    <w:multiLevelType w:val="singleLevel"/>
    <w:tmpl w:val="5CEF8118"/>
    <w:lvl w:ilvl="0">
      <w:start w:val="1"/>
      <w:numFmt w:val="decimal"/>
      <w:suff w:val="nothing"/>
      <w:lvlText w:val="%1、"/>
      <w:lvlJc w:val="left"/>
    </w:lvl>
  </w:abstractNum>
  <w:abstractNum w:abstractNumId="31">
    <w:nsid w:val="684601DC"/>
    <w:multiLevelType w:val="hybridMultilevel"/>
    <w:tmpl w:val="2AE02048"/>
    <w:lvl w:ilvl="0" w:tplc="F64EBD90">
      <w:start w:val="1"/>
      <w:numFmt w:val="decimal"/>
      <w:lvlText w:val="（%1）"/>
      <w:lvlJc w:val="left"/>
      <w:pPr>
        <w:ind w:left="900" w:hanging="420"/>
      </w:pPr>
      <w:rPr>
        <w:rFonts w:hint="default"/>
        <w:color w:val="auto"/>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3B35A48"/>
    <w:multiLevelType w:val="hybridMultilevel"/>
    <w:tmpl w:val="11DA184C"/>
    <w:lvl w:ilvl="0" w:tplc="69E0164E">
      <w:start w:val="1"/>
      <w:numFmt w:val="decimal"/>
      <w:lvlText w:val="（%1）"/>
      <w:lvlJc w:val="left"/>
      <w:pPr>
        <w:ind w:left="900" w:hanging="420"/>
      </w:pPr>
      <w:rPr>
        <w:rFonts w:hint="default"/>
        <w:color w:val="FF000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BB7C3F"/>
    <w:multiLevelType w:val="hybridMultilevel"/>
    <w:tmpl w:val="783270F6"/>
    <w:lvl w:ilvl="0" w:tplc="F64EBD90">
      <w:start w:val="1"/>
      <w:numFmt w:val="decimal"/>
      <w:lvlText w:val="（%1）"/>
      <w:lvlJc w:val="left"/>
      <w:pPr>
        <w:ind w:left="840" w:hanging="420"/>
      </w:pPr>
      <w:rPr>
        <w:rFonts w:hint="default"/>
        <w:color w:val="auto"/>
        <w:sz w:val="24"/>
        <w:szCs w:val="24"/>
      </w:rPr>
    </w:lvl>
    <w:lvl w:ilvl="1" w:tplc="F69691FE">
      <w:start w:val="1"/>
      <w:numFmt w:val="decimal"/>
      <w:lvlText w:val="（%2）"/>
      <w:lvlJc w:val="left"/>
      <w:pPr>
        <w:ind w:left="1521" w:hanging="1095"/>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F2A4712"/>
    <w:multiLevelType w:val="hybridMultilevel"/>
    <w:tmpl w:val="892020B2"/>
    <w:lvl w:ilvl="0" w:tplc="69E0164E">
      <w:start w:val="1"/>
      <w:numFmt w:val="decimal"/>
      <w:lvlText w:val="（%1）"/>
      <w:lvlJc w:val="left"/>
      <w:pPr>
        <w:ind w:left="900" w:hanging="420"/>
      </w:pPr>
      <w:rPr>
        <w:rFonts w:hint="default"/>
        <w:color w:val="FF0000"/>
        <w:sz w:val="24"/>
        <w:szCs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8"/>
  </w:num>
  <w:num w:numId="3">
    <w:abstractNumId w:val="24"/>
  </w:num>
  <w:num w:numId="4">
    <w:abstractNumId w:val="10"/>
  </w:num>
  <w:num w:numId="5">
    <w:abstractNumId w:val="15"/>
  </w:num>
  <w:num w:numId="6">
    <w:abstractNumId w:val="31"/>
  </w:num>
  <w:num w:numId="7">
    <w:abstractNumId w:val="14"/>
  </w:num>
  <w:num w:numId="8">
    <w:abstractNumId w:val="34"/>
  </w:num>
  <w:num w:numId="9">
    <w:abstractNumId w:val="32"/>
  </w:num>
  <w:num w:numId="10">
    <w:abstractNumId w:val="26"/>
  </w:num>
  <w:num w:numId="11">
    <w:abstractNumId w:val="18"/>
  </w:num>
  <w:num w:numId="12">
    <w:abstractNumId w:val="35"/>
  </w:num>
  <w:num w:numId="13">
    <w:abstractNumId w:val="22"/>
  </w:num>
  <w:num w:numId="14">
    <w:abstractNumId w:val="23"/>
  </w:num>
  <w:num w:numId="15">
    <w:abstractNumId w:val="33"/>
  </w:num>
  <w:num w:numId="16">
    <w:abstractNumId w:val="4"/>
  </w:num>
  <w:num w:numId="17">
    <w:abstractNumId w:val="7"/>
  </w:num>
  <w:num w:numId="18">
    <w:abstractNumId w:val="25"/>
  </w:num>
  <w:num w:numId="19">
    <w:abstractNumId w:val="19"/>
  </w:num>
  <w:num w:numId="20">
    <w:abstractNumId w:val="1"/>
  </w:num>
  <w:num w:numId="21">
    <w:abstractNumId w:val="21"/>
  </w:num>
  <w:num w:numId="22">
    <w:abstractNumId w:val="13"/>
  </w:num>
  <w:num w:numId="23">
    <w:abstractNumId w:val="2"/>
  </w:num>
  <w:num w:numId="24">
    <w:abstractNumId w:val="3"/>
  </w:num>
  <w:num w:numId="25">
    <w:abstractNumId w:val="6"/>
  </w:num>
  <w:num w:numId="26">
    <w:abstractNumId w:val="12"/>
  </w:num>
  <w:num w:numId="27">
    <w:abstractNumId w:val="8"/>
  </w:num>
  <w:num w:numId="28">
    <w:abstractNumId w:val="5"/>
  </w:num>
  <w:num w:numId="29">
    <w:abstractNumId w:val="9"/>
  </w:num>
  <w:num w:numId="30">
    <w:abstractNumId w:val="27"/>
  </w:num>
  <w:num w:numId="31">
    <w:abstractNumId w:val="20"/>
  </w:num>
  <w:num w:numId="32">
    <w:abstractNumId w:val="29"/>
  </w:num>
  <w:num w:numId="33">
    <w:abstractNumId w:val="30"/>
  </w:num>
  <w:num w:numId="34">
    <w:abstractNumId w:val="16"/>
  </w:num>
  <w:num w:numId="35">
    <w:abstractNumId w:val="1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49"/>
    <w:rsid w:val="00016483"/>
    <w:rsid w:val="000C1D49"/>
    <w:rsid w:val="00191962"/>
    <w:rsid w:val="002E0F09"/>
    <w:rsid w:val="006949CB"/>
    <w:rsid w:val="006979F6"/>
    <w:rsid w:val="008E6651"/>
    <w:rsid w:val="00AF396F"/>
    <w:rsid w:val="00C63654"/>
    <w:rsid w:val="00DA4612"/>
    <w:rsid w:val="00EB5579"/>
    <w:rsid w:val="00FA2B07"/>
    <w:rsid w:val="09DE5650"/>
    <w:rsid w:val="13B63CEF"/>
    <w:rsid w:val="58F9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297DD9-D573-495F-AC18-2E1E624F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9"/>
    <w:qFormat/>
    <w:pPr>
      <w:keepNext/>
      <w:keepLines/>
      <w:spacing w:before="260" w:after="260" w:line="413" w:lineRule="auto"/>
      <w:outlineLvl w:val="2"/>
    </w:pPr>
    <w:rPr>
      <w:b/>
      <w:sz w:val="32"/>
    </w:rPr>
  </w:style>
  <w:style w:type="paragraph" w:styleId="4">
    <w:name w:val="heading 4"/>
    <w:basedOn w:val="a"/>
    <w:next w:val="a"/>
    <w:link w:val="4Char"/>
    <w:uiPriority w:val="99"/>
    <w:qFormat/>
    <w:rsid w:val="006979F6"/>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9"/>
    <w:qFormat/>
    <w:rsid w:val="006979F6"/>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6979F6"/>
    <w:pPr>
      <w:keepNext/>
      <w:keepLines/>
      <w:spacing w:before="240" w:after="64" w:line="320" w:lineRule="auto"/>
      <w:outlineLvl w:val="5"/>
    </w:pPr>
    <w:rPr>
      <w:rFonts w:ascii="Calibri Light" w:hAnsi="Calibri Light"/>
      <w:b/>
      <w:bCs/>
      <w:sz w:val="24"/>
    </w:rPr>
  </w:style>
  <w:style w:type="paragraph" w:styleId="7">
    <w:name w:val="heading 7"/>
    <w:basedOn w:val="a"/>
    <w:next w:val="a"/>
    <w:link w:val="7Char"/>
    <w:uiPriority w:val="99"/>
    <w:qFormat/>
    <w:rsid w:val="006979F6"/>
    <w:pPr>
      <w:keepNext/>
      <w:keepLines/>
      <w:spacing w:before="240" w:after="64" w:line="320" w:lineRule="auto"/>
      <w:outlineLvl w:val="6"/>
    </w:pPr>
    <w:rPr>
      <w:b/>
      <w:bCs/>
      <w:sz w:val="24"/>
    </w:rPr>
  </w:style>
  <w:style w:type="paragraph" w:styleId="8">
    <w:name w:val="heading 8"/>
    <w:basedOn w:val="a"/>
    <w:next w:val="a"/>
    <w:link w:val="8Char"/>
    <w:uiPriority w:val="99"/>
    <w:qFormat/>
    <w:rsid w:val="006979F6"/>
    <w:pPr>
      <w:keepNext/>
      <w:keepLines/>
      <w:spacing w:before="240" w:after="64" w:line="320" w:lineRule="auto"/>
      <w:outlineLvl w:val="7"/>
    </w:pPr>
    <w:rPr>
      <w:rFonts w:ascii="Calibri Light" w:hAnsi="Calibri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nhideWhenUsed/>
    <w:qFormat/>
    <w:pPr>
      <w:jc w:val="left"/>
    </w:pPr>
  </w:style>
  <w:style w:type="paragraph" w:styleId="a4">
    <w:name w:val="Plain Text"/>
    <w:aliases w:val="普通文字1,普通文字,小,普通文字 Char,纯文本 Char Char,普通文字 Char Char"/>
    <w:basedOn w:val="a"/>
    <w:link w:val="Char4"/>
    <w:qFormat/>
    <w:rPr>
      <w:rFonts w:ascii="宋体" w:hAnsi="Courier New" w:cs="Courier New"/>
      <w:szCs w:val="21"/>
    </w:rPr>
  </w:style>
  <w:style w:type="paragraph" w:styleId="a5">
    <w:name w:val="footer"/>
    <w:basedOn w:val="a"/>
    <w:link w:val="Char"/>
    <w:uiPriority w:val="99"/>
    <w:unhideWhenUsed/>
    <w:pPr>
      <w:tabs>
        <w:tab w:val="center" w:pos="4153"/>
        <w:tab w:val="right" w:pos="8306"/>
      </w:tabs>
      <w:snapToGrid w:val="0"/>
      <w:jc w:val="left"/>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Emphasis"/>
    <w:basedOn w:val="a0"/>
    <w:qFormat/>
    <w:rPr>
      <w:i/>
    </w:rPr>
  </w:style>
  <w:style w:type="character" w:styleId="a9">
    <w:name w:val="annotation reference"/>
    <w:unhideWhenUsed/>
    <w:rPr>
      <w:sz w:val="21"/>
      <w:szCs w:val="21"/>
    </w:rPr>
  </w:style>
  <w:style w:type="paragraph" w:styleId="aa">
    <w:name w:val="List Paragraph"/>
    <w:basedOn w:val="a"/>
    <w:qFormat/>
    <w:pPr>
      <w:ind w:firstLineChars="200" w:firstLine="420"/>
    </w:pPr>
  </w:style>
  <w:style w:type="character" w:customStyle="1" w:styleId="Char0">
    <w:name w:val="页眉 Char"/>
    <w:basedOn w:val="a0"/>
    <w:link w:val="a6"/>
    <w:uiPriority w:val="99"/>
    <w:rPr>
      <w:kern w:val="2"/>
      <w:sz w:val="18"/>
      <w:szCs w:val="18"/>
    </w:rPr>
  </w:style>
  <w:style w:type="character" w:customStyle="1" w:styleId="Char">
    <w:name w:val="页脚 Char"/>
    <w:basedOn w:val="a0"/>
    <w:link w:val="a5"/>
    <w:uiPriority w:val="99"/>
    <w:rPr>
      <w:kern w:val="2"/>
      <w:sz w:val="18"/>
      <w:szCs w:val="18"/>
    </w:rPr>
  </w:style>
  <w:style w:type="paragraph" w:customStyle="1" w:styleId="ab">
    <w:name w:val="表格"/>
    <w:basedOn w:val="a"/>
    <w:link w:val="Char2"/>
    <w:qFormat/>
    <w:pPr>
      <w:adjustRightInd w:val="0"/>
      <w:snapToGrid w:val="0"/>
      <w:spacing w:line="360" w:lineRule="auto"/>
    </w:pPr>
    <w:rPr>
      <w:rFonts w:ascii="仿宋" w:eastAsia="仿宋" w:hAnsi="仿宋" w:cs="仿宋"/>
      <w:sz w:val="24"/>
    </w:rPr>
  </w:style>
  <w:style w:type="character" w:customStyle="1" w:styleId="4Char">
    <w:name w:val="标题 4 Char"/>
    <w:basedOn w:val="a0"/>
    <w:link w:val="4"/>
    <w:uiPriority w:val="99"/>
    <w:rsid w:val="006979F6"/>
    <w:rPr>
      <w:rFonts w:ascii="Calibri Light" w:eastAsia="宋体" w:hAnsi="Calibri Light"/>
      <w:b/>
      <w:bCs/>
      <w:kern w:val="2"/>
      <w:sz w:val="28"/>
      <w:szCs w:val="28"/>
    </w:rPr>
  </w:style>
  <w:style w:type="character" w:customStyle="1" w:styleId="5Char">
    <w:name w:val="标题 5 Char"/>
    <w:basedOn w:val="a0"/>
    <w:link w:val="5"/>
    <w:uiPriority w:val="99"/>
    <w:rsid w:val="006979F6"/>
    <w:rPr>
      <w:rFonts w:ascii="Calibri" w:eastAsia="宋体" w:hAnsi="Calibri"/>
      <w:b/>
      <w:bCs/>
      <w:kern w:val="2"/>
      <w:sz w:val="28"/>
      <w:szCs w:val="28"/>
    </w:rPr>
  </w:style>
  <w:style w:type="character" w:customStyle="1" w:styleId="6Char">
    <w:name w:val="标题 6 Char"/>
    <w:basedOn w:val="a0"/>
    <w:link w:val="6"/>
    <w:uiPriority w:val="99"/>
    <w:rsid w:val="006979F6"/>
    <w:rPr>
      <w:rFonts w:ascii="Calibri Light" w:eastAsia="宋体" w:hAnsi="Calibri Light"/>
      <w:b/>
      <w:bCs/>
      <w:kern w:val="2"/>
      <w:sz w:val="24"/>
      <w:szCs w:val="24"/>
    </w:rPr>
  </w:style>
  <w:style w:type="character" w:customStyle="1" w:styleId="7Char">
    <w:name w:val="标题 7 Char"/>
    <w:basedOn w:val="a0"/>
    <w:link w:val="7"/>
    <w:uiPriority w:val="99"/>
    <w:rsid w:val="006979F6"/>
    <w:rPr>
      <w:rFonts w:ascii="Calibri" w:eastAsia="宋体" w:hAnsi="Calibri"/>
      <w:b/>
      <w:bCs/>
      <w:kern w:val="2"/>
      <w:sz w:val="24"/>
      <w:szCs w:val="24"/>
    </w:rPr>
  </w:style>
  <w:style w:type="character" w:customStyle="1" w:styleId="8Char">
    <w:name w:val="标题 8 Char"/>
    <w:basedOn w:val="a0"/>
    <w:link w:val="8"/>
    <w:uiPriority w:val="99"/>
    <w:rsid w:val="006979F6"/>
    <w:rPr>
      <w:rFonts w:ascii="Calibri Light" w:eastAsia="宋体" w:hAnsi="Calibri Light"/>
      <w:kern w:val="2"/>
      <w:sz w:val="24"/>
      <w:szCs w:val="24"/>
    </w:rPr>
  </w:style>
  <w:style w:type="character" w:customStyle="1" w:styleId="Char3">
    <w:name w:val="纯文本 Char3"/>
    <w:aliases w:val="纯文本 Char Char Char"/>
    <w:rsid w:val="006979F6"/>
    <w:rPr>
      <w:rFonts w:ascii="宋体" w:eastAsia="宋体" w:hAnsi="Courier New" w:cs="Courier New"/>
      <w:szCs w:val="21"/>
    </w:rPr>
  </w:style>
  <w:style w:type="character" w:customStyle="1" w:styleId="Char5">
    <w:name w:val="正文缩进 Char"/>
    <w:link w:val="ac"/>
    <w:locked/>
    <w:rsid w:val="006979F6"/>
    <w:rPr>
      <w:rFonts w:ascii="Times New Roman" w:eastAsia="宋体" w:hAnsi="Times New Roman"/>
      <w:sz w:val="21"/>
    </w:rPr>
  </w:style>
  <w:style w:type="character" w:customStyle="1" w:styleId="Char4">
    <w:name w:val="纯文本 Char4"/>
    <w:link w:val="a4"/>
    <w:rsid w:val="006979F6"/>
    <w:rPr>
      <w:rFonts w:ascii="宋体" w:eastAsia="宋体" w:hAnsi="Courier New" w:cs="Courier New"/>
      <w:kern w:val="2"/>
      <w:sz w:val="21"/>
      <w:szCs w:val="21"/>
    </w:rPr>
  </w:style>
  <w:style w:type="character" w:customStyle="1" w:styleId="Char6">
    <w:name w:val="纯文本 Char"/>
    <w:locked/>
    <w:rsid w:val="006979F6"/>
    <w:rPr>
      <w:rFonts w:ascii="宋体" w:eastAsia="宋体" w:hAnsi="Courier New" w:cs="Courier New"/>
      <w:sz w:val="21"/>
      <w:szCs w:val="21"/>
    </w:rPr>
  </w:style>
  <w:style w:type="character" w:styleId="ad">
    <w:name w:val="Hyperlink"/>
    <w:uiPriority w:val="99"/>
    <w:unhideWhenUsed/>
    <w:rsid w:val="006979F6"/>
    <w:rPr>
      <w:color w:val="0563C1"/>
      <w:u w:val="single"/>
    </w:rPr>
  </w:style>
  <w:style w:type="character" w:customStyle="1" w:styleId="Char20">
    <w:name w:val="纯文本 Char2"/>
    <w:aliases w:val="普通文字1 Char,普通文字 Char1,小 Char,普通文字 Char Char1,纯文本 Char Char Char1,普通文字 Char Char Char,Texte Char,纯文本 Char1 Char Char Char,纯文本 Char1 Char Char1,0921 Char,普通文字2 Char,普通文字3 Char,普通文字4 Char,普通文字5 Char,普通文字6 Char,普通文字11 Char,普通文字21 Char,普通文字31 Char"/>
    <w:uiPriority w:val="99"/>
    <w:qFormat/>
    <w:rsid w:val="006979F6"/>
    <w:rPr>
      <w:rFonts w:ascii="宋体" w:eastAsia="宋体" w:hAnsi="Courier New" w:cs="Courier New"/>
      <w:szCs w:val="21"/>
    </w:rPr>
  </w:style>
  <w:style w:type="character" w:customStyle="1" w:styleId="Char7">
    <w:name w:val="批注主题 Char"/>
    <w:link w:val="ae"/>
    <w:uiPriority w:val="99"/>
    <w:rsid w:val="006979F6"/>
    <w:rPr>
      <w:rFonts w:ascii="Calibri" w:eastAsia="宋体" w:hAnsi="Calibri"/>
      <w:b/>
      <w:bCs/>
      <w:kern w:val="2"/>
      <w:sz w:val="21"/>
      <w:szCs w:val="22"/>
    </w:rPr>
  </w:style>
  <w:style w:type="character" w:customStyle="1" w:styleId="Char8">
    <w:name w:val="批注文字 Char"/>
    <w:rsid w:val="006979F6"/>
    <w:rPr>
      <w:rFonts w:ascii="Calibri" w:eastAsia="宋体" w:hAnsi="Calibri"/>
      <w:kern w:val="2"/>
      <w:sz w:val="21"/>
      <w:szCs w:val="22"/>
    </w:rPr>
  </w:style>
  <w:style w:type="character" w:customStyle="1" w:styleId="Char10">
    <w:name w:val="纯文本 Char1"/>
    <w:aliases w:val="普通文字1 Char1,普通文字 Char2,小 Char1,普通文字 Char Char2,纯文本 Char Char Char2,普通文字 Char Char Char1,Texte Char1,纯文本 Char1 Char Char Char1,纯文本 Char1 Char Char2,0921 Char1,普通文字2 Char1,普通文字3 Char1,普通文字4 Char1,普通文字5 Char1,普通文字6 Char1,普通文字11 Char1,普通文字21 Char1"/>
    <w:uiPriority w:val="99"/>
    <w:rsid w:val="006979F6"/>
    <w:rPr>
      <w:rFonts w:ascii="宋体" w:eastAsia="宋体" w:hAnsi="Courier New" w:cs="Courier New"/>
      <w:szCs w:val="21"/>
    </w:rPr>
  </w:style>
  <w:style w:type="character" w:customStyle="1" w:styleId="1Char">
    <w:name w:val="标题 1 Char"/>
    <w:link w:val="1"/>
    <w:uiPriority w:val="99"/>
    <w:rsid w:val="006979F6"/>
    <w:rPr>
      <w:rFonts w:ascii="Calibri" w:eastAsia="宋体" w:hAnsi="Calibri"/>
      <w:b/>
      <w:bCs/>
      <w:kern w:val="44"/>
      <w:sz w:val="44"/>
      <w:szCs w:val="44"/>
    </w:rPr>
  </w:style>
  <w:style w:type="character" w:customStyle="1" w:styleId="Char9">
    <w:name w:val="普通(网站) Char"/>
    <w:link w:val="af"/>
    <w:uiPriority w:val="99"/>
    <w:rsid w:val="006979F6"/>
    <w:rPr>
      <w:rFonts w:ascii="宋体" w:eastAsia="宋体" w:hAnsi="宋体" w:cs="宋体"/>
      <w:sz w:val="24"/>
      <w:szCs w:val="24"/>
    </w:rPr>
  </w:style>
  <w:style w:type="character" w:customStyle="1" w:styleId="Char2">
    <w:name w:val="表格 Char"/>
    <w:link w:val="ab"/>
    <w:rsid w:val="006979F6"/>
    <w:rPr>
      <w:rFonts w:ascii="仿宋" w:eastAsia="仿宋" w:hAnsi="仿宋" w:cs="仿宋"/>
      <w:kern w:val="2"/>
      <w:sz w:val="24"/>
      <w:szCs w:val="24"/>
    </w:rPr>
  </w:style>
  <w:style w:type="character" w:customStyle="1" w:styleId="Chara">
    <w:name w:val="批注框文本 Char"/>
    <w:link w:val="af0"/>
    <w:uiPriority w:val="99"/>
    <w:rsid w:val="006979F6"/>
    <w:rPr>
      <w:rFonts w:ascii="Calibri" w:eastAsia="宋体" w:hAnsi="Calibri"/>
      <w:sz w:val="18"/>
      <w:szCs w:val="18"/>
    </w:rPr>
  </w:style>
  <w:style w:type="character" w:customStyle="1" w:styleId="3Char0">
    <w:name w:val="正文文本 3 Char"/>
    <w:link w:val="30"/>
    <w:rsid w:val="006979F6"/>
    <w:rPr>
      <w:rFonts w:ascii="Times New Roman" w:eastAsia="宋体" w:hAnsi="Times New Roman"/>
      <w:kern w:val="2"/>
      <w:sz w:val="16"/>
      <w:szCs w:val="16"/>
    </w:rPr>
  </w:style>
  <w:style w:type="character" w:customStyle="1" w:styleId="3Char">
    <w:name w:val="标题 3 Char"/>
    <w:link w:val="3"/>
    <w:uiPriority w:val="99"/>
    <w:rsid w:val="006979F6"/>
    <w:rPr>
      <w:rFonts w:ascii="Calibri" w:eastAsia="宋体" w:hAnsi="Calibri"/>
      <w:b/>
      <w:kern w:val="2"/>
      <w:sz w:val="32"/>
      <w:szCs w:val="24"/>
    </w:rPr>
  </w:style>
  <w:style w:type="character" w:customStyle="1" w:styleId="2Char">
    <w:name w:val="标题 2 Char"/>
    <w:link w:val="2"/>
    <w:uiPriority w:val="99"/>
    <w:rsid w:val="006979F6"/>
    <w:rPr>
      <w:rFonts w:ascii="Arial" w:eastAsia="黑体" w:hAnsi="Arial"/>
      <w:b/>
      <w:kern w:val="2"/>
      <w:sz w:val="32"/>
      <w:szCs w:val="24"/>
    </w:rPr>
  </w:style>
  <w:style w:type="character" w:customStyle="1" w:styleId="af1">
    <w:name w:val="批注文字 字符"/>
    <w:uiPriority w:val="99"/>
    <w:semiHidden/>
    <w:rsid w:val="006979F6"/>
    <w:rPr>
      <w:rFonts w:ascii="Calibri" w:eastAsia="宋体" w:hAnsi="Calibri"/>
      <w:kern w:val="2"/>
      <w:sz w:val="21"/>
      <w:szCs w:val="22"/>
    </w:rPr>
  </w:style>
  <w:style w:type="paragraph" w:styleId="af2">
    <w:name w:val="Body Text"/>
    <w:basedOn w:val="a"/>
    <w:link w:val="af3"/>
    <w:qFormat/>
    <w:rsid w:val="006979F6"/>
    <w:rPr>
      <w:rFonts w:ascii="Arial" w:hAnsi="Arial"/>
      <w:color w:val="000000"/>
    </w:rPr>
  </w:style>
  <w:style w:type="character" w:customStyle="1" w:styleId="Charb">
    <w:name w:val="正文文本 Char"/>
    <w:basedOn w:val="a0"/>
    <w:uiPriority w:val="99"/>
    <w:semiHidden/>
    <w:rsid w:val="006979F6"/>
    <w:rPr>
      <w:rFonts w:ascii="Calibri" w:eastAsia="宋体" w:hAnsi="Calibri"/>
      <w:kern w:val="2"/>
      <w:sz w:val="21"/>
      <w:szCs w:val="24"/>
    </w:rPr>
  </w:style>
  <w:style w:type="paragraph" w:styleId="20">
    <w:name w:val="toc 2"/>
    <w:basedOn w:val="a"/>
    <w:next w:val="a"/>
    <w:uiPriority w:val="39"/>
    <w:unhideWhenUsed/>
    <w:rsid w:val="006979F6"/>
    <w:pPr>
      <w:ind w:leftChars="200" w:left="420"/>
    </w:pPr>
    <w:rPr>
      <w:szCs w:val="22"/>
    </w:rPr>
  </w:style>
  <w:style w:type="paragraph" w:styleId="af">
    <w:name w:val="Normal (Web)"/>
    <w:basedOn w:val="a"/>
    <w:link w:val="Char9"/>
    <w:uiPriority w:val="99"/>
    <w:unhideWhenUsed/>
    <w:qFormat/>
    <w:rsid w:val="006979F6"/>
    <w:pPr>
      <w:widowControl/>
      <w:spacing w:before="100" w:beforeAutospacing="1" w:after="100" w:afterAutospacing="1"/>
      <w:jc w:val="left"/>
    </w:pPr>
    <w:rPr>
      <w:rFonts w:ascii="宋体" w:hAnsi="宋体" w:cs="宋体"/>
      <w:kern w:val="0"/>
      <w:sz w:val="24"/>
    </w:rPr>
  </w:style>
  <w:style w:type="paragraph" w:styleId="30">
    <w:name w:val="Body Text 3"/>
    <w:basedOn w:val="a"/>
    <w:link w:val="3Char0"/>
    <w:unhideWhenUsed/>
    <w:rsid w:val="006979F6"/>
    <w:pPr>
      <w:spacing w:after="120"/>
    </w:pPr>
    <w:rPr>
      <w:rFonts w:ascii="Times New Roman" w:hAnsi="Times New Roman"/>
      <w:sz w:val="16"/>
      <w:szCs w:val="16"/>
    </w:rPr>
  </w:style>
  <w:style w:type="character" w:customStyle="1" w:styleId="3Char1">
    <w:name w:val="正文文本 3 Char1"/>
    <w:basedOn w:val="a0"/>
    <w:uiPriority w:val="99"/>
    <w:semiHidden/>
    <w:rsid w:val="006979F6"/>
    <w:rPr>
      <w:rFonts w:ascii="Calibri" w:eastAsia="宋体" w:hAnsi="Calibri"/>
      <w:kern w:val="2"/>
      <w:sz w:val="16"/>
      <w:szCs w:val="16"/>
    </w:rPr>
  </w:style>
  <w:style w:type="paragraph" w:styleId="af0">
    <w:name w:val="Balloon Text"/>
    <w:basedOn w:val="a"/>
    <w:link w:val="Chara"/>
    <w:uiPriority w:val="99"/>
    <w:unhideWhenUsed/>
    <w:rsid w:val="006979F6"/>
    <w:rPr>
      <w:kern w:val="0"/>
      <w:sz w:val="18"/>
      <w:szCs w:val="18"/>
    </w:rPr>
  </w:style>
  <w:style w:type="character" w:customStyle="1" w:styleId="Char11">
    <w:name w:val="批注框文本 Char1"/>
    <w:basedOn w:val="a0"/>
    <w:uiPriority w:val="99"/>
    <w:semiHidden/>
    <w:rsid w:val="006979F6"/>
    <w:rPr>
      <w:rFonts w:ascii="Calibri" w:eastAsia="宋体" w:hAnsi="Calibri"/>
      <w:kern w:val="2"/>
      <w:sz w:val="18"/>
      <w:szCs w:val="18"/>
    </w:rPr>
  </w:style>
  <w:style w:type="paragraph" w:styleId="ae">
    <w:name w:val="annotation subject"/>
    <w:basedOn w:val="a3"/>
    <w:next w:val="a3"/>
    <w:link w:val="Char7"/>
    <w:uiPriority w:val="99"/>
    <w:unhideWhenUsed/>
    <w:rsid w:val="006979F6"/>
    <w:rPr>
      <w:b/>
      <w:bCs/>
      <w:szCs w:val="22"/>
    </w:rPr>
  </w:style>
  <w:style w:type="character" w:customStyle="1" w:styleId="Char1">
    <w:name w:val="批注文字 Char1"/>
    <w:basedOn w:val="a0"/>
    <w:link w:val="a3"/>
    <w:rsid w:val="006979F6"/>
    <w:rPr>
      <w:rFonts w:ascii="Calibri" w:eastAsia="宋体" w:hAnsi="Calibri"/>
      <w:kern w:val="2"/>
      <w:sz w:val="21"/>
      <w:szCs w:val="24"/>
    </w:rPr>
  </w:style>
  <w:style w:type="character" w:customStyle="1" w:styleId="Char12">
    <w:name w:val="批注主题 Char1"/>
    <w:basedOn w:val="Char1"/>
    <w:uiPriority w:val="99"/>
    <w:semiHidden/>
    <w:rsid w:val="006979F6"/>
    <w:rPr>
      <w:rFonts w:ascii="Calibri" w:eastAsia="宋体" w:hAnsi="Calibri"/>
      <w:b/>
      <w:bCs/>
      <w:kern w:val="2"/>
      <w:sz w:val="21"/>
      <w:szCs w:val="24"/>
    </w:rPr>
  </w:style>
  <w:style w:type="paragraph" w:styleId="ac">
    <w:name w:val="Normal Indent"/>
    <w:basedOn w:val="a"/>
    <w:link w:val="Char5"/>
    <w:unhideWhenUsed/>
    <w:rsid w:val="006979F6"/>
    <w:pPr>
      <w:adjustRightInd w:val="0"/>
      <w:spacing w:line="312" w:lineRule="atLeast"/>
      <w:ind w:firstLine="420"/>
    </w:pPr>
    <w:rPr>
      <w:rFonts w:ascii="Times New Roman" w:hAnsi="Times New Roman"/>
      <w:kern w:val="0"/>
      <w:szCs w:val="20"/>
    </w:rPr>
  </w:style>
  <w:style w:type="paragraph" w:styleId="31">
    <w:name w:val="toc 3"/>
    <w:basedOn w:val="a"/>
    <w:next w:val="a"/>
    <w:uiPriority w:val="39"/>
    <w:unhideWhenUsed/>
    <w:rsid w:val="006979F6"/>
    <w:pPr>
      <w:ind w:leftChars="400" w:left="840"/>
    </w:pPr>
    <w:rPr>
      <w:szCs w:val="22"/>
    </w:rPr>
  </w:style>
  <w:style w:type="paragraph" w:styleId="10">
    <w:name w:val="toc 1"/>
    <w:basedOn w:val="a"/>
    <w:next w:val="a"/>
    <w:uiPriority w:val="39"/>
    <w:unhideWhenUsed/>
    <w:rsid w:val="006979F6"/>
    <w:rPr>
      <w:szCs w:val="22"/>
    </w:rPr>
  </w:style>
  <w:style w:type="paragraph" w:customStyle="1" w:styleId="USE1">
    <w:name w:val="USE 1"/>
    <w:basedOn w:val="a"/>
    <w:qFormat/>
    <w:rsid w:val="006979F6"/>
    <w:pPr>
      <w:spacing w:line="200" w:lineRule="atLeast"/>
      <w:jc w:val="left"/>
    </w:pPr>
    <w:rPr>
      <w:rFonts w:ascii="宋体" w:hAnsi="宋体"/>
      <w:b/>
      <w:sz w:val="24"/>
      <w:szCs w:val="28"/>
    </w:rPr>
  </w:style>
  <w:style w:type="paragraph" w:styleId="af4">
    <w:name w:val="No Spacing"/>
    <w:uiPriority w:val="1"/>
    <w:qFormat/>
    <w:rsid w:val="006979F6"/>
    <w:pPr>
      <w:widowControl w:val="0"/>
      <w:jc w:val="both"/>
    </w:pPr>
    <w:rPr>
      <w:rFonts w:ascii="Times New Roman" w:eastAsia="宋体" w:hAnsi="Times New Roman"/>
      <w:kern w:val="2"/>
      <w:sz w:val="21"/>
      <w:szCs w:val="24"/>
    </w:rPr>
  </w:style>
  <w:style w:type="paragraph" w:styleId="TOC">
    <w:name w:val="TOC Heading"/>
    <w:basedOn w:val="1"/>
    <w:next w:val="a"/>
    <w:uiPriority w:val="39"/>
    <w:qFormat/>
    <w:rsid w:val="006979F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styleId="af5">
    <w:name w:val="Table Grid"/>
    <w:basedOn w:val="a1"/>
    <w:uiPriority w:val="39"/>
    <w:qFormat/>
    <w:rsid w:val="0069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文章正文"/>
    <w:basedOn w:val="a"/>
    <w:link w:val="CharChar"/>
    <w:qFormat/>
    <w:rsid w:val="006979F6"/>
    <w:pPr>
      <w:adjustRightInd w:val="0"/>
      <w:snapToGrid w:val="0"/>
      <w:spacing w:beforeLines="50" w:line="360" w:lineRule="auto"/>
      <w:ind w:firstLineChars="200" w:firstLine="200"/>
    </w:pPr>
    <w:rPr>
      <w:rFonts w:ascii="Times New Roman" w:eastAsia="等线" w:hAnsi="Times New Roman"/>
      <w:kern w:val="0"/>
      <w:sz w:val="24"/>
      <w:szCs w:val="20"/>
      <w:lang w:val="x-none" w:eastAsia="x-none"/>
    </w:rPr>
  </w:style>
  <w:style w:type="character" w:customStyle="1" w:styleId="CharChar">
    <w:name w:val="文章正文 Char Char"/>
    <w:link w:val="af6"/>
    <w:qFormat/>
    <w:rsid w:val="006979F6"/>
    <w:rPr>
      <w:rFonts w:ascii="Times New Roman" w:hAnsi="Times New Roman"/>
      <w:sz w:val="24"/>
      <w:lang w:val="x-none" w:eastAsia="x-none"/>
    </w:rPr>
  </w:style>
  <w:style w:type="character" w:customStyle="1" w:styleId="af3">
    <w:name w:val="正文文本 字符"/>
    <w:link w:val="af2"/>
    <w:rsid w:val="006979F6"/>
    <w:rPr>
      <w:rFonts w:ascii="Arial" w:eastAsia="宋体" w:hAnsi="Arial"/>
      <w:color w:val="000000"/>
      <w:kern w:val="2"/>
      <w:sz w:val="21"/>
      <w:szCs w:val="24"/>
    </w:rPr>
  </w:style>
  <w:style w:type="character" w:customStyle="1" w:styleId="32">
    <w:name w:val="标题 3 字符"/>
    <w:rsid w:val="006979F6"/>
    <w:rPr>
      <w:rFonts w:ascii="Calibri" w:eastAsia="宋体" w:hAnsi="Calibri" w:cs="Times New Roman"/>
      <w:b/>
      <w:bCs/>
      <w:sz w:val="28"/>
      <w:szCs w:val="32"/>
    </w:rPr>
  </w:style>
  <w:style w:type="paragraph" w:styleId="af7">
    <w:name w:val="Document Map"/>
    <w:basedOn w:val="a"/>
    <w:link w:val="Charc"/>
    <w:uiPriority w:val="99"/>
    <w:semiHidden/>
    <w:unhideWhenUsed/>
    <w:rsid w:val="006979F6"/>
    <w:rPr>
      <w:rFonts w:ascii="宋体"/>
      <w:sz w:val="18"/>
      <w:szCs w:val="18"/>
    </w:rPr>
  </w:style>
  <w:style w:type="character" w:customStyle="1" w:styleId="Charc">
    <w:name w:val="文档结构图 Char"/>
    <w:basedOn w:val="a0"/>
    <w:link w:val="af7"/>
    <w:uiPriority w:val="99"/>
    <w:semiHidden/>
    <w:rsid w:val="006979F6"/>
    <w:rPr>
      <w:rFonts w:ascii="宋体" w:eastAsia="宋体" w:hAnsi="Calibri"/>
      <w:kern w:val="2"/>
      <w:sz w:val="18"/>
      <w:szCs w:val="18"/>
    </w:rPr>
  </w:style>
  <w:style w:type="character" w:styleId="af8">
    <w:name w:val="FollowedHyperlink"/>
    <w:uiPriority w:val="99"/>
    <w:semiHidden/>
    <w:unhideWhenUsed/>
    <w:rsid w:val="006979F6"/>
    <w:rPr>
      <w:color w:val="800080"/>
      <w:u w:val="single"/>
    </w:rPr>
  </w:style>
  <w:style w:type="paragraph" w:customStyle="1" w:styleId="font5">
    <w:name w:val="font5"/>
    <w:basedOn w:val="a"/>
    <w:rsid w:val="006979F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6979F6"/>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6979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5">
    <w:name w:val="xl65"/>
    <w:basedOn w:val="a"/>
    <w:rsid w:val="006979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6">
    <w:name w:val="xl66"/>
    <w:basedOn w:val="a"/>
    <w:rsid w:val="006979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6979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68">
    <w:name w:val="xl68"/>
    <w:basedOn w:val="a"/>
    <w:rsid w:val="006979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
    <w:rsid w:val="006979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0">
    <w:name w:val="xl70"/>
    <w:basedOn w:val="a"/>
    <w:rsid w:val="006979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1">
    <w:name w:val="xl71"/>
    <w:basedOn w:val="a"/>
    <w:rsid w:val="006979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rsid w:val="006979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af9">
    <w:name w:val="Date"/>
    <w:basedOn w:val="a"/>
    <w:next w:val="a"/>
    <w:link w:val="afa"/>
    <w:uiPriority w:val="99"/>
    <w:semiHidden/>
    <w:unhideWhenUsed/>
    <w:rsid w:val="006979F6"/>
    <w:pPr>
      <w:ind w:leftChars="2500" w:left="100"/>
    </w:pPr>
    <w:rPr>
      <w:szCs w:val="22"/>
    </w:rPr>
  </w:style>
  <w:style w:type="character" w:customStyle="1" w:styleId="Chard">
    <w:name w:val="日期 Char"/>
    <w:basedOn w:val="a0"/>
    <w:uiPriority w:val="99"/>
    <w:semiHidden/>
    <w:rsid w:val="006979F6"/>
    <w:rPr>
      <w:rFonts w:ascii="Calibri" w:eastAsia="宋体" w:hAnsi="Calibri"/>
      <w:kern w:val="2"/>
      <w:sz w:val="21"/>
      <w:szCs w:val="24"/>
    </w:rPr>
  </w:style>
  <w:style w:type="character" w:customStyle="1" w:styleId="afa">
    <w:name w:val="日期 字符"/>
    <w:link w:val="af9"/>
    <w:uiPriority w:val="99"/>
    <w:semiHidden/>
    <w:rsid w:val="006979F6"/>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4551</Words>
  <Characters>25947</Characters>
  <Application>Microsoft Office Word</Application>
  <DocSecurity>0</DocSecurity>
  <Lines>216</Lines>
  <Paragraphs>60</Paragraphs>
  <ScaleCrop>false</ScaleCrop>
  <Company>Microsoft</Company>
  <LinksUpToDate>false</LinksUpToDate>
  <CharactersWithSpaces>30438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H1762</dc:creator>
  <cp:lastModifiedBy>rnx-cb</cp:lastModifiedBy>
  <cp:revision>4</cp:revision>
  <dcterms:created xsi:type="dcterms:W3CDTF">2020-06-10T01:49:00Z</dcterms:created>
  <dcterms:modified xsi:type="dcterms:W3CDTF">2020-09-30T03:05:00Z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