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5CF" w:rsidRPr="002226C1" w:rsidRDefault="002465CF" w:rsidP="002465CF">
      <w:pPr>
        <w:pStyle w:val="2"/>
        <w:spacing w:line="360" w:lineRule="auto"/>
        <w:jc w:val="center"/>
        <w:rPr>
          <w:rFonts w:ascii="新宋体" w:eastAsia="新宋体" w:hAnsi="新宋体" w:hint="eastAsia"/>
          <w:snapToGrid w:val="0"/>
          <w:kern w:val="0"/>
        </w:rPr>
      </w:pPr>
      <w:r w:rsidRPr="002226C1">
        <w:rPr>
          <w:rFonts w:ascii="新宋体" w:eastAsia="新宋体" w:hAnsi="新宋体" w:hint="eastAsia"/>
          <w:snapToGrid w:val="0"/>
          <w:kern w:val="0"/>
        </w:rPr>
        <w:t>招标项目要求</w:t>
      </w:r>
    </w:p>
    <w:p w:rsidR="002465CF" w:rsidRDefault="002465CF" w:rsidP="002465CF">
      <w:pPr>
        <w:spacing w:line="360" w:lineRule="auto"/>
        <w:ind w:firstLineChars="200" w:firstLine="422"/>
        <w:jc w:val="left"/>
        <w:rPr>
          <w:rFonts w:ascii="新宋体" w:eastAsia="新宋体" w:hAnsi="新宋体" w:hint="eastAsia"/>
          <w:b/>
          <w:szCs w:val="21"/>
        </w:rPr>
      </w:pPr>
      <w:bookmarkStart w:id="0" w:name="_Toc487557468"/>
      <w:r>
        <w:rPr>
          <w:rFonts w:ascii="新宋体" w:eastAsia="新宋体" w:hAnsi="新宋体" w:hint="eastAsia"/>
          <w:b/>
          <w:szCs w:val="21"/>
        </w:rPr>
        <w:t>1、采购内容（不可偏离）</w:t>
      </w:r>
    </w:p>
    <w:tbl>
      <w:tblPr>
        <w:tblW w:w="934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48"/>
        <w:gridCol w:w="1843"/>
        <w:gridCol w:w="1250"/>
        <w:gridCol w:w="733"/>
        <w:gridCol w:w="852"/>
        <w:gridCol w:w="3821"/>
      </w:tblGrid>
      <w:tr w:rsidR="002465CF" w:rsidRPr="002226C1" w:rsidTr="0095608F">
        <w:trPr>
          <w:trHeight w:val="555"/>
          <w:jc w:val="center"/>
        </w:trPr>
        <w:tc>
          <w:tcPr>
            <w:tcW w:w="848" w:type="dxa"/>
            <w:vAlign w:val="center"/>
          </w:tcPr>
          <w:p w:rsidR="002465CF" w:rsidRPr="002226C1" w:rsidRDefault="002465CF" w:rsidP="0095608F">
            <w:pPr>
              <w:widowControl/>
              <w:spacing w:line="276" w:lineRule="auto"/>
              <w:jc w:val="center"/>
              <w:rPr>
                <w:rFonts w:ascii="新宋体" w:eastAsia="新宋体" w:hAnsi="新宋体"/>
                <w:b/>
                <w:bCs/>
                <w:kern w:val="0"/>
                <w:szCs w:val="21"/>
              </w:rPr>
            </w:pPr>
            <w:r w:rsidRPr="002226C1">
              <w:rPr>
                <w:rFonts w:ascii="新宋体" w:eastAsia="新宋体" w:hAnsi="新宋体" w:hint="eastAsia"/>
                <w:b/>
                <w:szCs w:val="21"/>
              </w:rPr>
              <w:t>序号</w:t>
            </w:r>
          </w:p>
        </w:tc>
        <w:tc>
          <w:tcPr>
            <w:tcW w:w="8499" w:type="dxa"/>
            <w:gridSpan w:val="5"/>
            <w:vAlign w:val="center"/>
          </w:tcPr>
          <w:p w:rsidR="002465CF" w:rsidRPr="002226C1" w:rsidRDefault="002465CF" w:rsidP="0095608F">
            <w:pPr>
              <w:pStyle w:val="3"/>
              <w:spacing w:line="276" w:lineRule="auto"/>
              <w:ind w:firstLine="422"/>
              <w:jc w:val="center"/>
              <w:rPr>
                <w:rFonts w:ascii="新宋体" w:eastAsia="新宋体" w:hAnsi="新宋体"/>
                <w:b/>
                <w:bCs/>
                <w:kern w:val="0"/>
                <w:szCs w:val="21"/>
              </w:rPr>
            </w:pPr>
            <w:r w:rsidRPr="002226C1">
              <w:rPr>
                <w:rFonts w:ascii="新宋体" w:eastAsia="新宋体" w:hAnsi="新宋体"/>
                <w:b/>
                <w:bCs/>
                <w:kern w:val="0"/>
                <w:szCs w:val="21"/>
              </w:rPr>
              <w:t>电池</w:t>
            </w:r>
            <w:r w:rsidRPr="002226C1">
              <w:rPr>
                <w:rFonts w:ascii="新宋体" w:eastAsia="新宋体" w:hAnsi="新宋体" w:hint="eastAsia"/>
                <w:b/>
                <w:bCs/>
                <w:kern w:val="0"/>
                <w:szCs w:val="21"/>
              </w:rPr>
              <w:t>组套件</w:t>
            </w:r>
          </w:p>
        </w:tc>
      </w:tr>
      <w:tr w:rsidR="002465CF" w:rsidRPr="002226C1" w:rsidTr="0095608F">
        <w:trPr>
          <w:trHeight w:val="606"/>
          <w:jc w:val="center"/>
        </w:trPr>
        <w:tc>
          <w:tcPr>
            <w:tcW w:w="848" w:type="dxa"/>
            <w:vAlign w:val="center"/>
          </w:tcPr>
          <w:p w:rsidR="002465CF" w:rsidRPr="002226C1" w:rsidRDefault="002465CF" w:rsidP="0095608F">
            <w:pPr>
              <w:widowControl/>
              <w:spacing w:line="276" w:lineRule="auto"/>
              <w:jc w:val="center"/>
              <w:rPr>
                <w:rFonts w:ascii="新宋体" w:eastAsia="新宋体" w:hAnsi="新宋体"/>
                <w:szCs w:val="21"/>
              </w:rPr>
            </w:pPr>
            <w:r w:rsidRPr="002226C1">
              <w:rPr>
                <w:rFonts w:ascii="新宋体" w:eastAsia="新宋体" w:hAnsi="新宋体" w:hint="eastAsia"/>
                <w:szCs w:val="21"/>
              </w:rPr>
              <w:t>1</w:t>
            </w:r>
          </w:p>
        </w:tc>
        <w:tc>
          <w:tcPr>
            <w:tcW w:w="1843" w:type="dxa"/>
            <w:vAlign w:val="center"/>
          </w:tcPr>
          <w:p w:rsidR="002465CF" w:rsidRPr="002226C1" w:rsidRDefault="002465CF" w:rsidP="0095608F">
            <w:pPr>
              <w:widowControl/>
              <w:spacing w:line="276" w:lineRule="auto"/>
              <w:jc w:val="center"/>
              <w:rPr>
                <w:rFonts w:ascii="新宋体" w:eastAsia="新宋体" w:hAnsi="新宋体"/>
                <w:szCs w:val="21"/>
              </w:rPr>
            </w:pPr>
            <w:r w:rsidRPr="002226C1">
              <w:rPr>
                <w:rFonts w:ascii="新宋体" w:eastAsia="新宋体" w:hAnsi="新宋体" w:hint="eastAsia"/>
                <w:szCs w:val="21"/>
              </w:rPr>
              <w:t>开关箱</w:t>
            </w:r>
          </w:p>
        </w:tc>
        <w:tc>
          <w:tcPr>
            <w:tcW w:w="1250" w:type="dxa"/>
            <w:vAlign w:val="center"/>
          </w:tcPr>
          <w:p w:rsidR="002465CF" w:rsidRPr="002226C1" w:rsidRDefault="002465CF" w:rsidP="0095608F">
            <w:pPr>
              <w:widowControl/>
              <w:spacing w:line="276" w:lineRule="auto"/>
              <w:jc w:val="center"/>
              <w:rPr>
                <w:rFonts w:ascii="新宋体" w:eastAsia="新宋体" w:hAnsi="新宋体"/>
                <w:szCs w:val="21"/>
              </w:rPr>
            </w:pPr>
            <w:r w:rsidRPr="002226C1">
              <w:rPr>
                <w:rFonts w:ascii="新宋体" w:eastAsia="新宋体" w:hAnsi="新宋体" w:hint="eastAsia"/>
                <w:szCs w:val="21"/>
              </w:rPr>
              <w:t>开关箱</w:t>
            </w:r>
          </w:p>
        </w:tc>
        <w:tc>
          <w:tcPr>
            <w:tcW w:w="733" w:type="dxa"/>
            <w:vAlign w:val="center"/>
          </w:tcPr>
          <w:p w:rsidR="002465CF" w:rsidRPr="002226C1" w:rsidRDefault="002465CF" w:rsidP="0095608F">
            <w:pPr>
              <w:widowControl/>
              <w:spacing w:line="276" w:lineRule="auto"/>
              <w:jc w:val="center"/>
              <w:rPr>
                <w:rFonts w:ascii="新宋体" w:eastAsia="新宋体" w:hAnsi="新宋体"/>
                <w:szCs w:val="21"/>
              </w:rPr>
            </w:pPr>
            <w:r w:rsidRPr="002226C1">
              <w:rPr>
                <w:rFonts w:ascii="新宋体" w:eastAsia="新宋体" w:hAnsi="新宋体" w:hint="eastAsia"/>
                <w:szCs w:val="21"/>
              </w:rPr>
              <w:t>套</w:t>
            </w:r>
          </w:p>
        </w:tc>
        <w:tc>
          <w:tcPr>
            <w:tcW w:w="852" w:type="dxa"/>
            <w:vAlign w:val="center"/>
          </w:tcPr>
          <w:p w:rsidR="002465CF" w:rsidRPr="002226C1" w:rsidRDefault="002465CF" w:rsidP="0095608F">
            <w:pPr>
              <w:widowControl/>
              <w:spacing w:line="276" w:lineRule="auto"/>
              <w:jc w:val="center"/>
              <w:rPr>
                <w:rFonts w:ascii="新宋体" w:eastAsia="新宋体" w:hAnsi="新宋体"/>
                <w:szCs w:val="21"/>
              </w:rPr>
            </w:pPr>
            <w:r w:rsidRPr="002226C1">
              <w:rPr>
                <w:rFonts w:ascii="新宋体" w:eastAsia="新宋体" w:hAnsi="新宋体" w:hint="eastAsia"/>
                <w:szCs w:val="21"/>
              </w:rPr>
              <w:t>1</w:t>
            </w:r>
          </w:p>
        </w:tc>
        <w:tc>
          <w:tcPr>
            <w:tcW w:w="3821" w:type="dxa"/>
            <w:vMerge w:val="restart"/>
            <w:vAlign w:val="center"/>
          </w:tcPr>
          <w:p w:rsidR="002465CF" w:rsidRPr="002226C1" w:rsidRDefault="002465CF" w:rsidP="0095608F">
            <w:pPr>
              <w:widowControl/>
              <w:spacing w:line="276" w:lineRule="auto"/>
              <w:jc w:val="left"/>
              <w:rPr>
                <w:rFonts w:ascii="新宋体" w:eastAsia="新宋体" w:hAnsi="新宋体"/>
                <w:bCs/>
                <w:kern w:val="0"/>
                <w:szCs w:val="21"/>
              </w:rPr>
            </w:pPr>
            <w:r w:rsidRPr="002226C1">
              <w:rPr>
                <w:rFonts w:ascii="新宋体" w:eastAsia="新宋体" w:hAnsi="新宋体"/>
                <w:szCs w:val="21"/>
              </w:rPr>
              <w:t>开关箱包含箱体</w:t>
            </w:r>
            <w:r w:rsidRPr="002226C1">
              <w:rPr>
                <w:rFonts w:ascii="新宋体" w:eastAsia="新宋体" w:hAnsi="新宋体" w:hint="eastAsia"/>
                <w:szCs w:val="21"/>
              </w:rPr>
              <w:t>，630A/3P开关两台，开关品牌为国际知名品牌。开关箱尺寸不大于：400*400*300</w:t>
            </w:r>
          </w:p>
        </w:tc>
      </w:tr>
      <w:tr w:rsidR="002465CF" w:rsidRPr="002226C1" w:rsidTr="0095608F">
        <w:trPr>
          <w:trHeight w:val="558"/>
          <w:jc w:val="center"/>
        </w:trPr>
        <w:tc>
          <w:tcPr>
            <w:tcW w:w="848" w:type="dxa"/>
            <w:vAlign w:val="center"/>
          </w:tcPr>
          <w:p w:rsidR="002465CF" w:rsidRPr="002226C1" w:rsidRDefault="002465CF" w:rsidP="0095608F">
            <w:pPr>
              <w:widowControl/>
              <w:spacing w:line="276" w:lineRule="auto"/>
              <w:jc w:val="center"/>
              <w:rPr>
                <w:rFonts w:ascii="新宋体" w:eastAsia="新宋体" w:hAnsi="新宋体"/>
                <w:szCs w:val="21"/>
              </w:rPr>
            </w:pPr>
            <w:r w:rsidRPr="002226C1">
              <w:rPr>
                <w:rFonts w:ascii="新宋体" w:eastAsia="新宋体" w:hAnsi="新宋体" w:hint="eastAsia"/>
                <w:szCs w:val="21"/>
              </w:rPr>
              <w:t>2</w:t>
            </w:r>
          </w:p>
        </w:tc>
        <w:tc>
          <w:tcPr>
            <w:tcW w:w="1843" w:type="dxa"/>
            <w:vAlign w:val="center"/>
          </w:tcPr>
          <w:p w:rsidR="002465CF" w:rsidRPr="002226C1" w:rsidRDefault="002465CF" w:rsidP="0095608F">
            <w:pPr>
              <w:widowControl/>
              <w:spacing w:line="276" w:lineRule="auto"/>
              <w:jc w:val="center"/>
              <w:rPr>
                <w:rFonts w:ascii="新宋体" w:eastAsia="新宋体" w:hAnsi="新宋体"/>
                <w:szCs w:val="21"/>
              </w:rPr>
            </w:pPr>
            <w:r w:rsidRPr="002226C1">
              <w:rPr>
                <w:rFonts w:ascii="新宋体" w:eastAsia="新宋体" w:hAnsi="新宋体" w:hint="eastAsia"/>
                <w:szCs w:val="21"/>
              </w:rPr>
              <w:t>电池开关</w:t>
            </w:r>
          </w:p>
        </w:tc>
        <w:tc>
          <w:tcPr>
            <w:tcW w:w="1250" w:type="dxa"/>
            <w:vAlign w:val="center"/>
          </w:tcPr>
          <w:p w:rsidR="002465CF" w:rsidRPr="002226C1" w:rsidRDefault="002465CF" w:rsidP="0095608F">
            <w:pPr>
              <w:widowControl/>
              <w:spacing w:line="276" w:lineRule="auto"/>
              <w:jc w:val="center"/>
              <w:rPr>
                <w:rFonts w:ascii="新宋体" w:eastAsia="新宋体" w:hAnsi="新宋体"/>
                <w:szCs w:val="21"/>
              </w:rPr>
            </w:pPr>
            <w:r w:rsidRPr="002226C1">
              <w:rPr>
                <w:rFonts w:ascii="新宋体" w:eastAsia="新宋体" w:hAnsi="新宋体" w:hint="eastAsia"/>
                <w:szCs w:val="21"/>
              </w:rPr>
              <w:t>3P 630A</w:t>
            </w:r>
          </w:p>
        </w:tc>
        <w:tc>
          <w:tcPr>
            <w:tcW w:w="733" w:type="dxa"/>
            <w:vAlign w:val="center"/>
          </w:tcPr>
          <w:p w:rsidR="002465CF" w:rsidRPr="002226C1" w:rsidRDefault="002465CF" w:rsidP="0095608F">
            <w:pPr>
              <w:widowControl/>
              <w:spacing w:line="276" w:lineRule="auto"/>
              <w:jc w:val="center"/>
              <w:rPr>
                <w:rFonts w:ascii="新宋体" w:eastAsia="新宋体" w:hAnsi="新宋体"/>
                <w:szCs w:val="21"/>
              </w:rPr>
            </w:pPr>
            <w:r w:rsidRPr="002226C1">
              <w:rPr>
                <w:rFonts w:ascii="新宋体" w:eastAsia="新宋体" w:hAnsi="新宋体" w:hint="eastAsia"/>
                <w:szCs w:val="21"/>
              </w:rPr>
              <w:t>台</w:t>
            </w:r>
          </w:p>
        </w:tc>
        <w:tc>
          <w:tcPr>
            <w:tcW w:w="852" w:type="dxa"/>
            <w:vAlign w:val="center"/>
          </w:tcPr>
          <w:p w:rsidR="002465CF" w:rsidRPr="002226C1" w:rsidRDefault="002465CF" w:rsidP="0095608F">
            <w:pPr>
              <w:widowControl/>
              <w:spacing w:line="276" w:lineRule="auto"/>
              <w:jc w:val="center"/>
              <w:rPr>
                <w:rFonts w:ascii="新宋体" w:eastAsia="新宋体" w:hAnsi="新宋体"/>
                <w:szCs w:val="21"/>
              </w:rPr>
            </w:pPr>
            <w:r w:rsidRPr="002226C1">
              <w:rPr>
                <w:rFonts w:ascii="新宋体" w:eastAsia="新宋体" w:hAnsi="新宋体" w:hint="eastAsia"/>
                <w:szCs w:val="21"/>
              </w:rPr>
              <w:t>2</w:t>
            </w:r>
          </w:p>
        </w:tc>
        <w:tc>
          <w:tcPr>
            <w:tcW w:w="3821" w:type="dxa"/>
            <w:vMerge/>
            <w:vAlign w:val="center"/>
          </w:tcPr>
          <w:p w:rsidR="002465CF" w:rsidRPr="002226C1" w:rsidRDefault="002465CF" w:rsidP="0095608F">
            <w:pPr>
              <w:widowControl/>
              <w:spacing w:line="276" w:lineRule="auto"/>
              <w:jc w:val="left"/>
              <w:rPr>
                <w:rFonts w:ascii="新宋体" w:eastAsia="新宋体" w:hAnsi="新宋体"/>
                <w:bCs/>
                <w:kern w:val="0"/>
                <w:szCs w:val="21"/>
              </w:rPr>
            </w:pPr>
          </w:p>
        </w:tc>
      </w:tr>
      <w:tr w:rsidR="002465CF" w:rsidRPr="002226C1" w:rsidTr="0095608F">
        <w:trPr>
          <w:trHeight w:val="624"/>
          <w:jc w:val="center"/>
        </w:trPr>
        <w:tc>
          <w:tcPr>
            <w:tcW w:w="848" w:type="dxa"/>
            <w:vAlign w:val="center"/>
          </w:tcPr>
          <w:p w:rsidR="002465CF" w:rsidRPr="002226C1" w:rsidRDefault="002465CF" w:rsidP="0095608F">
            <w:pPr>
              <w:widowControl/>
              <w:spacing w:line="276" w:lineRule="auto"/>
              <w:jc w:val="center"/>
              <w:rPr>
                <w:rFonts w:ascii="新宋体" w:eastAsia="新宋体" w:hAnsi="新宋体"/>
                <w:szCs w:val="21"/>
              </w:rPr>
            </w:pPr>
            <w:r w:rsidRPr="002226C1">
              <w:rPr>
                <w:rFonts w:ascii="新宋体" w:eastAsia="新宋体" w:hAnsi="新宋体" w:hint="eastAsia"/>
                <w:szCs w:val="21"/>
              </w:rPr>
              <w:t>3</w:t>
            </w:r>
          </w:p>
        </w:tc>
        <w:tc>
          <w:tcPr>
            <w:tcW w:w="1843" w:type="dxa"/>
            <w:vAlign w:val="center"/>
          </w:tcPr>
          <w:p w:rsidR="002465CF" w:rsidRPr="002226C1" w:rsidRDefault="002465CF" w:rsidP="0095608F">
            <w:pPr>
              <w:widowControl/>
              <w:spacing w:line="276" w:lineRule="auto"/>
              <w:jc w:val="center"/>
              <w:rPr>
                <w:rFonts w:ascii="新宋体" w:eastAsia="新宋体" w:hAnsi="新宋体"/>
                <w:szCs w:val="21"/>
              </w:rPr>
            </w:pPr>
            <w:r w:rsidRPr="002226C1">
              <w:rPr>
                <w:rFonts w:ascii="新宋体" w:eastAsia="新宋体" w:hAnsi="新宋体" w:hint="eastAsia"/>
                <w:szCs w:val="21"/>
              </w:rPr>
              <w:t>电池组</w:t>
            </w:r>
          </w:p>
        </w:tc>
        <w:tc>
          <w:tcPr>
            <w:tcW w:w="1250" w:type="dxa"/>
            <w:vAlign w:val="center"/>
          </w:tcPr>
          <w:p w:rsidR="002465CF" w:rsidRPr="002226C1" w:rsidRDefault="002465CF" w:rsidP="0095608F">
            <w:pPr>
              <w:widowControl/>
              <w:spacing w:line="276" w:lineRule="auto"/>
              <w:jc w:val="center"/>
              <w:rPr>
                <w:rFonts w:ascii="新宋体" w:eastAsia="新宋体" w:hAnsi="新宋体"/>
                <w:szCs w:val="21"/>
              </w:rPr>
            </w:pPr>
            <w:r w:rsidRPr="002226C1">
              <w:rPr>
                <w:rFonts w:ascii="新宋体" w:eastAsia="新宋体" w:hAnsi="新宋体" w:hint="eastAsia"/>
                <w:szCs w:val="21"/>
              </w:rPr>
              <w:t>12V200Ah</w:t>
            </w:r>
          </w:p>
        </w:tc>
        <w:tc>
          <w:tcPr>
            <w:tcW w:w="733" w:type="dxa"/>
            <w:vAlign w:val="center"/>
          </w:tcPr>
          <w:p w:rsidR="002465CF" w:rsidRPr="002226C1" w:rsidRDefault="002465CF" w:rsidP="0095608F">
            <w:pPr>
              <w:widowControl/>
              <w:spacing w:line="276" w:lineRule="auto"/>
              <w:jc w:val="center"/>
              <w:rPr>
                <w:rFonts w:ascii="新宋体" w:eastAsia="新宋体" w:hAnsi="新宋体"/>
                <w:szCs w:val="21"/>
              </w:rPr>
            </w:pPr>
            <w:r w:rsidRPr="002226C1">
              <w:rPr>
                <w:rFonts w:ascii="新宋体" w:eastAsia="新宋体" w:hAnsi="新宋体" w:hint="eastAsia"/>
                <w:szCs w:val="21"/>
              </w:rPr>
              <w:t>个</w:t>
            </w:r>
          </w:p>
        </w:tc>
        <w:tc>
          <w:tcPr>
            <w:tcW w:w="852" w:type="dxa"/>
            <w:vAlign w:val="center"/>
          </w:tcPr>
          <w:p w:rsidR="002465CF" w:rsidRPr="002226C1" w:rsidRDefault="002465CF" w:rsidP="0095608F">
            <w:pPr>
              <w:widowControl/>
              <w:spacing w:line="276" w:lineRule="auto"/>
              <w:jc w:val="center"/>
              <w:rPr>
                <w:rFonts w:ascii="新宋体" w:eastAsia="新宋体" w:hAnsi="新宋体"/>
                <w:szCs w:val="21"/>
              </w:rPr>
            </w:pPr>
            <w:r w:rsidRPr="002226C1">
              <w:rPr>
                <w:rFonts w:ascii="新宋体" w:eastAsia="新宋体" w:hAnsi="新宋体" w:hint="eastAsia"/>
                <w:szCs w:val="21"/>
              </w:rPr>
              <w:t>160</w:t>
            </w:r>
          </w:p>
        </w:tc>
        <w:tc>
          <w:tcPr>
            <w:tcW w:w="3821" w:type="dxa"/>
            <w:vMerge w:val="restart"/>
            <w:vAlign w:val="center"/>
          </w:tcPr>
          <w:p w:rsidR="002465CF" w:rsidRPr="002226C1" w:rsidRDefault="002465CF" w:rsidP="0095608F">
            <w:pPr>
              <w:widowControl/>
              <w:spacing w:line="276" w:lineRule="auto"/>
              <w:jc w:val="left"/>
              <w:rPr>
                <w:rFonts w:ascii="新宋体" w:eastAsia="新宋体" w:hAnsi="新宋体"/>
                <w:bCs/>
                <w:kern w:val="0"/>
                <w:szCs w:val="21"/>
              </w:rPr>
            </w:pPr>
            <w:r w:rsidRPr="002226C1">
              <w:rPr>
                <w:rFonts w:ascii="新宋体" w:eastAsia="新宋体" w:hAnsi="新宋体" w:hint="eastAsia"/>
                <w:szCs w:val="21"/>
              </w:rPr>
              <w:t>免维护铅酸蓄电池组后备30分钟，连接安装附件，</w:t>
            </w:r>
          </w:p>
        </w:tc>
      </w:tr>
      <w:tr w:rsidR="002465CF" w:rsidRPr="002226C1" w:rsidTr="0095608F">
        <w:trPr>
          <w:trHeight w:val="624"/>
          <w:jc w:val="center"/>
        </w:trPr>
        <w:tc>
          <w:tcPr>
            <w:tcW w:w="848" w:type="dxa"/>
            <w:vAlign w:val="center"/>
          </w:tcPr>
          <w:p w:rsidR="002465CF" w:rsidRPr="002226C1" w:rsidRDefault="002465CF" w:rsidP="0095608F">
            <w:pPr>
              <w:widowControl/>
              <w:spacing w:line="276" w:lineRule="auto"/>
              <w:jc w:val="center"/>
              <w:rPr>
                <w:rFonts w:ascii="新宋体" w:eastAsia="新宋体" w:hAnsi="新宋体"/>
                <w:szCs w:val="21"/>
              </w:rPr>
            </w:pPr>
            <w:r w:rsidRPr="002226C1">
              <w:rPr>
                <w:rFonts w:ascii="新宋体" w:eastAsia="新宋体" w:hAnsi="新宋体" w:hint="eastAsia"/>
                <w:szCs w:val="21"/>
              </w:rPr>
              <w:t>4</w:t>
            </w:r>
          </w:p>
        </w:tc>
        <w:tc>
          <w:tcPr>
            <w:tcW w:w="1843" w:type="dxa"/>
            <w:vAlign w:val="center"/>
          </w:tcPr>
          <w:p w:rsidR="002465CF" w:rsidRPr="002226C1" w:rsidRDefault="002465CF" w:rsidP="0095608F">
            <w:pPr>
              <w:widowControl/>
              <w:spacing w:line="276" w:lineRule="auto"/>
              <w:jc w:val="center"/>
              <w:rPr>
                <w:rFonts w:ascii="新宋体" w:eastAsia="新宋体" w:hAnsi="新宋体"/>
                <w:szCs w:val="21"/>
              </w:rPr>
            </w:pPr>
            <w:r w:rsidRPr="002226C1">
              <w:rPr>
                <w:rFonts w:ascii="新宋体" w:eastAsia="新宋体" w:hAnsi="新宋体" w:hint="eastAsia"/>
                <w:szCs w:val="21"/>
              </w:rPr>
              <w:t>电池组安装附件</w:t>
            </w:r>
          </w:p>
        </w:tc>
        <w:tc>
          <w:tcPr>
            <w:tcW w:w="1250" w:type="dxa"/>
            <w:vAlign w:val="center"/>
          </w:tcPr>
          <w:p w:rsidR="002465CF" w:rsidRPr="002226C1" w:rsidRDefault="002465CF" w:rsidP="0095608F">
            <w:pPr>
              <w:widowControl/>
              <w:spacing w:line="276" w:lineRule="auto"/>
              <w:jc w:val="center"/>
              <w:rPr>
                <w:rFonts w:ascii="新宋体" w:eastAsia="新宋体" w:hAnsi="新宋体"/>
                <w:szCs w:val="21"/>
              </w:rPr>
            </w:pPr>
            <w:r w:rsidRPr="002226C1">
              <w:rPr>
                <w:rFonts w:ascii="新宋体" w:eastAsia="新宋体" w:hAnsi="新宋体" w:hint="eastAsia"/>
                <w:szCs w:val="21"/>
              </w:rPr>
              <w:t>连接配件</w:t>
            </w:r>
          </w:p>
        </w:tc>
        <w:tc>
          <w:tcPr>
            <w:tcW w:w="733" w:type="dxa"/>
            <w:vAlign w:val="center"/>
          </w:tcPr>
          <w:p w:rsidR="002465CF" w:rsidRPr="002226C1" w:rsidRDefault="002465CF" w:rsidP="0095608F">
            <w:pPr>
              <w:widowControl/>
              <w:spacing w:line="276" w:lineRule="auto"/>
              <w:jc w:val="center"/>
              <w:rPr>
                <w:rFonts w:ascii="新宋体" w:eastAsia="新宋体" w:hAnsi="新宋体"/>
                <w:szCs w:val="21"/>
              </w:rPr>
            </w:pPr>
            <w:r w:rsidRPr="002226C1">
              <w:rPr>
                <w:rFonts w:ascii="新宋体" w:eastAsia="新宋体" w:hAnsi="新宋体" w:hint="eastAsia"/>
                <w:szCs w:val="21"/>
              </w:rPr>
              <w:t>套</w:t>
            </w:r>
          </w:p>
        </w:tc>
        <w:tc>
          <w:tcPr>
            <w:tcW w:w="852" w:type="dxa"/>
            <w:vAlign w:val="center"/>
          </w:tcPr>
          <w:p w:rsidR="002465CF" w:rsidRPr="002226C1" w:rsidRDefault="002465CF" w:rsidP="0095608F">
            <w:pPr>
              <w:widowControl/>
              <w:spacing w:line="276" w:lineRule="auto"/>
              <w:jc w:val="center"/>
              <w:rPr>
                <w:rFonts w:ascii="新宋体" w:eastAsia="新宋体" w:hAnsi="新宋体"/>
                <w:szCs w:val="21"/>
              </w:rPr>
            </w:pPr>
            <w:r w:rsidRPr="002226C1">
              <w:rPr>
                <w:rFonts w:ascii="新宋体" w:eastAsia="新宋体" w:hAnsi="新宋体" w:hint="eastAsia"/>
                <w:szCs w:val="21"/>
              </w:rPr>
              <w:t>160</w:t>
            </w:r>
          </w:p>
        </w:tc>
        <w:tc>
          <w:tcPr>
            <w:tcW w:w="3821" w:type="dxa"/>
            <w:vMerge/>
            <w:vAlign w:val="center"/>
          </w:tcPr>
          <w:p w:rsidR="002465CF" w:rsidRPr="002226C1" w:rsidRDefault="002465CF" w:rsidP="0095608F">
            <w:pPr>
              <w:widowControl/>
              <w:spacing w:line="276" w:lineRule="auto"/>
              <w:jc w:val="center"/>
              <w:rPr>
                <w:rFonts w:ascii="新宋体" w:eastAsia="新宋体" w:hAnsi="新宋体"/>
                <w:bCs/>
                <w:kern w:val="0"/>
                <w:szCs w:val="21"/>
              </w:rPr>
            </w:pPr>
          </w:p>
        </w:tc>
      </w:tr>
      <w:tr w:rsidR="002465CF" w:rsidRPr="002226C1" w:rsidTr="0095608F">
        <w:trPr>
          <w:jc w:val="center"/>
        </w:trPr>
        <w:tc>
          <w:tcPr>
            <w:tcW w:w="9347" w:type="dxa"/>
            <w:gridSpan w:val="6"/>
            <w:vAlign w:val="center"/>
          </w:tcPr>
          <w:p w:rsidR="002465CF" w:rsidRPr="002226C1" w:rsidRDefault="002465CF" w:rsidP="0095608F">
            <w:pPr>
              <w:widowControl/>
              <w:spacing w:line="276" w:lineRule="auto"/>
              <w:jc w:val="left"/>
              <w:rPr>
                <w:rFonts w:ascii="新宋体" w:eastAsia="新宋体" w:hAnsi="新宋体"/>
                <w:szCs w:val="21"/>
              </w:rPr>
            </w:pPr>
            <w:r w:rsidRPr="002226C1">
              <w:rPr>
                <w:rFonts w:ascii="新宋体" w:eastAsia="新宋体" w:hAnsi="新宋体" w:hint="eastAsia"/>
                <w:szCs w:val="21"/>
              </w:rPr>
              <w:t>备注：1、电池组</w:t>
            </w:r>
            <w:r>
              <w:rPr>
                <w:rFonts w:ascii="新宋体" w:eastAsia="新宋体" w:hAnsi="新宋体" w:hint="eastAsia"/>
                <w:szCs w:val="21"/>
              </w:rPr>
              <w:t>套件</w:t>
            </w:r>
            <w:r w:rsidRPr="002226C1">
              <w:rPr>
                <w:rFonts w:ascii="新宋体" w:eastAsia="新宋体" w:hAnsi="新宋体" w:hint="eastAsia"/>
                <w:szCs w:val="21"/>
              </w:rPr>
              <w:t>五年质保期；</w:t>
            </w:r>
          </w:p>
          <w:p w:rsidR="002465CF" w:rsidRDefault="002465CF" w:rsidP="0095608F">
            <w:pPr>
              <w:widowControl/>
              <w:spacing w:line="276" w:lineRule="auto"/>
              <w:jc w:val="left"/>
              <w:rPr>
                <w:rFonts w:ascii="新宋体" w:eastAsia="新宋体" w:hAnsi="新宋体" w:hint="eastAsia"/>
                <w:szCs w:val="21"/>
              </w:rPr>
            </w:pPr>
            <w:r w:rsidRPr="002226C1">
              <w:rPr>
                <w:rFonts w:ascii="新宋体" w:eastAsia="新宋体" w:hAnsi="新宋体" w:hint="eastAsia"/>
                <w:szCs w:val="21"/>
              </w:rPr>
              <w:t>2、安全拆卸旧电池组，并将旧电池</w:t>
            </w:r>
            <w:r>
              <w:rPr>
                <w:rFonts w:ascii="新宋体" w:eastAsia="新宋体" w:hAnsi="新宋体" w:hint="eastAsia"/>
                <w:szCs w:val="21"/>
              </w:rPr>
              <w:t>按照相关规定进行报废处理，安装电池组套件，使整体系统可用</w:t>
            </w:r>
            <w:r w:rsidRPr="002226C1">
              <w:rPr>
                <w:rFonts w:ascii="新宋体" w:eastAsia="新宋体" w:hAnsi="新宋体" w:hint="eastAsia"/>
                <w:szCs w:val="21"/>
              </w:rPr>
              <w:t>。</w:t>
            </w:r>
          </w:p>
          <w:p w:rsidR="002465CF" w:rsidRDefault="002465CF" w:rsidP="0095608F">
            <w:pPr>
              <w:widowControl/>
              <w:spacing w:line="276" w:lineRule="auto"/>
              <w:jc w:val="left"/>
              <w:rPr>
                <w:rFonts w:ascii="宋体" w:hAnsi="宋体" w:hint="eastAsia"/>
                <w:szCs w:val="21"/>
              </w:rPr>
            </w:pPr>
            <w:r>
              <w:rPr>
                <w:rFonts w:ascii="宋体" w:hint="eastAsia"/>
              </w:rPr>
              <w:t>3、</w:t>
            </w:r>
            <w:r w:rsidRPr="00E914E7">
              <w:rPr>
                <w:rFonts w:ascii="宋体" w:hint="eastAsia"/>
              </w:rPr>
              <w:t>施工过程中保障人身和设备安全</w:t>
            </w:r>
            <w:r>
              <w:rPr>
                <w:rFonts w:ascii="宋体" w:hint="eastAsia"/>
              </w:rPr>
              <w:t>，</w:t>
            </w:r>
            <w:r w:rsidRPr="009D6BDF">
              <w:rPr>
                <w:rFonts w:ascii="宋体" w:hAnsi="宋体" w:hint="eastAsia"/>
                <w:szCs w:val="21"/>
              </w:rPr>
              <w:t>建设工程一切险和第三者责任险，所需的保险费应包含在投标价中，施工中若发生安全事故，一切责任及费用由施工单位负责。</w:t>
            </w:r>
          </w:p>
          <w:p w:rsidR="002465CF" w:rsidRPr="002226C1" w:rsidRDefault="002465CF" w:rsidP="0095608F">
            <w:pPr>
              <w:widowControl/>
              <w:spacing w:line="276" w:lineRule="auto"/>
              <w:jc w:val="left"/>
              <w:rPr>
                <w:rFonts w:ascii="新宋体" w:eastAsia="新宋体" w:hAnsi="新宋体"/>
                <w:color w:val="FF0000"/>
                <w:szCs w:val="21"/>
              </w:rPr>
            </w:pPr>
            <w:r>
              <w:rPr>
                <w:rFonts w:ascii="宋体" w:hAnsi="宋体" w:hint="eastAsia"/>
                <w:szCs w:val="21"/>
              </w:rPr>
              <w:t>4、</w:t>
            </w:r>
            <w:r>
              <w:rPr>
                <w:rFonts w:ascii="宋体" w:hAnsi="宋体" w:hint="eastAsia"/>
                <w:bCs/>
                <w:szCs w:val="28"/>
              </w:rPr>
              <w:t>合同签订后</w:t>
            </w:r>
            <w:r>
              <w:rPr>
                <w:rFonts w:ascii="宋体" w:hAnsi="宋体" w:hint="eastAsia"/>
                <w:bCs/>
                <w:szCs w:val="28"/>
                <w:u w:val="single"/>
              </w:rPr>
              <w:t>7</w:t>
            </w:r>
            <w:r>
              <w:rPr>
                <w:rFonts w:ascii="宋体" w:hAnsi="宋体" w:hint="eastAsia"/>
                <w:bCs/>
                <w:szCs w:val="28"/>
              </w:rPr>
              <w:t>历天内，指合同生效后，中标人将全部货物运抵、安装调试完成并验收合格，正式交付采购人使用所需的时间。</w:t>
            </w:r>
          </w:p>
        </w:tc>
      </w:tr>
    </w:tbl>
    <w:p w:rsidR="002465CF" w:rsidRPr="006C6B39" w:rsidRDefault="002465CF" w:rsidP="002465CF">
      <w:pPr>
        <w:spacing w:line="360" w:lineRule="auto"/>
        <w:ind w:firstLineChars="200" w:firstLine="422"/>
        <w:jc w:val="left"/>
        <w:rPr>
          <w:rFonts w:ascii="新宋体" w:eastAsia="新宋体" w:hAnsi="新宋体"/>
          <w:b/>
          <w:szCs w:val="21"/>
        </w:rPr>
      </w:pPr>
    </w:p>
    <w:p w:rsidR="002465CF" w:rsidRPr="00CC3DAE" w:rsidRDefault="002465CF" w:rsidP="002465CF">
      <w:pPr>
        <w:spacing w:line="360" w:lineRule="auto"/>
        <w:ind w:firstLineChars="200" w:firstLine="422"/>
        <w:jc w:val="left"/>
        <w:rPr>
          <w:rFonts w:ascii="新宋体" w:eastAsia="新宋体" w:hAnsi="新宋体"/>
          <w:b/>
          <w:szCs w:val="21"/>
        </w:rPr>
      </w:pPr>
      <w:r>
        <w:rPr>
          <w:rFonts w:ascii="新宋体" w:eastAsia="新宋体" w:hAnsi="新宋体" w:hint="eastAsia"/>
          <w:b/>
          <w:szCs w:val="21"/>
        </w:rPr>
        <w:t>2、</w:t>
      </w:r>
      <w:r w:rsidRPr="00CC3DAE">
        <w:rPr>
          <w:rFonts w:ascii="新宋体" w:eastAsia="新宋体" w:hAnsi="新宋体" w:hint="eastAsia"/>
          <w:b/>
          <w:szCs w:val="21"/>
        </w:rPr>
        <w:t>下面电池的技术指标，具体如下</w:t>
      </w: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8334"/>
      </w:tblGrid>
      <w:tr w:rsidR="002465CF" w:rsidRPr="00CC3DAE" w:rsidTr="0095608F">
        <w:trPr>
          <w:trHeight w:val="545"/>
          <w:jc w:val="center"/>
        </w:trPr>
        <w:tc>
          <w:tcPr>
            <w:tcW w:w="1196" w:type="dxa"/>
            <w:vMerge w:val="restart"/>
            <w:tcBorders>
              <w:left w:val="single" w:sz="4" w:space="0" w:color="auto"/>
              <w:right w:val="single" w:sz="4" w:space="0" w:color="auto"/>
            </w:tcBorders>
            <w:vAlign w:val="center"/>
          </w:tcPr>
          <w:p w:rsidR="002465CF" w:rsidRPr="00CC3DAE" w:rsidRDefault="002465CF" w:rsidP="0095608F">
            <w:pPr>
              <w:spacing w:line="276" w:lineRule="auto"/>
              <w:jc w:val="center"/>
              <w:rPr>
                <w:rFonts w:ascii="新宋体" w:eastAsia="新宋体" w:hAnsi="新宋体"/>
                <w:snapToGrid w:val="0"/>
                <w:color w:val="000000"/>
                <w:kern w:val="0"/>
                <w:szCs w:val="21"/>
              </w:rPr>
            </w:pPr>
            <w:r w:rsidRPr="00CC3DAE">
              <w:rPr>
                <w:rFonts w:ascii="新宋体" w:eastAsia="新宋体" w:hAnsi="新宋体" w:hint="eastAsia"/>
                <w:snapToGrid w:val="0"/>
                <w:color w:val="000000"/>
                <w:kern w:val="0"/>
                <w:szCs w:val="21"/>
              </w:rPr>
              <w:t>根据投标人对项目需求中的技术条款应答的偏离情况及证明提供情况打分</w:t>
            </w:r>
          </w:p>
        </w:tc>
        <w:tc>
          <w:tcPr>
            <w:tcW w:w="8334" w:type="dxa"/>
            <w:tcBorders>
              <w:top w:val="single" w:sz="4" w:space="0" w:color="auto"/>
              <w:left w:val="single" w:sz="4" w:space="0" w:color="auto"/>
              <w:bottom w:val="single" w:sz="4" w:space="0" w:color="auto"/>
              <w:right w:val="single" w:sz="4" w:space="0" w:color="auto"/>
            </w:tcBorders>
            <w:vAlign w:val="center"/>
          </w:tcPr>
          <w:p w:rsidR="002465CF" w:rsidRPr="00CC3DAE" w:rsidRDefault="002465CF" w:rsidP="0095608F">
            <w:pPr>
              <w:widowControl/>
              <w:spacing w:line="276" w:lineRule="auto"/>
              <w:textAlignment w:val="top"/>
              <w:rPr>
                <w:rFonts w:ascii="新宋体" w:eastAsia="新宋体" w:hAnsi="新宋体" w:cs="宋体"/>
                <w:color w:val="000000"/>
                <w:kern w:val="0"/>
                <w:szCs w:val="21"/>
              </w:rPr>
            </w:pPr>
            <w:r w:rsidRPr="00CC3DAE">
              <w:rPr>
                <w:rFonts w:ascii="新宋体" w:eastAsia="新宋体" w:hAnsi="新宋体" w:cs="宋体" w:hint="eastAsia"/>
                <w:color w:val="000000"/>
                <w:kern w:val="0"/>
                <w:szCs w:val="21"/>
              </w:rPr>
              <w:t>蓄电池在环境温度20～25℃时的浮充运行设计寿命应不低于</w:t>
            </w:r>
            <w:r w:rsidRPr="00CC3DAE">
              <w:rPr>
                <w:rFonts w:ascii="新宋体" w:eastAsia="新宋体" w:hAnsi="新宋体" w:cs="宋体"/>
                <w:color w:val="000000"/>
                <w:kern w:val="0"/>
                <w:szCs w:val="21"/>
              </w:rPr>
              <w:t>15</w:t>
            </w:r>
            <w:r w:rsidRPr="00CC3DAE">
              <w:rPr>
                <w:rFonts w:ascii="新宋体" w:eastAsia="新宋体" w:hAnsi="新宋体" w:cs="宋体" w:hint="eastAsia"/>
                <w:color w:val="000000"/>
                <w:kern w:val="0"/>
                <w:szCs w:val="21"/>
              </w:rPr>
              <w:t>年，</w:t>
            </w:r>
            <w:r w:rsidRPr="00CC3DAE">
              <w:rPr>
                <w:rFonts w:ascii="新宋体" w:eastAsia="新宋体" w:hAnsi="新宋体" w:cs="宋体"/>
                <w:color w:val="000000"/>
                <w:kern w:val="0"/>
                <w:szCs w:val="21"/>
              </w:rPr>
              <w:t>并提供</w:t>
            </w:r>
            <w:r w:rsidRPr="00CC3DAE">
              <w:rPr>
                <w:rFonts w:ascii="新宋体" w:eastAsia="新宋体" w:hAnsi="新宋体" w:cs="宋体" w:hint="eastAsia"/>
                <w:color w:val="000000"/>
                <w:kern w:val="0"/>
                <w:szCs w:val="21"/>
              </w:rPr>
              <w:t>官网公布的彩页证明。</w:t>
            </w:r>
          </w:p>
        </w:tc>
      </w:tr>
      <w:tr w:rsidR="002465CF" w:rsidRPr="00CC3DAE" w:rsidTr="0095608F">
        <w:trPr>
          <w:trHeight w:val="545"/>
          <w:jc w:val="center"/>
        </w:trPr>
        <w:tc>
          <w:tcPr>
            <w:tcW w:w="1196" w:type="dxa"/>
            <w:vMerge/>
            <w:tcBorders>
              <w:left w:val="single" w:sz="4" w:space="0" w:color="auto"/>
              <w:right w:val="single" w:sz="4" w:space="0" w:color="auto"/>
            </w:tcBorders>
            <w:vAlign w:val="center"/>
          </w:tcPr>
          <w:p w:rsidR="002465CF" w:rsidRPr="00CC3DAE" w:rsidRDefault="002465CF" w:rsidP="0095608F">
            <w:pPr>
              <w:spacing w:line="276" w:lineRule="auto"/>
              <w:rPr>
                <w:rFonts w:ascii="新宋体" w:eastAsia="新宋体" w:hAnsi="新宋体"/>
                <w:snapToGrid w:val="0"/>
                <w:color w:val="000000"/>
                <w:kern w:val="0"/>
                <w:szCs w:val="21"/>
              </w:rPr>
            </w:pPr>
          </w:p>
        </w:tc>
        <w:tc>
          <w:tcPr>
            <w:tcW w:w="8334" w:type="dxa"/>
            <w:tcBorders>
              <w:top w:val="single" w:sz="4" w:space="0" w:color="auto"/>
              <w:left w:val="single" w:sz="4" w:space="0" w:color="auto"/>
              <w:bottom w:val="single" w:sz="4" w:space="0" w:color="auto"/>
              <w:right w:val="single" w:sz="4" w:space="0" w:color="auto"/>
            </w:tcBorders>
            <w:vAlign w:val="center"/>
          </w:tcPr>
          <w:p w:rsidR="002465CF" w:rsidRPr="00CC3DAE" w:rsidRDefault="002465CF" w:rsidP="0095608F">
            <w:pPr>
              <w:widowControl/>
              <w:spacing w:line="276" w:lineRule="auto"/>
              <w:textAlignment w:val="top"/>
              <w:rPr>
                <w:rFonts w:ascii="新宋体" w:eastAsia="新宋体" w:hAnsi="新宋体" w:cs="宋体"/>
                <w:color w:val="000000"/>
                <w:kern w:val="0"/>
                <w:szCs w:val="21"/>
              </w:rPr>
            </w:pPr>
            <w:r w:rsidRPr="00CC3DAE">
              <w:rPr>
                <w:rFonts w:ascii="新宋体" w:eastAsia="新宋体" w:hAnsi="新宋体" w:cs="宋体" w:hint="eastAsia"/>
                <w:color w:val="000000"/>
                <w:kern w:val="0"/>
                <w:szCs w:val="21"/>
              </w:rPr>
              <w:t>蓄电池间接线板、终端接头应选择导电性能优良的材料，并具有防腐蚀措施。蓄电池槽、盖、应具有阻燃性，阻燃等级不低于UL94 V-0，提供中国泰尔实验室的检验报告及官网公布的彩页证明</w:t>
            </w:r>
            <w:r w:rsidRPr="00CC3DAE">
              <w:rPr>
                <w:rFonts w:ascii="新宋体" w:eastAsia="新宋体" w:hAnsi="新宋体" w:cs="宋体"/>
                <w:color w:val="000000"/>
                <w:kern w:val="0"/>
                <w:szCs w:val="21"/>
              </w:rPr>
              <w:t>。</w:t>
            </w:r>
          </w:p>
        </w:tc>
      </w:tr>
      <w:tr w:rsidR="002465CF" w:rsidRPr="00CC3DAE" w:rsidTr="0095608F">
        <w:trPr>
          <w:trHeight w:val="545"/>
          <w:jc w:val="center"/>
        </w:trPr>
        <w:tc>
          <w:tcPr>
            <w:tcW w:w="1196" w:type="dxa"/>
            <w:vMerge/>
            <w:tcBorders>
              <w:left w:val="single" w:sz="4" w:space="0" w:color="auto"/>
              <w:right w:val="single" w:sz="4" w:space="0" w:color="auto"/>
            </w:tcBorders>
            <w:vAlign w:val="center"/>
          </w:tcPr>
          <w:p w:rsidR="002465CF" w:rsidRPr="00CC3DAE" w:rsidRDefault="002465CF" w:rsidP="0095608F">
            <w:pPr>
              <w:spacing w:line="276" w:lineRule="auto"/>
              <w:rPr>
                <w:rFonts w:ascii="新宋体" w:eastAsia="新宋体" w:hAnsi="新宋体"/>
                <w:snapToGrid w:val="0"/>
                <w:color w:val="000000"/>
                <w:kern w:val="0"/>
                <w:szCs w:val="21"/>
              </w:rPr>
            </w:pPr>
          </w:p>
        </w:tc>
        <w:tc>
          <w:tcPr>
            <w:tcW w:w="8334" w:type="dxa"/>
            <w:tcBorders>
              <w:top w:val="single" w:sz="4" w:space="0" w:color="auto"/>
              <w:left w:val="single" w:sz="4" w:space="0" w:color="auto"/>
              <w:bottom w:val="single" w:sz="4" w:space="0" w:color="auto"/>
              <w:right w:val="single" w:sz="4" w:space="0" w:color="auto"/>
            </w:tcBorders>
            <w:vAlign w:val="center"/>
          </w:tcPr>
          <w:p w:rsidR="002465CF" w:rsidRPr="00CC3DAE" w:rsidRDefault="002465CF" w:rsidP="0095608F">
            <w:pPr>
              <w:widowControl/>
              <w:spacing w:line="276" w:lineRule="auto"/>
              <w:textAlignment w:val="top"/>
              <w:rPr>
                <w:rFonts w:ascii="新宋体" w:eastAsia="新宋体" w:hAnsi="新宋体" w:cs="宋体"/>
                <w:color w:val="000000"/>
                <w:kern w:val="0"/>
                <w:szCs w:val="21"/>
              </w:rPr>
            </w:pPr>
            <w:r w:rsidRPr="00CC3DAE">
              <w:rPr>
                <w:rFonts w:ascii="新宋体" w:eastAsia="新宋体" w:hAnsi="新宋体" w:cs="宋体" w:hint="eastAsia"/>
                <w:color w:val="000000"/>
                <w:kern w:val="0"/>
                <w:szCs w:val="21"/>
              </w:rPr>
              <w:t>经受5次短路循环</w:t>
            </w:r>
            <w:r w:rsidRPr="00CC3DAE">
              <w:rPr>
                <w:rFonts w:ascii="新宋体" w:eastAsia="新宋体" w:hAnsi="新宋体" w:cs="宋体"/>
                <w:color w:val="000000"/>
                <w:kern w:val="0"/>
                <w:szCs w:val="21"/>
              </w:rPr>
              <w:t>后放电量不小于</w:t>
            </w:r>
            <w:r w:rsidRPr="00CC3DAE">
              <w:rPr>
                <w:rFonts w:ascii="新宋体" w:eastAsia="新宋体" w:hAnsi="新宋体" w:cs="宋体" w:hint="eastAsia"/>
                <w:color w:val="000000"/>
                <w:kern w:val="0"/>
                <w:szCs w:val="21"/>
              </w:rPr>
              <w:t>94</w:t>
            </w:r>
            <w:r w:rsidRPr="00CC3DAE">
              <w:rPr>
                <w:rFonts w:ascii="新宋体" w:eastAsia="新宋体" w:hAnsi="新宋体" w:cs="宋体"/>
                <w:color w:val="000000"/>
                <w:kern w:val="0"/>
                <w:szCs w:val="21"/>
              </w:rPr>
              <w:t>%。</w:t>
            </w:r>
            <w:r w:rsidRPr="00CC3DAE">
              <w:rPr>
                <w:rFonts w:ascii="新宋体" w:eastAsia="新宋体" w:hAnsi="新宋体" w:cs="宋体" w:hint="eastAsia"/>
                <w:color w:val="000000"/>
                <w:kern w:val="0"/>
                <w:szCs w:val="21"/>
              </w:rPr>
              <w:t>提供中国泰尔实验室的检验报告证明</w:t>
            </w:r>
            <w:r w:rsidRPr="00CC3DAE">
              <w:rPr>
                <w:rFonts w:ascii="新宋体" w:eastAsia="新宋体" w:hAnsi="新宋体" w:cs="宋体"/>
                <w:color w:val="000000"/>
                <w:kern w:val="0"/>
                <w:szCs w:val="21"/>
              </w:rPr>
              <w:t>。</w:t>
            </w:r>
          </w:p>
        </w:tc>
      </w:tr>
      <w:tr w:rsidR="002465CF" w:rsidRPr="00CC3DAE" w:rsidTr="0095608F">
        <w:trPr>
          <w:trHeight w:val="545"/>
          <w:jc w:val="center"/>
        </w:trPr>
        <w:tc>
          <w:tcPr>
            <w:tcW w:w="1196" w:type="dxa"/>
            <w:vMerge/>
            <w:tcBorders>
              <w:left w:val="single" w:sz="4" w:space="0" w:color="auto"/>
              <w:right w:val="single" w:sz="4" w:space="0" w:color="auto"/>
            </w:tcBorders>
            <w:vAlign w:val="center"/>
          </w:tcPr>
          <w:p w:rsidR="002465CF" w:rsidRPr="00CC3DAE" w:rsidRDefault="002465CF" w:rsidP="0095608F">
            <w:pPr>
              <w:spacing w:line="276" w:lineRule="auto"/>
              <w:rPr>
                <w:rFonts w:ascii="新宋体" w:eastAsia="新宋体" w:hAnsi="新宋体"/>
                <w:snapToGrid w:val="0"/>
                <w:color w:val="000000"/>
                <w:kern w:val="0"/>
                <w:szCs w:val="21"/>
              </w:rPr>
            </w:pPr>
          </w:p>
        </w:tc>
        <w:tc>
          <w:tcPr>
            <w:tcW w:w="8334" w:type="dxa"/>
            <w:tcBorders>
              <w:top w:val="single" w:sz="4" w:space="0" w:color="auto"/>
              <w:left w:val="single" w:sz="4" w:space="0" w:color="auto"/>
              <w:bottom w:val="single" w:sz="4" w:space="0" w:color="auto"/>
              <w:right w:val="single" w:sz="4" w:space="0" w:color="auto"/>
            </w:tcBorders>
            <w:vAlign w:val="center"/>
          </w:tcPr>
          <w:p w:rsidR="002465CF" w:rsidRPr="00CC3DAE" w:rsidRDefault="002465CF" w:rsidP="0095608F">
            <w:pPr>
              <w:widowControl/>
              <w:spacing w:line="276" w:lineRule="auto"/>
              <w:textAlignment w:val="top"/>
              <w:rPr>
                <w:rFonts w:ascii="新宋体" w:eastAsia="新宋体" w:hAnsi="新宋体" w:cs="宋体"/>
                <w:color w:val="000000"/>
                <w:kern w:val="0"/>
                <w:szCs w:val="21"/>
              </w:rPr>
            </w:pPr>
            <w:r w:rsidRPr="00CC3DAE">
              <w:rPr>
                <w:rFonts w:ascii="新宋体" w:eastAsia="新宋体" w:hAnsi="新宋体" w:cs="宋体" w:hint="eastAsia"/>
                <w:color w:val="000000"/>
                <w:kern w:val="0"/>
                <w:szCs w:val="21"/>
              </w:rPr>
              <w:t>以2.0</w:t>
            </w:r>
            <w:r w:rsidRPr="00CC3DAE">
              <w:rPr>
                <w:rFonts w:ascii="新宋体" w:eastAsia="新宋体" w:hAnsi="新宋体" w:cs="宋体"/>
                <w:color w:val="000000"/>
                <w:kern w:val="0"/>
                <w:szCs w:val="21"/>
              </w:rPr>
              <w:t>I10</w:t>
            </w:r>
            <w:r w:rsidRPr="00CC3DAE">
              <w:rPr>
                <w:rFonts w:ascii="新宋体" w:eastAsia="新宋体" w:hAnsi="新宋体" w:cs="宋体" w:hint="eastAsia"/>
                <w:color w:val="000000"/>
                <w:kern w:val="0"/>
                <w:szCs w:val="21"/>
              </w:rPr>
              <w:t>的</w:t>
            </w:r>
            <w:r w:rsidRPr="00CC3DAE">
              <w:rPr>
                <w:rFonts w:ascii="新宋体" w:eastAsia="新宋体" w:hAnsi="新宋体" w:cs="宋体"/>
                <w:color w:val="000000"/>
                <w:kern w:val="0"/>
                <w:szCs w:val="21"/>
              </w:rPr>
              <w:t>电流，</w:t>
            </w:r>
            <w:r w:rsidRPr="00CC3DAE">
              <w:rPr>
                <w:rFonts w:ascii="新宋体" w:eastAsia="新宋体" w:hAnsi="新宋体" w:cs="宋体" w:hint="eastAsia"/>
                <w:color w:val="000000"/>
                <w:kern w:val="0"/>
                <w:szCs w:val="21"/>
              </w:rPr>
              <w:t>2.29V</w:t>
            </w:r>
            <w:r w:rsidRPr="00CC3DAE">
              <w:rPr>
                <w:rFonts w:ascii="新宋体" w:eastAsia="新宋体" w:hAnsi="新宋体" w:cs="宋体"/>
                <w:color w:val="000000"/>
                <w:kern w:val="0"/>
                <w:szCs w:val="21"/>
              </w:rPr>
              <w:t>/</w:t>
            </w:r>
            <w:r w:rsidRPr="00CC3DAE">
              <w:rPr>
                <w:rFonts w:ascii="新宋体" w:eastAsia="新宋体" w:hAnsi="新宋体" w:cs="宋体" w:hint="eastAsia"/>
                <w:color w:val="000000"/>
                <w:kern w:val="0"/>
                <w:szCs w:val="21"/>
              </w:rPr>
              <w:t>单体电压充电24H后</w:t>
            </w:r>
            <w:r w:rsidRPr="00CC3DAE">
              <w:rPr>
                <w:rFonts w:ascii="新宋体" w:eastAsia="新宋体" w:hAnsi="新宋体" w:cs="宋体"/>
                <w:color w:val="000000"/>
                <w:kern w:val="0"/>
                <w:szCs w:val="21"/>
              </w:rPr>
              <w:t>，</w:t>
            </w:r>
            <w:r w:rsidRPr="00CC3DAE">
              <w:rPr>
                <w:rFonts w:ascii="新宋体" w:eastAsia="新宋体" w:hAnsi="新宋体" w:cs="宋体" w:hint="eastAsia"/>
                <w:color w:val="000000"/>
                <w:kern w:val="0"/>
                <w:szCs w:val="21"/>
              </w:rPr>
              <w:t>记录</w:t>
            </w:r>
            <w:r w:rsidRPr="00CC3DAE">
              <w:rPr>
                <w:rFonts w:ascii="新宋体" w:eastAsia="新宋体" w:hAnsi="新宋体" w:cs="宋体"/>
                <w:color w:val="000000"/>
                <w:kern w:val="0"/>
                <w:szCs w:val="21"/>
              </w:rPr>
              <w:t>充电</w:t>
            </w:r>
            <w:r w:rsidRPr="00CC3DAE">
              <w:rPr>
                <w:rFonts w:ascii="新宋体" w:eastAsia="新宋体" w:hAnsi="新宋体" w:cs="宋体" w:hint="eastAsia"/>
                <w:color w:val="000000"/>
                <w:kern w:val="0"/>
                <w:szCs w:val="21"/>
              </w:rPr>
              <w:t>容量</w:t>
            </w:r>
            <w:r w:rsidRPr="00CC3DAE">
              <w:rPr>
                <w:rFonts w:ascii="新宋体" w:eastAsia="新宋体" w:hAnsi="新宋体" w:cs="宋体"/>
                <w:color w:val="000000"/>
                <w:kern w:val="0"/>
                <w:szCs w:val="21"/>
              </w:rPr>
              <w:t>，</w:t>
            </w:r>
            <w:r w:rsidRPr="00CC3DAE">
              <w:rPr>
                <w:rFonts w:ascii="新宋体" w:eastAsia="新宋体" w:hAnsi="新宋体" w:cs="宋体" w:hint="eastAsia"/>
                <w:color w:val="000000"/>
                <w:kern w:val="0"/>
                <w:szCs w:val="21"/>
              </w:rPr>
              <w:t>以</w:t>
            </w:r>
            <w:r w:rsidRPr="00CC3DAE">
              <w:rPr>
                <w:rFonts w:ascii="新宋体" w:eastAsia="新宋体" w:hAnsi="新宋体" w:cs="宋体"/>
                <w:color w:val="000000"/>
                <w:kern w:val="0"/>
                <w:szCs w:val="21"/>
              </w:rPr>
              <w:t>1</w:t>
            </w:r>
            <w:r w:rsidRPr="00CC3DAE">
              <w:rPr>
                <w:rFonts w:ascii="新宋体" w:eastAsia="新宋体" w:hAnsi="新宋体" w:cs="宋体" w:hint="eastAsia"/>
                <w:color w:val="000000"/>
                <w:kern w:val="0"/>
                <w:szCs w:val="21"/>
              </w:rPr>
              <w:t>.0</w:t>
            </w:r>
            <w:r w:rsidRPr="00CC3DAE">
              <w:rPr>
                <w:rFonts w:ascii="新宋体" w:eastAsia="新宋体" w:hAnsi="新宋体" w:cs="宋体"/>
                <w:color w:val="000000"/>
                <w:kern w:val="0"/>
                <w:szCs w:val="21"/>
              </w:rPr>
              <w:t>I10</w:t>
            </w:r>
            <w:r w:rsidRPr="00CC3DAE">
              <w:rPr>
                <w:rFonts w:ascii="新宋体" w:eastAsia="新宋体" w:hAnsi="新宋体" w:cs="宋体" w:hint="eastAsia"/>
                <w:color w:val="000000"/>
                <w:kern w:val="0"/>
                <w:szCs w:val="21"/>
              </w:rPr>
              <w:t>的</w:t>
            </w:r>
            <w:r w:rsidRPr="00CC3DAE">
              <w:rPr>
                <w:rFonts w:ascii="新宋体" w:eastAsia="新宋体" w:hAnsi="新宋体" w:cs="宋体"/>
                <w:color w:val="000000"/>
                <w:kern w:val="0"/>
                <w:szCs w:val="21"/>
              </w:rPr>
              <w:t>电流</w:t>
            </w:r>
            <w:r w:rsidRPr="00CC3DAE">
              <w:rPr>
                <w:rFonts w:ascii="新宋体" w:eastAsia="新宋体" w:hAnsi="新宋体" w:cs="宋体" w:hint="eastAsia"/>
                <w:color w:val="000000"/>
                <w:kern w:val="0"/>
                <w:szCs w:val="21"/>
              </w:rPr>
              <w:t>放电</w:t>
            </w:r>
            <w:r w:rsidRPr="00CC3DAE">
              <w:rPr>
                <w:rFonts w:ascii="新宋体" w:eastAsia="新宋体" w:hAnsi="新宋体" w:cs="宋体"/>
                <w:color w:val="000000"/>
                <w:kern w:val="0"/>
                <w:szCs w:val="21"/>
              </w:rPr>
              <w:t>只</w:t>
            </w:r>
            <w:r w:rsidRPr="00CC3DAE">
              <w:rPr>
                <w:rFonts w:ascii="新宋体" w:eastAsia="新宋体" w:hAnsi="新宋体" w:cs="宋体" w:hint="eastAsia"/>
                <w:color w:val="000000"/>
                <w:kern w:val="0"/>
                <w:szCs w:val="21"/>
              </w:rPr>
              <w:t>10.8V，其放电</w:t>
            </w:r>
            <w:r w:rsidRPr="00CC3DAE">
              <w:rPr>
                <w:rFonts w:ascii="新宋体" w:eastAsia="新宋体" w:hAnsi="新宋体" w:cs="宋体"/>
                <w:color w:val="000000"/>
                <w:kern w:val="0"/>
                <w:szCs w:val="21"/>
              </w:rPr>
              <w:t>容量与</w:t>
            </w:r>
            <w:r w:rsidRPr="00CC3DAE">
              <w:rPr>
                <w:rFonts w:ascii="新宋体" w:eastAsia="新宋体" w:hAnsi="新宋体" w:cs="宋体" w:hint="eastAsia"/>
                <w:color w:val="000000"/>
                <w:kern w:val="0"/>
                <w:szCs w:val="21"/>
              </w:rPr>
              <w:t>充电</w:t>
            </w:r>
            <w:r w:rsidRPr="00CC3DAE">
              <w:rPr>
                <w:rFonts w:ascii="新宋体" w:eastAsia="新宋体" w:hAnsi="新宋体" w:cs="宋体"/>
                <w:color w:val="000000"/>
                <w:kern w:val="0"/>
                <w:szCs w:val="21"/>
              </w:rPr>
              <w:t>容量之比</w:t>
            </w:r>
            <w:r w:rsidRPr="00CC3DAE">
              <w:rPr>
                <w:rFonts w:ascii="新宋体" w:eastAsia="新宋体" w:hAnsi="新宋体" w:cs="宋体" w:hint="eastAsia"/>
                <w:color w:val="000000"/>
                <w:kern w:val="0"/>
                <w:szCs w:val="21"/>
              </w:rPr>
              <w:t>大于98</w:t>
            </w:r>
            <w:r w:rsidRPr="00CC3DAE">
              <w:rPr>
                <w:rFonts w:ascii="新宋体" w:eastAsia="新宋体" w:hAnsi="新宋体" w:cs="宋体"/>
                <w:color w:val="000000"/>
                <w:kern w:val="0"/>
                <w:szCs w:val="21"/>
              </w:rPr>
              <w:t>%。</w:t>
            </w:r>
            <w:r w:rsidRPr="00CC3DAE">
              <w:rPr>
                <w:rFonts w:ascii="新宋体" w:eastAsia="新宋体" w:hAnsi="新宋体" w:cs="宋体" w:hint="eastAsia"/>
                <w:color w:val="000000"/>
                <w:kern w:val="0"/>
                <w:szCs w:val="21"/>
              </w:rPr>
              <w:t>提供中国泰尔实验室的检验报告证明</w:t>
            </w:r>
            <w:r w:rsidRPr="00CC3DAE">
              <w:rPr>
                <w:rFonts w:ascii="新宋体" w:eastAsia="新宋体" w:hAnsi="新宋体" w:cs="宋体"/>
                <w:color w:val="000000"/>
                <w:kern w:val="0"/>
                <w:szCs w:val="21"/>
              </w:rPr>
              <w:t>。</w:t>
            </w:r>
          </w:p>
        </w:tc>
      </w:tr>
      <w:tr w:rsidR="002465CF" w:rsidRPr="00CC3DAE" w:rsidTr="0095608F">
        <w:trPr>
          <w:trHeight w:val="545"/>
          <w:jc w:val="center"/>
        </w:trPr>
        <w:tc>
          <w:tcPr>
            <w:tcW w:w="1196" w:type="dxa"/>
            <w:vMerge/>
            <w:tcBorders>
              <w:left w:val="single" w:sz="4" w:space="0" w:color="auto"/>
              <w:right w:val="single" w:sz="4" w:space="0" w:color="auto"/>
            </w:tcBorders>
            <w:vAlign w:val="center"/>
          </w:tcPr>
          <w:p w:rsidR="002465CF" w:rsidRPr="00CC3DAE" w:rsidRDefault="002465CF" w:rsidP="0095608F">
            <w:pPr>
              <w:spacing w:line="276" w:lineRule="auto"/>
              <w:rPr>
                <w:rFonts w:ascii="新宋体" w:eastAsia="新宋体" w:hAnsi="新宋体"/>
                <w:snapToGrid w:val="0"/>
                <w:color w:val="000000"/>
                <w:kern w:val="0"/>
                <w:szCs w:val="21"/>
              </w:rPr>
            </w:pPr>
          </w:p>
        </w:tc>
        <w:tc>
          <w:tcPr>
            <w:tcW w:w="8334" w:type="dxa"/>
            <w:tcBorders>
              <w:top w:val="single" w:sz="4" w:space="0" w:color="auto"/>
              <w:left w:val="single" w:sz="4" w:space="0" w:color="auto"/>
              <w:bottom w:val="single" w:sz="4" w:space="0" w:color="auto"/>
              <w:right w:val="single" w:sz="4" w:space="0" w:color="auto"/>
            </w:tcBorders>
            <w:vAlign w:val="center"/>
          </w:tcPr>
          <w:p w:rsidR="002465CF" w:rsidRPr="00CC3DAE" w:rsidRDefault="002465CF" w:rsidP="0095608F">
            <w:pPr>
              <w:widowControl/>
              <w:spacing w:line="276" w:lineRule="auto"/>
              <w:textAlignment w:val="top"/>
              <w:rPr>
                <w:rFonts w:ascii="新宋体" w:eastAsia="新宋体" w:hAnsi="新宋体" w:cs="宋体"/>
                <w:color w:val="000000"/>
                <w:kern w:val="0"/>
                <w:szCs w:val="21"/>
              </w:rPr>
            </w:pPr>
            <w:r w:rsidRPr="00CC3DAE">
              <w:rPr>
                <w:rFonts w:ascii="新宋体" w:eastAsia="新宋体" w:hAnsi="新宋体" w:cs="宋体" w:hint="eastAsia"/>
                <w:color w:val="000000"/>
                <w:kern w:val="0"/>
                <w:szCs w:val="21"/>
              </w:rPr>
              <w:t>同一组蓄电池中任意两个电池的开路电压差不应超过8</w:t>
            </w:r>
            <w:r w:rsidRPr="00CC3DAE">
              <w:rPr>
                <w:rFonts w:ascii="新宋体" w:eastAsia="新宋体" w:hAnsi="新宋体" w:cs="宋体"/>
                <w:color w:val="000000"/>
                <w:kern w:val="0"/>
                <w:szCs w:val="21"/>
              </w:rPr>
              <w:t>7</w:t>
            </w:r>
            <w:r w:rsidRPr="00CC3DAE">
              <w:rPr>
                <w:rFonts w:ascii="新宋体" w:eastAsia="新宋体" w:hAnsi="新宋体" w:cs="宋体" w:hint="eastAsia"/>
                <w:color w:val="000000"/>
                <w:kern w:val="0"/>
                <w:szCs w:val="21"/>
              </w:rPr>
              <w:t>mV。提供中国泰尔实验室的检验报告证明</w:t>
            </w:r>
            <w:r w:rsidRPr="00CC3DAE">
              <w:rPr>
                <w:rFonts w:ascii="新宋体" w:eastAsia="新宋体" w:hAnsi="新宋体" w:cs="宋体"/>
                <w:color w:val="000000"/>
                <w:kern w:val="0"/>
                <w:szCs w:val="21"/>
              </w:rPr>
              <w:t>。</w:t>
            </w:r>
          </w:p>
        </w:tc>
      </w:tr>
      <w:tr w:rsidR="002465CF" w:rsidRPr="00CC3DAE" w:rsidTr="0095608F">
        <w:trPr>
          <w:trHeight w:val="545"/>
          <w:jc w:val="center"/>
        </w:trPr>
        <w:tc>
          <w:tcPr>
            <w:tcW w:w="1196" w:type="dxa"/>
            <w:vMerge/>
            <w:tcBorders>
              <w:left w:val="single" w:sz="4" w:space="0" w:color="auto"/>
              <w:right w:val="single" w:sz="4" w:space="0" w:color="auto"/>
            </w:tcBorders>
            <w:vAlign w:val="center"/>
          </w:tcPr>
          <w:p w:rsidR="002465CF" w:rsidRPr="00CC3DAE" w:rsidRDefault="002465CF" w:rsidP="0095608F">
            <w:pPr>
              <w:spacing w:line="276" w:lineRule="auto"/>
              <w:rPr>
                <w:rFonts w:ascii="新宋体" w:eastAsia="新宋体" w:hAnsi="新宋体"/>
                <w:snapToGrid w:val="0"/>
                <w:color w:val="000000"/>
                <w:kern w:val="0"/>
                <w:szCs w:val="21"/>
              </w:rPr>
            </w:pPr>
          </w:p>
        </w:tc>
        <w:tc>
          <w:tcPr>
            <w:tcW w:w="8334" w:type="dxa"/>
            <w:tcBorders>
              <w:top w:val="single" w:sz="4" w:space="0" w:color="auto"/>
              <w:left w:val="single" w:sz="4" w:space="0" w:color="auto"/>
              <w:bottom w:val="single" w:sz="4" w:space="0" w:color="auto"/>
              <w:right w:val="single" w:sz="4" w:space="0" w:color="auto"/>
            </w:tcBorders>
            <w:vAlign w:val="center"/>
          </w:tcPr>
          <w:p w:rsidR="002465CF" w:rsidRPr="00CC3DAE" w:rsidRDefault="002465CF" w:rsidP="0095608F">
            <w:pPr>
              <w:widowControl/>
              <w:spacing w:line="276" w:lineRule="auto"/>
              <w:textAlignment w:val="top"/>
              <w:rPr>
                <w:rFonts w:ascii="新宋体" w:eastAsia="新宋体" w:hAnsi="新宋体" w:cs="宋体"/>
                <w:color w:val="000000"/>
                <w:kern w:val="0"/>
                <w:szCs w:val="21"/>
              </w:rPr>
            </w:pPr>
            <w:r w:rsidRPr="00CC3DAE">
              <w:rPr>
                <w:rFonts w:ascii="新宋体" w:eastAsia="新宋体" w:hAnsi="新宋体" w:cs="宋体" w:hint="eastAsia"/>
                <w:color w:val="000000"/>
                <w:kern w:val="0"/>
                <w:szCs w:val="21"/>
              </w:rPr>
              <w:t>蓄电池使用期间安全阀应能自动开启闭合，闭阀压力应在3-30kPa范围内，开阀压力应在10-35kPa范围内。提供中国泰尔实验室的检验报告证明</w:t>
            </w:r>
            <w:r w:rsidRPr="00CC3DAE">
              <w:rPr>
                <w:rFonts w:ascii="新宋体" w:eastAsia="新宋体" w:hAnsi="新宋体" w:cs="宋体"/>
                <w:color w:val="000000"/>
                <w:kern w:val="0"/>
                <w:szCs w:val="21"/>
              </w:rPr>
              <w:t>。</w:t>
            </w:r>
          </w:p>
        </w:tc>
      </w:tr>
      <w:tr w:rsidR="002465CF" w:rsidRPr="00CC3DAE" w:rsidTr="0095608F">
        <w:trPr>
          <w:trHeight w:val="545"/>
          <w:jc w:val="center"/>
        </w:trPr>
        <w:tc>
          <w:tcPr>
            <w:tcW w:w="1196" w:type="dxa"/>
            <w:vMerge/>
            <w:tcBorders>
              <w:left w:val="single" w:sz="4" w:space="0" w:color="auto"/>
              <w:right w:val="single" w:sz="4" w:space="0" w:color="auto"/>
            </w:tcBorders>
            <w:vAlign w:val="center"/>
          </w:tcPr>
          <w:p w:rsidR="002465CF" w:rsidRPr="00CC3DAE" w:rsidRDefault="002465CF" w:rsidP="0095608F">
            <w:pPr>
              <w:spacing w:line="276" w:lineRule="auto"/>
              <w:rPr>
                <w:rFonts w:ascii="新宋体" w:eastAsia="新宋体" w:hAnsi="新宋体"/>
                <w:snapToGrid w:val="0"/>
                <w:color w:val="000000"/>
                <w:kern w:val="0"/>
                <w:szCs w:val="21"/>
              </w:rPr>
            </w:pPr>
          </w:p>
        </w:tc>
        <w:tc>
          <w:tcPr>
            <w:tcW w:w="8334" w:type="dxa"/>
            <w:tcBorders>
              <w:top w:val="single" w:sz="4" w:space="0" w:color="auto"/>
              <w:left w:val="single" w:sz="4" w:space="0" w:color="auto"/>
              <w:bottom w:val="single" w:sz="4" w:space="0" w:color="auto"/>
              <w:right w:val="single" w:sz="4" w:space="0" w:color="auto"/>
            </w:tcBorders>
            <w:vAlign w:val="center"/>
          </w:tcPr>
          <w:p w:rsidR="002465CF" w:rsidRPr="00CC3DAE" w:rsidRDefault="002465CF" w:rsidP="0095608F">
            <w:pPr>
              <w:widowControl/>
              <w:spacing w:line="276" w:lineRule="auto"/>
              <w:textAlignment w:val="top"/>
              <w:rPr>
                <w:rFonts w:ascii="新宋体" w:eastAsia="新宋体" w:hAnsi="新宋体" w:cs="宋体"/>
                <w:color w:val="000000"/>
                <w:kern w:val="0"/>
                <w:szCs w:val="21"/>
              </w:rPr>
            </w:pPr>
            <w:r w:rsidRPr="00CC3DAE">
              <w:rPr>
                <w:rFonts w:ascii="新宋体" w:eastAsia="新宋体" w:hAnsi="新宋体" w:cs="宋体" w:hint="eastAsia"/>
                <w:color w:val="000000"/>
                <w:kern w:val="0"/>
                <w:szCs w:val="21"/>
              </w:rPr>
              <w:t>两个蓄电池之间连接条的压降，3I10时不超过5mV。提供中国泰尔实验室的检验报告证明</w:t>
            </w:r>
            <w:r w:rsidRPr="00CC3DAE">
              <w:rPr>
                <w:rFonts w:ascii="新宋体" w:eastAsia="新宋体" w:hAnsi="新宋体" w:cs="宋体"/>
                <w:color w:val="000000"/>
                <w:kern w:val="0"/>
                <w:szCs w:val="21"/>
              </w:rPr>
              <w:t>。</w:t>
            </w:r>
          </w:p>
        </w:tc>
      </w:tr>
      <w:tr w:rsidR="002465CF" w:rsidRPr="00CC3DAE" w:rsidTr="0095608F">
        <w:trPr>
          <w:trHeight w:val="545"/>
          <w:jc w:val="center"/>
        </w:trPr>
        <w:tc>
          <w:tcPr>
            <w:tcW w:w="1196" w:type="dxa"/>
            <w:vMerge/>
            <w:tcBorders>
              <w:left w:val="single" w:sz="4" w:space="0" w:color="auto"/>
              <w:right w:val="single" w:sz="4" w:space="0" w:color="auto"/>
            </w:tcBorders>
            <w:vAlign w:val="center"/>
          </w:tcPr>
          <w:p w:rsidR="002465CF" w:rsidRPr="00CC3DAE" w:rsidRDefault="002465CF" w:rsidP="0095608F">
            <w:pPr>
              <w:spacing w:line="276" w:lineRule="auto"/>
              <w:rPr>
                <w:rFonts w:ascii="新宋体" w:eastAsia="新宋体" w:hAnsi="新宋体"/>
                <w:snapToGrid w:val="0"/>
                <w:color w:val="000000"/>
                <w:kern w:val="0"/>
                <w:szCs w:val="21"/>
              </w:rPr>
            </w:pPr>
          </w:p>
        </w:tc>
        <w:tc>
          <w:tcPr>
            <w:tcW w:w="8334" w:type="dxa"/>
            <w:tcBorders>
              <w:top w:val="single" w:sz="4" w:space="0" w:color="auto"/>
              <w:left w:val="single" w:sz="4" w:space="0" w:color="auto"/>
              <w:bottom w:val="single" w:sz="4" w:space="0" w:color="auto"/>
              <w:right w:val="single" w:sz="4" w:space="0" w:color="auto"/>
            </w:tcBorders>
            <w:vAlign w:val="center"/>
          </w:tcPr>
          <w:p w:rsidR="002465CF" w:rsidRPr="00CC3DAE" w:rsidRDefault="002465CF" w:rsidP="0095608F">
            <w:pPr>
              <w:widowControl/>
              <w:spacing w:line="276" w:lineRule="auto"/>
              <w:textAlignment w:val="top"/>
              <w:rPr>
                <w:rFonts w:ascii="新宋体" w:eastAsia="新宋体" w:hAnsi="新宋体" w:cs="宋体"/>
                <w:color w:val="000000"/>
                <w:kern w:val="0"/>
                <w:szCs w:val="21"/>
              </w:rPr>
            </w:pPr>
            <w:r w:rsidRPr="00CC3DAE">
              <w:rPr>
                <w:rFonts w:ascii="新宋体" w:eastAsia="新宋体" w:hAnsi="新宋体" w:cs="宋体" w:hint="eastAsia"/>
                <w:color w:val="000000"/>
                <w:kern w:val="0"/>
                <w:szCs w:val="21"/>
              </w:rPr>
              <w:t>蓄电池封置</w:t>
            </w:r>
            <w:r w:rsidRPr="00CC3DAE">
              <w:rPr>
                <w:rFonts w:ascii="新宋体" w:eastAsia="新宋体" w:hAnsi="新宋体" w:cs="宋体"/>
                <w:color w:val="000000"/>
                <w:kern w:val="0"/>
                <w:szCs w:val="21"/>
              </w:rPr>
              <w:t>28</w:t>
            </w:r>
            <w:r w:rsidRPr="00CC3DAE">
              <w:rPr>
                <w:rFonts w:ascii="新宋体" w:eastAsia="新宋体" w:hAnsi="新宋体" w:cs="宋体" w:hint="eastAsia"/>
                <w:color w:val="000000"/>
                <w:kern w:val="0"/>
                <w:szCs w:val="21"/>
              </w:rPr>
              <w:t>天后，其荷电保持能力不低于</w:t>
            </w:r>
            <w:r w:rsidRPr="00CC3DAE">
              <w:rPr>
                <w:rFonts w:ascii="新宋体" w:eastAsia="新宋体" w:hAnsi="新宋体" w:cs="宋体"/>
                <w:color w:val="000000"/>
                <w:kern w:val="0"/>
                <w:szCs w:val="21"/>
              </w:rPr>
              <w:t>97</w:t>
            </w:r>
            <w:r w:rsidRPr="00CC3DAE">
              <w:rPr>
                <w:rFonts w:ascii="新宋体" w:eastAsia="新宋体" w:hAnsi="新宋体" w:cs="宋体" w:hint="eastAsia"/>
                <w:color w:val="000000"/>
                <w:kern w:val="0"/>
                <w:szCs w:val="21"/>
              </w:rPr>
              <w:t>%。提供中国泰尔实验室的检验报告证明</w:t>
            </w:r>
            <w:r w:rsidRPr="00CC3DAE">
              <w:rPr>
                <w:rFonts w:ascii="新宋体" w:eastAsia="新宋体" w:hAnsi="新宋体" w:cs="宋体"/>
                <w:color w:val="000000"/>
                <w:kern w:val="0"/>
                <w:szCs w:val="21"/>
              </w:rPr>
              <w:t>。</w:t>
            </w:r>
          </w:p>
        </w:tc>
      </w:tr>
      <w:tr w:rsidR="002465CF" w:rsidRPr="00CC3DAE" w:rsidTr="0095608F">
        <w:trPr>
          <w:trHeight w:val="545"/>
          <w:jc w:val="center"/>
        </w:trPr>
        <w:tc>
          <w:tcPr>
            <w:tcW w:w="1196" w:type="dxa"/>
            <w:vMerge/>
            <w:tcBorders>
              <w:left w:val="single" w:sz="4" w:space="0" w:color="auto"/>
              <w:right w:val="single" w:sz="4" w:space="0" w:color="auto"/>
            </w:tcBorders>
            <w:vAlign w:val="center"/>
          </w:tcPr>
          <w:p w:rsidR="002465CF" w:rsidRPr="00CC3DAE" w:rsidRDefault="002465CF" w:rsidP="0095608F">
            <w:pPr>
              <w:spacing w:line="276" w:lineRule="auto"/>
              <w:rPr>
                <w:rFonts w:ascii="新宋体" w:eastAsia="新宋体" w:hAnsi="新宋体"/>
                <w:snapToGrid w:val="0"/>
                <w:color w:val="000000"/>
                <w:kern w:val="0"/>
                <w:szCs w:val="21"/>
              </w:rPr>
            </w:pPr>
          </w:p>
        </w:tc>
        <w:tc>
          <w:tcPr>
            <w:tcW w:w="8334" w:type="dxa"/>
            <w:tcBorders>
              <w:top w:val="single" w:sz="4" w:space="0" w:color="auto"/>
              <w:left w:val="single" w:sz="4" w:space="0" w:color="auto"/>
              <w:bottom w:val="single" w:sz="4" w:space="0" w:color="auto"/>
              <w:right w:val="single" w:sz="4" w:space="0" w:color="auto"/>
            </w:tcBorders>
            <w:vAlign w:val="center"/>
          </w:tcPr>
          <w:p w:rsidR="002465CF" w:rsidRPr="00CC3DAE" w:rsidRDefault="002465CF" w:rsidP="0095608F">
            <w:pPr>
              <w:widowControl/>
              <w:spacing w:line="276" w:lineRule="auto"/>
              <w:textAlignment w:val="top"/>
              <w:rPr>
                <w:rFonts w:ascii="新宋体" w:eastAsia="新宋体" w:hAnsi="新宋体" w:cs="宋体"/>
                <w:color w:val="000000"/>
                <w:kern w:val="0"/>
                <w:szCs w:val="21"/>
              </w:rPr>
            </w:pPr>
            <w:r w:rsidRPr="00CC3DAE">
              <w:rPr>
                <w:rFonts w:ascii="新宋体" w:eastAsia="新宋体" w:hAnsi="新宋体" w:cs="宋体"/>
                <w:color w:val="000000"/>
                <w:kern w:val="0"/>
                <w:szCs w:val="21"/>
              </w:rPr>
              <w:t>投标电池关键零部件最少有</w:t>
            </w:r>
            <w:r w:rsidRPr="00CC3DAE">
              <w:rPr>
                <w:rFonts w:ascii="新宋体" w:eastAsia="新宋体" w:hAnsi="新宋体" w:cs="宋体" w:hint="eastAsia"/>
                <w:color w:val="000000"/>
                <w:kern w:val="0"/>
                <w:szCs w:val="21"/>
              </w:rPr>
              <w:t>一件是</w:t>
            </w:r>
            <w:r w:rsidRPr="00CC3DAE">
              <w:rPr>
                <w:rFonts w:ascii="新宋体" w:eastAsia="新宋体" w:hAnsi="新宋体" w:cs="宋体"/>
                <w:color w:val="000000"/>
                <w:kern w:val="0"/>
                <w:szCs w:val="21"/>
              </w:rPr>
              <w:t>电池原厂生产</w:t>
            </w:r>
            <w:r w:rsidRPr="00CC3DAE">
              <w:rPr>
                <w:rFonts w:ascii="新宋体" w:eastAsia="新宋体" w:hAnsi="新宋体" w:cs="宋体" w:hint="eastAsia"/>
                <w:color w:val="000000"/>
                <w:kern w:val="0"/>
                <w:szCs w:val="21"/>
              </w:rPr>
              <w:t>，</w:t>
            </w:r>
            <w:r w:rsidRPr="00CC3DAE">
              <w:rPr>
                <w:rFonts w:ascii="新宋体" w:eastAsia="新宋体" w:hAnsi="新宋体" w:cs="宋体"/>
                <w:color w:val="000000"/>
                <w:kern w:val="0"/>
                <w:szCs w:val="21"/>
              </w:rPr>
              <w:t>并</w:t>
            </w:r>
            <w:r w:rsidRPr="00CC3DAE">
              <w:rPr>
                <w:rFonts w:ascii="新宋体" w:eastAsia="新宋体" w:hAnsi="新宋体" w:cs="宋体" w:hint="eastAsia"/>
                <w:color w:val="000000"/>
                <w:kern w:val="0"/>
                <w:szCs w:val="21"/>
              </w:rPr>
              <w:t>提供提供中国泰尔实验室的检验报告</w:t>
            </w:r>
            <w:r w:rsidRPr="00CC3DAE">
              <w:rPr>
                <w:rFonts w:ascii="新宋体" w:eastAsia="新宋体" w:hAnsi="新宋体" w:cs="宋体" w:hint="eastAsia"/>
                <w:color w:val="000000"/>
                <w:kern w:val="0"/>
                <w:szCs w:val="21"/>
              </w:rPr>
              <w:lastRenderedPageBreak/>
              <w:t>证明</w:t>
            </w:r>
            <w:r w:rsidRPr="00CC3DAE">
              <w:rPr>
                <w:rFonts w:ascii="新宋体" w:eastAsia="新宋体" w:hAnsi="新宋体" w:cs="宋体"/>
                <w:color w:val="000000"/>
                <w:kern w:val="0"/>
                <w:szCs w:val="21"/>
              </w:rPr>
              <w:t>。</w:t>
            </w:r>
          </w:p>
        </w:tc>
      </w:tr>
      <w:tr w:rsidR="002465CF" w:rsidRPr="00CC3DAE" w:rsidTr="0095608F">
        <w:trPr>
          <w:trHeight w:val="545"/>
          <w:jc w:val="center"/>
        </w:trPr>
        <w:tc>
          <w:tcPr>
            <w:tcW w:w="1196" w:type="dxa"/>
            <w:vMerge/>
            <w:tcBorders>
              <w:left w:val="single" w:sz="4" w:space="0" w:color="auto"/>
              <w:right w:val="single" w:sz="4" w:space="0" w:color="auto"/>
            </w:tcBorders>
            <w:vAlign w:val="center"/>
          </w:tcPr>
          <w:p w:rsidR="002465CF" w:rsidRPr="00CC3DAE" w:rsidRDefault="002465CF" w:rsidP="0095608F">
            <w:pPr>
              <w:spacing w:line="276" w:lineRule="auto"/>
              <w:rPr>
                <w:rFonts w:ascii="新宋体" w:eastAsia="新宋体" w:hAnsi="新宋体"/>
                <w:snapToGrid w:val="0"/>
                <w:color w:val="000000"/>
                <w:kern w:val="0"/>
                <w:szCs w:val="21"/>
              </w:rPr>
            </w:pPr>
          </w:p>
        </w:tc>
        <w:tc>
          <w:tcPr>
            <w:tcW w:w="8334" w:type="dxa"/>
            <w:tcBorders>
              <w:top w:val="single" w:sz="4" w:space="0" w:color="auto"/>
              <w:left w:val="single" w:sz="4" w:space="0" w:color="auto"/>
              <w:bottom w:val="single" w:sz="4" w:space="0" w:color="auto"/>
              <w:right w:val="single" w:sz="4" w:space="0" w:color="auto"/>
            </w:tcBorders>
            <w:vAlign w:val="center"/>
          </w:tcPr>
          <w:p w:rsidR="002465CF" w:rsidRPr="00CC3DAE" w:rsidRDefault="002465CF" w:rsidP="0095608F">
            <w:pPr>
              <w:widowControl/>
              <w:spacing w:line="276" w:lineRule="auto"/>
              <w:textAlignment w:val="top"/>
              <w:rPr>
                <w:rFonts w:ascii="新宋体" w:eastAsia="新宋体" w:hAnsi="新宋体" w:cs="宋体"/>
                <w:color w:val="000000"/>
                <w:kern w:val="0"/>
                <w:szCs w:val="21"/>
              </w:rPr>
            </w:pPr>
            <w:r w:rsidRPr="00CC3DAE">
              <w:rPr>
                <w:rFonts w:ascii="新宋体" w:eastAsia="新宋体" w:hAnsi="新宋体" w:cs="宋体" w:hint="eastAsia"/>
                <w:color w:val="000000"/>
                <w:kern w:val="0"/>
                <w:szCs w:val="21"/>
              </w:rPr>
              <w:t>气密性</w:t>
            </w:r>
            <w:r w:rsidRPr="00CC3DAE">
              <w:rPr>
                <w:rFonts w:ascii="新宋体" w:eastAsia="新宋体" w:hAnsi="新宋体" w:cs="宋体"/>
                <w:color w:val="000000"/>
                <w:kern w:val="0"/>
                <w:szCs w:val="21"/>
              </w:rPr>
              <w:t>：</w:t>
            </w:r>
            <w:r w:rsidRPr="00CC3DAE">
              <w:rPr>
                <w:rFonts w:ascii="新宋体" w:eastAsia="新宋体" w:hAnsi="新宋体" w:cs="宋体" w:hint="eastAsia"/>
                <w:color w:val="000000"/>
                <w:kern w:val="0"/>
                <w:szCs w:val="21"/>
              </w:rPr>
              <w:t>作为连接外界最紧密的极柱（端子）部位，经常受到安装扭力的施压，是最容易引发漏液的部位，为机房整体安全考虑，电池极柱（端子）部位应有防漏液的设计。</w:t>
            </w:r>
            <w:r w:rsidRPr="00CC3DAE">
              <w:rPr>
                <w:rFonts w:ascii="新宋体" w:eastAsia="新宋体" w:hAnsi="新宋体" w:cs="宋体"/>
                <w:color w:val="000000"/>
                <w:kern w:val="0"/>
                <w:szCs w:val="21"/>
              </w:rPr>
              <w:t>提供</w:t>
            </w:r>
            <w:r w:rsidRPr="00CC3DAE">
              <w:rPr>
                <w:rFonts w:ascii="新宋体" w:eastAsia="新宋体" w:hAnsi="新宋体" w:cs="宋体" w:hint="eastAsia"/>
                <w:color w:val="000000"/>
                <w:kern w:val="0"/>
                <w:szCs w:val="21"/>
              </w:rPr>
              <w:t>国家知识产权局颁发的专利</w:t>
            </w:r>
            <w:r w:rsidRPr="00CC3DAE">
              <w:rPr>
                <w:rFonts w:ascii="新宋体" w:eastAsia="新宋体" w:hAnsi="新宋体" w:cs="宋体"/>
                <w:color w:val="000000"/>
                <w:kern w:val="0"/>
                <w:szCs w:val="21"/>
              </w:rPr>
              <w:t>证明</w:t>
            </w:r>
            <w:r w:rsidRPr="00CC3DAE">
              <w:rPr>
                <w:rFonts w:ascii="新宋体" w:eastAsia="新宋体" w:hAnsi="新宋体" w:cs="宋体" w:hint="eastAsia"/>
                <w:color w:val="000000"/>
                <w:kern w:val="0"/>
                <w:szCs w:val="21"/>
              </w:rPr>
              <w:t>。</w:t>
            </w:r>
          </w:p>
        </w:tc>
      </w:tr>
      <w:tr w:rsidR="002465CF" w:rsidRPr="00CC3DAE" w:rsidTr="0095608F">
        <w:trPr>
          <w:trHeight w:val="545"/>
          <w:jc w:val="center"/>
        </w:trPr>
        <w:tc>
          <w:tcPr>
            <w:tcW w:w="1196" w:type="dxa"/>
            <w:vMerge/>
            <w:tcBorders>
              <w:left w:val="single" w:sz="4" w:space="0" w:color="auto"/>
              <w:right w:val="single" w:sz="4" w:space="0" w:color="auto"/>
            </w:tcBorders>
            <w:vAlign w:val="center"/>
          </w:tcPr>
          <w:p w:rsidR="002465CF" w:rsidRPr="00CC3DAE" w:rsidRDefault="002465CF" w:rsidP="0095608F">
            <w:pPr>
              <w:spacing w:line="276" w:lineRule="auto"/>
              <w:rPr>
                <w:rFonts w:ascii="新宋体" w:eastAsia="新宋体" w:hAnsi="新宋体"/>
                <w:snapToGrid w:val="0"/>
                <w:color w:val="000000"/>
                <w:kern w:val="0"/>
                <w:szCs w:val="21"/>
              </w:rPr>
            </w:pPr>
          </w:p>
        </w:tc>
        <w:tc>
          <w:tcPr>
            <w:tcW w:w="8334" w:type="dxa"/>
            <w:tcBorders>
              <w:top w:val="single" w:sz="4" w:space="0" w:color="auto"/>
              <w:left w:val="single" w:sz="4" w:space="0" w:color="auto"/>
              <w:bottom w:val="single" w:sz="4" w:space="0" w:color="auto"/>
              <w:right w:val="single" w:sz="4" w:space="0" w:color="auto"/>
            </w:tcBorders>
            <w:vAlign w:val="center"/>
          </w:tcPr>
          <w:p w:rsidR="002465CF" w:rsidRPr="00CC3DAE" w:rsidRDefault="002465CF" w:rsidP="0095608F">
            <w:pPr>
              <w:widowControl/>
              <w:spacing w:line="276" w:lineRule="auto"/>
              <w:textAlignment w:val="top"/>
              <w:rPr>
                <w:rFonts w:ascii="新宋体" w:eastAsia="新宋体" w:hAnsi="新宋体" w:cs="宋体"/>
                <w:color w:val="000000"/>
                <w:kern w:val="0"/>
                <w:szCs w:val="21"/>
              </w:rPr>
            </w:pPr>
            <w:r w:rsidRPr="00CC3DAE">
              <w:rPr>
                <w:rFonts w:ascii="新宋体" w:eastAsia="新宋体" w:hAnsi="新宋体" w:cs="宋体" w:hint="eastAsia"/>
                <w:color w:val="000000"/>
                <w:kern w:val="0"/>
                <w:szCs w:val="21"/>
              </w:rPr>
              <w:t>根据机房布局规划，蓄电池尺寸（长宽高）不能高于573*127*322mm。</w:t>
            </w:r>
          </w:p>
        </w:tc>
      </w:tr>
      <w:tr w:rsidR="002465CF" w:rsidRPr="00CC3DAE" w:rsidTr="0095608F">
        <w:trPr>
          <w:trHeight w:val="545"/>
          <w:jc w:val="center"/>
        </w:trPr>
        <w:tc>
          <w:tcPr>
            <w:tcW w:w="1196" w:type="dxa"/>
            <w:vMerge/>
            <w:tcBorders>
              <w:left w:val="single" w:sz="4" w:space="0" w:color="auto"/>
              <w:bottom w:val="single" w:sz="4" w:space="0" w:color="auto"/>
              <w:right w:val="single" w:sz="4" w:space="0" w:color="auto"/>
            </w:tcBorders>
            <w:vAlign w:val="center"/>
          </w:tcPr>
          <w:p w:rsidR="002465CF" w:rsidRPr="00CC3DAE" w:rsidRDefault="002465CF" w:rsidP="0095608F">
            <w:pPr>
              <w:spacing w:line="276" w:lineRule="auto"/>
              <w:rPr>
                <w:rFonts w:ascii="新宋体" w:eastAsia="新宋体" w:hAnsi="新宋体"/>
                <w:snapToGrid w:val="0"/>
                <w:color w:val="000000"/>
                <w:kern w:val="0"/>
                <w:szCs w:val="21"/>
              </w:rPr>
            </w:pPr>
          </w:p>
        </w:tc>
        <w:tc>
          <w:tcPr>
            <w:tcW w:w="8334" w:type="dxa"/>
            <w:tcBorders>
              <w:top w:val="single" w:sz="4" w:space="0" w:color="auto"/>
              <w:left w:val="single" w:sz="4" w:space="0" w:color="auto"/>
              <w:bottom w:val="single" w:sz="4" w:space="0" w:color="auto"/>
              <w:right w:val="single" w:sz="4" w:space="0" w:color="auto"/>
            </w:tcBorders>
            <w:vAlign w:val="center"/>
          </w:tcPr>
          <w:p w:rsidR="002465CF" w:rsidRPr="00CC3DAE" w:rsidRDefault="002465CF" w:rsidP="0095608F">
            <w:pPr>
              <w:widowControl/>
              <w:spacing w:line="276" w:lineRule="auto"/>
              <w:textAlignment w:val="top"/>
              <w:rPr>
                <w:rFonts w:ascii="新宋体" w:eastAsia="新宋体" w:hAnsi="新宋体" w:cs="宋体" w:hint="eastAsia"/>
                <w:color w:val="000000"/>
                <w:kern w:val="0"/>
                <w:szCs w:val="21"/>
              </w:rPr>
            </w:pPr>
            <w:r w:rsidRPr="00E914E7">
              <w:rPr>
                <w:rFonts w:ascii="宋体" w:hAnsi="宋体" w:cs="宋体" w:hint="eastAsia"/>
                <w:color w:val="000000"/>
                <w:kern w:val="0"/>
                <w:szCs w:val="21"/>
              </w:rPr>
              <w:t>操作技术要求：为安全正确地安装UPS蓄电池，安装前仔细检查现场UPS供配电系统；</w:t>
            </w:r>
            <w:r w:rsidRPr="00E914E7">
              <w:rPr>
                <w:rFonts w:ascii="宋体" w:hAnsi="宋体" w:cs="宋体"/>
                <w:color w:val="000000"/>
                <w:kern w:val="0"/>
                <w:szCs w:val="21"/>
              </w:rPr>
              <w:t xml:space="preserve">UPS </w:t>
            </w:r>
            <w:r w:rsidRPr="00E914E7">
              <w:rPr>
                <w:rFonts w:ascii="宋体" w:hAnsi="宋体" w:cs="宋体" w:hint="eastAsia"/>
                <w:color w:val="000000"/>
                <w:kern w:val="0"/>
                <w:szCs w:val="21"/>
              </w:rPr>
              <w:t>蓄电池系统属于高压直流系统，更换蓄电池应由具有相关施工资格的人员进行安装、调试；为防止拆装过程中产生火花，对蓄电池拆装操作时，应将电池组与电源系统及负载脱离；安装过程应保证同时有两人以上在场，避免单人作业；安装过程中使用的所有工具应做到良好绝缘，同时，注意人员自身防护；安装过程中含金属的手机、手表、手环、钥匙、耳饰、头饰等均需旁置；</w:t>
            </w:r>
          </w:p>
        </w:tc>
      </w:tr>
    </w:tbl>
    <w:p w:rsidR="002465CF" w:rsidRPr="00CC3DAE" w:rsidRDefault="002465CF" w:rsidP="002465CF">
      <w:pPr>
        <w:adjustRightInd w:val="0"/>
        <w:snapToGrid w:val="0"/>
        <w:spacing w:line="360" w:lineRule="auto"/>
        <w:rPr>
          <w:rFonts w:ascii="新宋体" w:eastAsia="新宋体" w:hAnsi="新宋体" w:hint="eastAsia"/>
        </w:rPr>
      </w:pPr>
    </w:p>
    <w:bookmarkEnd w:id="0"/>
    <w:p w:rsidR="002465CF" w:rsidRDefault="002465CF" w:rsidP="002465CF">
      <w:pPr>
        <w:spacing w:line="360" w:lineRule="auto"/>
        <w:ind w:firstLineChars="250" w:firstLine="527"/>
        <w:rPr>
          <w:rFonts w:ascii="新宋体" w:eastAsia="新宋体" w:hAnsi="新宋体" w:hint="eastAsia"/>
          <w:b/>
          <w:szCs w:val="21"/>
        </w:rPr>
      </w:pPr>
      <w:r>
        <w:rPr>
          <w:rFonts w:ascii="新宋体" w:eastAsia="新宋体" w:hAnsi="新宋体" w:hint="eastAsia"/>
          <w:b/>
          <w:szCs w:val="21"/>
        </w:rPr>
        <w:t>3、</w:t>
      </w:r>
      <w:r>
        <w:rPr>
          <w:rFonts w:hint="eastAsia"/>
          <w:b/>
        </w:rPr>
        <w:t>免费保修期内售后服务要求</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484"/>
      </w:tblGrid>
      <w:tr w:rsidR="002465CF" w:rsidTr="0095608F">
        <w:trPr>
          <w:trHeight w:val="320"/>
          <w:jc w:val="center"/>
        </w:trPr>
        <w:tc>
          <w:tcPr>
            <w:tcW w:w="1260" w:type="dxa"/>
            <w:vAlign w:val="center"/>
          </w:tcPr>
          <w:p w:rsidR="002465CF" w:rsidRDefault="002465CF" w:rsidP="0095608F">
            <w:pPr>
              <w:jc w:val="center"/>
              <w:rPr>
                <w:b/>
              </w:rPr>
            </w:pPr>
            <w:r>
              <w:rPr>
                <w:rFonts w:hint="eastAsia"/>
                <w:b/>
              </w:rPr>
              <w:t>1</w:t>
            </w:r>
          </w:p>
        </w:tc>
        <w:tc>
          <w:tcPr>
            <w:tcW w:w="1620" w:type="dxa"/>
            <w:vAlign w:val="center"/>
          </w:tcPr>
          <w:p w:rsidR="002465CF" w:rsidRDefault="002465CF" w:rsidP="0095608F">
            <w:pPr>
              <w:jc w:val="center"/>
            </w:pPr>
            <w:r>
              <w:rPr>
                <w:rFonts w:hint="eastAsia"/>
              </w:rPr>
              <w:t>免费</w:t>
            </w:r>
            <w:r>
              <w:t>保修期</w:t>
            </w:r>
          </w:p>
        </w:tc>
        <w:tc>
          <w:tcPr>
            <w:tcW w:w="5484" w:type="dxa"/>
            <w:vAlign w:val="center"/>
          </w:tcPr>
          <w:p w:rsidR="002465CF" w:rsidRPr="00301280" w:rsidRDefault="002465CF" w:rsidP="0095608F">
            <w:pPr>
              <w:rPr>
                <w:bCs/>
                <w:szCs w:val="21"/>
              </w:rPr>
            </w:pPr>
            <w:r w:rsidRPr="00301280">
              <w:rPr>
                <w:rFonts w:hint="eastAsia"/>
                <w:bCs/>
                <w:szCs w:val="21"/>
              </w:rPr>
              <w:t>货物免费保修期</w:t>
            </w:r>
            <w:r w:rsidRPr="00301280">
              <w:rPr>
                <w:bCs/>
                <w:szCs w:val="21"/>
                <w:u w:val="single"/>
              </w:rPr>
              <w:t xml:space="preserve"> 5 </w:t>
            </w:r>
            <w:r w:rsidRPr="00301280">
              <w:rPr>
                <w:rFonts w:hint="eastAsia"/>
                <w:bCs/>
                <w:szCs w:val="21"/>
              </w:rPr>
              <w:t>年，时间自最终验收合格并交付使用之日起计算。免费维保服务由产品原厂商提供。</w:t>
            </w:r>
            <w:r w:rsidRPr="00A45F54">
              <w:rPr>
                <w:rFonts w:hint="eastAsia"/>
                <w:bCs/>
                <w:szCs w:val="21"/>
              </w:rPr>
              <w:t>在合同签订前向采购人提供所投产品的五年原厂保修服务承诺文件。</w:t>
            </w:r>
          </w:p>
        </w:tc>
      </w:tr>
      <w:tr w:rsidR="002465CF" w:rsidTr="0095608F">
        <w:trPr>
          <w:trHeight w:val="320"/>
          <w:jc w:val="center"/>
        </w:trPr>
        <w:tc>
          <w:tcPr>
            <w:tcW w:w="1260" w:type="dxa"/>
            <w:vAlign w:val="center"/>
          </w:tcPr>
          <w:p w:rsidR="002465CF" w:rsidRDefault="002465CF" w:rsidP="0095608F">
            <w:pPr>
              <w:jc w:val="center"/>
              <w:rPr>
                <w:b/>
              </w:rPr>
            </w:pPr>
            <w:r>
              <w:rPr>
                <w:b/>
              </w:rPr>
              <w:t>2</w:t>
            </w:r>
          </w:p>
        </w:tc>
        <w:tc>
          <w:tcPr>
            <w:tcW w:w="1620" w:type="dxa"/>
            <w:vAlign w:val="center"/>
          </w:tcPr>
          <w:p w:rsidR="002465CF" w:rsidRPr="00DF1FDB" w:rsidRDefault="002465CF" w:rsidP="0095608F">
            <w:pPr>
              <w:jc w:val="center"/>
            </w:pPr>
            <w:r w:rsidRPr="00DF1FDB">
              <w:rPr>
                <w:rFonts w:hint="eastAsia"/>
              </w:rPr>
              <w:t>保修条款</w:t>
            </w:r>
          </w:p>
        </w:tc>
        <w:tc>
          <w:tcPr>
            <w:tcW w:w="5484" w:type="dxa"/>
            <w:vAlign w:val="center"/>
          </w:tcPr>
          <w:p w:rsidR="002465CF" w:rsidRPr="00DF1FDB" w:rsidRDefault="002465CF" w:rsidP="0095608F">
            <w:pPr>
              <w:rPr>
                <w:bCs/>
                <w:szCs w:val="21"/>
              </w:rPr>
            </w:pPr>
            <w:r w:rsidRPr="00DF1FDB">
              <w:rPr>
                <w:rFonts w:hint="eastAsia"/>
                <w:bCs/>
                <w:szCs w:val="21"/>
              </w:rPr>
              <w:t>包括但不限于</w:t>
            </w:r>
            <w:r w:rsidRPr="00DF1FDB">
              <w:rPr>
                <w:rFonts w:hint="eastAsia"/>
                <w:bCs/>
                <w:szCs w:val="21"/>
              </w:rPr>
              <w:t>7x24</w:t>
            </w:r>
            <w:r w:rsidRPr="00DF1FDB">
              <w:rPr>
                <w:rFonts w:hint="eastAsia"/>
                <w:bCs/>
                <w:szCs w:val="21"/>
              </w:rPr>
              <w:t>小时提供技术咨询、软件维保、硬件维保等。各项服务所需费用均包含在投标报价中。保修期内招标方不另行支付费用。</w:t>
            </w:r>
          </w:p>
        </w:tc>
      </w:tr>
      <w:tr w:rsidR="002465CF" w:rsidTr="0095608F">
        <w:trPr>
          <w:trHeight w:val="523"/>
          <w:jc w:val="center"/>
        </w:trPr>
        <w:tc>
          <w:tcPr>
            <w:tcW w:w="1260" w:type="dxa"/>
            <w:vAlign w:val="center"/>
          </w:tcPr>
          <w:p w:rsidR="002465CF" w:rsidRDefault="002465CF" w:rsidP="0095608F">
            <w:pPr>
              <w:jc w:val="center"/>
              <w:rPr>
                <w:b/>
              </w:rPr>
            </w:pPr>
            <w:r>
              <w:rPr>
                <w:b/>
              </w:rPr>
              <w:t>3</w:t>
            </w:r>
          </w:p>
        </w:tc>
        <w:tc>
          <w:tcPr>
            <w:tcW w:w="1620" w:type="dxa"/>
            <w:vAlign w:val="center"/>
          </w:tcPr>
          <w:p w:rsidR="002465CF" w:rsidRDefault="002465CF" w:rsidP="0095608F">
            <w:pPr>
              <w:jc w:val="center"/>
            </w:pPr>
            <w:r w:rsidRPr="00DF1FDB">
              <w:rPr>
                <w:rFonts w:hint="eastAsia"/>
              </w:rPr>
              <w:t>现场支持服务</w:t>
            </w:r>
          </w:p>
        </w:tc>
        <w:tc>
          <w:tcPr>
            <w:tcW w:w="5484" w:type="dxa"/>
            <w:vAlign w:val="center"/>
          </w:tcPr>
          <w:p w:rsidR="002465CF" w:rsidRDefault="002465CF" w:rsidP="0095608F">
            <w:pPr>
              <w:rPr>
                <w:bCs/>
                <w:szCs w:val="21"/>
              </w:rPr>
            </w:pPr>
            <w:r w:rsidRPr="00DF1FDB">
              <w:rPr>
                <w:rFonts w:hint="eastAsia"/>
                <w:bCs/>
                <w:szCs w:val="21"/>
              </w:rPr>
              <w:t>按照招标人要求，要求派出有相应能力的工程师，按招标人指定的时间在招标人现场提供现场支持服务。服务内容包括解决各种软硬件问题和招标人指定的其他工作，并接受招标人的管理</w:t>
            </w:r>
            <w:r>
              <w:rPr>
                <w:rFonts w:hint="eastAsia"/>
                <w:bCs/>
                <w:szCs w:val="21"/>
              </w:rPr>
              <w:t>。包含所有设备及监控系统安装调试。提供现场技术培训。提供不少于五</w:t>
            </w:r>
            <w:r w:rsidRPr="00DF1FDB">
              <w:rPr>
                <w:rFonts w:hint="eastAsia"/>
                <w:bCs/>
                <w:szCs w:val="21"/>
              </w:rPr>
              <w:t>年的</w:t>
            </w:r>
            <w:r w:rsidRPr="00DF1FDB">
              <w:rPr>
                <w:rFonts w:hint="eastAsia"/>
                <w:bCs/>
                <w:szCs w:val="21"/>
              </w:rPr>
              <w:t>7*24</w:t>
            </w:r>
            <w:r w:rsidRPr="00DF1FDB">
              <w:rPr>
                <w:rFonts w:hint="eastAsia"/>
                <w:bCs/>
                <w:szCs w:val="21"/>
              </w:rPr>
              <w:t>小时免费维保服务，包括但不限于硬件保修、现场支持、上门巡检、软件升级、软件配置等，提供</w:t>
            </w:r>
            <w:r w:rsidRPr="00DF1FDB">
              <w:rPr>
                <w:rFonts w:hint="eastAsia"/>
                <w:bCs/>
                <w:szCs w:val="21"/>
              </w:rPr>
              <w:t>2</w:t>
            </w:r>
            <w:r w:rsidRPr="00DF1FDB">
              <w:rPr>
                <w:rFonts w:hint="eastAsia"/>
                <w:bCs/>
                <w:szCs w:val="21"/>
              </w:rPr>
              <w:t>次免费设备迁移服务。</w:t>
            </w:r>
          </w:p>
        </w:tc>
      </w:tr>
      <w:tr w:rsidR="002465CF" w:rsidTr="0095608F">
        <w:trPr>
          <w:trHeight w:val="523"/>
          <w:jc w:val="center"/>
        </w:trPr>
        <w:tc>
          <w:tcPr>
            <w:tcW w:w="1260" w:type="dxa"/>
            <w:vAlign w:val="center"/>
          </w:tcPr>
          <w:p w:rsidR="002465CF" w:rsidRDefault="002465CF" w:rsidP="0095608F">
            <w:pPr>
              <w:jc w:val="center"/>
              <w:rPr>
                <w:b/>
              </w:rPr>
            </w:pPr>
            <w:r>
              <w:rPr>
                <w:b/>
              </w:rPr>
              <w:t>4</w:t>
            </w:r>
          </w:p>
        </w:tc>
        <w:tc>
          <w:tcPr>
            <w:tcW w:w="1620" w:type="dxa"/>
            <w:vAlign w:val="center"/>
          </w:tcPr>
          <w:p w:rsidR="002465CF" w:rsidRDefault="002465CF" w:rsidP="0095608F">
            <w:pPr>
              <w:jc w:val="center"/>
            </w:pPr>
            <w:r w:rsidRPr="00DF1FDB">
              <w:rPr>
                <w:rFonts w:hint="eastAsia"/>
              </w:rPr>
              <w:t>硬件维保服务</w:t>
            </w:r>
          </w:p>
        </w:tc>
        <w:tc>
          <w:tcPr>
            <w:tcW w:w="5484" w:type="dxa"/>
            <w:vAlign w:val="center"/>
          </w:tcPr>
          <w:p w:rsidR="002465CF" w:rsidRPr="00563263" w:rsidRDefault="002465CF" w:rsidP="0095608F">
            <w:pPr>
              <w:rPr>
                <w:bCs/>
                <w:szCs w:val="21"/>
              </w:rPr>
            </w:pPr>
            <w:r w:rsidRPr="00563263">
              <w:rPr>
                <w:rFonts w:hint="eastAsia"/>
                <w:bCs/>
                <w:szCs w:val="21"/>
              </w:rPr>
              <w:t>根据招标人机器配置，预留交换机关键性原厂备件；到达招标人现场提供维修及原厂备件换件服务。</w:t>
            </w:r>
          </w:p>
          <w:p w:rsidR="002465CF" w:rsidRPr="00563263" w:rsidRDefault="002465CF" w:rsidP="0095608F">
            <w:pPr>
              <w:rPr>
                <w:bCs/>
                <w:szCs w:val="21"/>
              </w:rPr>
            </w:pPr>
            <w:r w:rsidRPr="00563263">
              <w:rPr>
                <w:rFonts w:hint="eastAsia"/>
                <w:bCs/>
                <w:szCs w:val="21"/>
              </w:rPr>
              <w:t>服务期内需由专业技术人员负责对设备免费进行现场维修更换，更换的设备或部件必须是来自实际生产厂商的全新同型设备或备件，不得以其它方式替代。</w:t>
            </w:r>
          </w:p>
        </w:tc>
      </w:tr>
      <w:tr w:rsidR="002465CF" w:rsidTr="0095608F">
        <w:trPr>
          <w:trHeight w:val="523"/>
          <w:jc w:val="center"/>
        </w:trPr>
        <w:tc>
          <w:tcPr>
            <w:tcW w:w="1260" w:type="dxa"/>
            <w:vAlign w:val="center"/>
          </w:tcPr>
          <w:p w:rsidR="002465CF" w:rsidRDefault="002465CF" w:rsidP="0095608F">
            <w:pPr>
              <w:jc w:val="center"/>
              <w:rPr>
                <w:b/>
              </w:rPr>
            </w:pPr>
            <w:r>
              <w:rPr>
                <w:b/>
              </w:rPr>
              <w:t>5</w:t>
            </w:r>
          </w:p>
        </w:tc>
        <w:tc>
          <w:tcPr>
            <w:tcW w:w="1620" w:type="dxa"/>
            <w:vAlign w:val="center"/>
          </w:tcPr>
          <w:p w:rsidR="002465CF" w:rsidRDefault="002465CF" w:rsidP="0095608F">
            <w:pPr>
              <w:jc w:val="center"/>
            </w:pPr>
            <w:r w:rsidRPr="00DF1FDB">
              <w:rPr>
                <w:rFonts w:hint="eastAsia"/>
              </w:rPr>
              <w:t>服务方案</w:t>
            </w:r>
          </w:p>
        </w:tc>
        <w:tc>
          <w:tcPr>
            <w:tcW w:w="5484" w:type="dxa"/>
            <w:vAlign w:val="center"/>
          </w:tcPr>
          <w:p w:rsidR="002465CF" w:rsidRPr="00563263" w:rsidRDefault="002465CF" w:rsidP="0095608F">
            <w:pPr>
              <w:rPr>
                <w:bCs/>
                <w:szCs w:val="21"/>
              </w:rPr>
            </w:pPr>
            <w:r w:rsidRPr="00563263">
              <w:rPr>
                <w:rFonts w:hint="eastAsia"/>
                <w:bCs/>
                <w:szCs w:val="21"/>
              </w:rPr>
              <w:t>投标人在</w:t>
            </w:r>
            <w:r w:rsidRPr="00563263">
              <w:rPr>
                <w:bCs/>
                <w:szCs w:val="21"/>
              </w:rPr>
              <w:t>投标文件中</w:t>
            </w:r>
            <w:r w:rsidRPr="00563263">
              <w:rPr>
                <w:rFonts w:hint="eastAsia"/>
                <w:bCs/>
                <w:szCs w:val="21"/>
              </w:rPr>
              <w:t>详细阐述项目方案、技术支持与保修服务体系，各类设备服务响应流程，技术支持与保修服务投入人员情况，备品备件方案，相关协作方案，服务质量监督机制等与保障本项目完整顺利实施的相关内容。</w:t>
            </w:r>
          </w:p>
        </w:tc>
      </w:tr>
    </w:tbl>
    <w:p w:rsidR="002465CF" w:rsidRPr="00DB5853" w:rsidRDefault="002465CF" w:rsidP="002465CF">
      <w:pPr>
        <w:spacing w:line="360" w:lineRule="auto"/>
        <w:ind w:firstLineChars="250" w:firstLine="527"/>
        <w:rPr>
          <w:rFonts w:ascii="新宋体" w:eastAsia="新宋体" w:hAnsi="新宋体" w:hint="eastAsia"/>
          <w:b/>
          <w:szCs w:val="21"/>
        </w:rPr>
      </w:pPr>
    </w:p>
    <w:p w:rsidR="002465CF" w:rsidRPr="00CC3DAE" w:rsidRDefault="002465CF" w:rsidP="002465CF">
      <w:pPr>
        <w:spacing w:line="360" w:lineRule="auto"/>
        <w:ind w:firstLineChars="250" w:firstLine="527"/>
        <w:rPr>
          <w:rFonts w:ascii="新宋体" w:eastAsia="新宋体" w:hAnsi="新宋体"/>
          <w:b/>
          <w:szCs w:val="21"/>
        </w:rPr>
      </w:pPr>
      <w:r>
        <w:rPr>
          <w:rFonts w:ascii="新宋体" w:eastAsia="新宋体" w:hAnsi="新宋体" w:hint="eastAsia"/>
          <w:b/>
          <w:szCs w:val="21"/>
        </w:rPr>
        <w:t>4、</w:t>
      </w:r>
      <w:r w:rsidRPr="00CC3DAE">
        <w:rPr>
          <w:rFonts w:ascii="新宋体" w:eastAsia="新宋体" w:hAnsi="新宋体" w:hint="eastAsia"/>
          <w:b/>
          <w:szCs w:val="21"/>
        </w:rPr>
        <w:t>合同付款方式</w:t>
      </w:r>
    </w:p>
    <w:p w:rsidR="002465CF" w:rsidRPr="00CC3DAE" w:rsidRDefault="002465CF" w:rsidP="002465CF">
      <w:pPr>
        <w:spacing w:line="360" w:lineRule="auto"/>
        <w:ind w:firstLine="585"/>
        <w:rPr>
          <w:rFonts w:ascii="新宋体" w:eastAsia="新宋体" w:hAnsi="新宋体"/>
          <w:b/>
          <w:szCs w:val="21"/>
        </w:rPr>
      </w:pPr>
      <w:r w:rsidRPr="00CC3DAE">
        <w:rPr>
          <w:rFonts w:ascii="新宋体" w:eastAsia="新宋体" w:hAnsi="新宋体" w:hint="eastAsia"/>
          <w:b/>
          <w:szCs w:val="21"/>
        </w:rPr>
        <w:t>合同总价分为两个阶段支付。</w:t>
      </w:r>
    </w:p>
    <w:p w:rsidR="002465CF" w:rsidRPr="00CC3DAE" w:rsidRDefault="002465CF" w:rsidP="002465CF">
      <w:pPr>
        <w:spacing w:line="360" w:lineRule="auto"/>
        <w:ind w:firstLine="585"/>
        <w:rPr>
          <w:rFonts w:ascii="新宋体" w:eastAsia="新宋体" w:hAnsi="新宋体"/>
          <w:bCs/>
          <w:szCs w:val="21"/>
        </w:rPr>
      </w:pPr>
      <w:r>
        <w:rPr>
          <w:rFonts w:ascii="新宋体" w:eastAsia="新宋体" w:hAnsi="新宋体"/>
          <w:bCs/>
          <w:szCs w:val="21"/>
        </w:rPr>
        <w:t>2</w:t>
      </w:r>
      <w:r w:rsidRPr="00CC3DAE">
        <w:rPr>
          <w:rFonts w:ascii="新宋体" w:eastAsia="新宋体" w:hAnsi="新宋体"/>
          <w:bCs/>
          <w:szCs w:val="21"/>
        </w:rPr>
        <w:t>.1</w:t>
      </w:r>
      <w:r w:rsidRPr="00CC3DAE">
        <w:rPr>
          <w:rFonts w:ascii="新宋体" w:eastAsia="新宋体" w:hAnsi="新宋体" w:hint="eastAsia"/>
          <w:bCs/>
          <w:szCs w:val="21"/>
        </w:rPr>
        <w:t>合同签订后30个工作日内，乙方向甲方提供增值税普通发票，甲方向乙方支付合同总</w:t>
      </w:r>
      <w:r w:rsidRPr="00CC3DAE">
        <w:rPr>
          <w:rFonts w:ascii="新宋体" w:eastAsia="新宋体" w:hAnsi="新宋体" w:hint="eastAsia"/>
          <w:bCs/>
          <w:szCs w:val="21"/>
        </w:rPr>
        <w:lastRenderedPageBreak/>
        <w:t>价的80%款项</w:t>
      </w:r>
      <w:bookmarkStart w:id="1" w:name="_GoBack"/>
      <w:bookmarkEnd w:id="1"/>
    </w:p>
    <w:p w:rsidR="00E34D08" w:rsidRPr="00747605" w:rsidRDefault="002465CF" w:rsidP="002465CF">
      <w:r>
        <w:rPr>
          <w:rFonts w:ascii="新宋体" w:eastAsia="新宋体" w:hAnsi="新宋体"/>
          <w:bCs/>
          <w:szCs w:val="21"/>
        </w:rPr>
        <w:t>2</w:t>
      </w:r>
      <w:r w:rsidRPr="00CC3DAE">
        <w:rPr>
          <w:rFonts w:ascii="新宋体" w:eastAsia="新宋体" w:hAnsi="新宋体"/>
          <w:bCs/>
          <w:szCs w:val="21"/>
        </w:rPr>
        <w:t>.2</w:t>
      </w:r>
      <w:r w:rsidRPr="00CC3DAE">
        <w:rPr>
          <w:rFonts w:ascii="新宋体" w:eastAsia="新宋体" w:hAnsi="新宋体" w:hint="eastAsia"/>
          <w:bCs/>
          <w:szCs w:val="21"/>
        </w:rPr>
        <w:t>在设备安装完成，试运行三个月，验收通过后，30个工作日内，乙方向甲方提供增值税普通发票甲方向乙方支付合同总价的20%款项。</w:t>
      </w:r>
    </w:p>
    <w:sectPr w:rsidR="00E34D08" w:rsidRPr="00747605" w:rsidSect="00E34658">
      <w:headerReference w:type="default" r:id="rId7"/>
      <w:footerReference w:type="default" r:id="rId8"/>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8C9" w:rsidRDefault="009338C9" w:rsidP="00391D2A">
      <w:r>
        <w:separator/>
      </w:r>
    </w:p>
  </w:endnote>
  <w:endnote w:type="continuationSeparator" w:id="0">
    <w:p w:rsidR="009338C9" w:rsidRDefault="009338C9"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56" w:rsidRPr="00060ACA" w:rsidRDefault="002465CF"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r w:rsidRPr="00060ACA">
      <w:rPr>
        <w:rFonts w:ascii="新宋体" w:eastAsia="新宋体" w:hAnsi="新宋体" w:hint="eastAsia"/>
        <w:kern w:val="0"/>
        <w:sz w:val="18"/>
        <w:szCs w:val="18"/>
        <w:lang w:val="x-none" w:eastAsia="x-none"/>
      </w:rPr>
      <w:t>深圳市瑞凝信招标咨询有限公司</w:t>
    </w:r>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2465CF">
      <w:rPr>
        <w:rFonts w:ascii="新宋体" w:eastAsia="新宋体" w:hAnsi="新宋体"/>
        <w:bCs/>
        <w:noProof/>
        <w:kern w:val="0"/>
        <w:sz w:val="18"/>
        <w:szCs w:val="18"/>
        <w:lang w:val="x-none" w:eastAsia="x-none"/>
      </w:rPr>
      <w:t>3</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2465CF">
      <w:rPr>
        <w:rFonts w:ascii="新宋体" w:eastAsia="新宋体" w:hAnsi="新宋体"/>
        <w:bCs/>
        <w:noProof/>
        <w:kern w:val="0"/>
        <w:sz w:val="18"/>
        <w:szCs w:val="18"/>
        <w:lang w:val="x-none" w:eastAsia="x-none"/>
      </w:rPr>
      <w:t>3</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8C9" w:rsidRDefault="009338C9" w:rsidP="00391D2A">
      <w:r>
        <w:separator/>
      </w:r>
    </w:p>
  </w:footnote>
  <w:footnote w:type="continuationSeparator" w:id="0">
    <w:p w:rsidR="009338C9" w:rsidRDefault="009338C9" w:rsidP="00391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56" w:rsidRPr="00C545C3" w:rsidRDefault="002465CF">
    <w:pPr>
      <w:pStyle w:val="a3"/>
      <w:tabs>
        <w:tab w:val="clear" w:pos="4153"/>
        <w:tab w:val="clear" w:pos="8306"/>
        <w:tab w:val="left" w:pos="3060"/>
      </w:tabs>
      <w:spacing w:line="360" w:lineRule="auto"/>
      <w:ind w:firstLineChars="50" w:firstLine="90"/>
      <w:jc w:val="left"/>
      <w:rPr>
        <w:rFonts w:ascii="新宋体" w:eastAsia="新宋体" w:hAnsi="新宋体"/>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A31A25"/>
    <w:multiLevelType w:val="singleLevel"/>
    <w:tmpl w:val="C5A31A25"/>
    <w:lvl w:ilvl="0">
      <w:start w:val="1"/>
      <w:numFmt w:val="decimal"/>
      <w:lvlText w:val="%1)"/>
      <w:lvlJc w:val="left"/>
      <w:pPr>
        <w:ind w:left="425" w:hanging="425"/>
      </w:pPr>
      <w:rPr>
        <w:rFonts w:hint="default"/>
      </w:rPr>
    </w:lvl>
  </w:abstractNum>
  <w:abstractNum w:abstractNumId="1" w15:restartNumberingAfterBreak="0">
    <w:nsid w:val="C6D182A7"/>
    <w:multiLevelType w:val="singleLevel"/>
    <w:tmpl w:val="C6D182A7"/>
    <w:lvl w:ilvl="0">
      <w:start w:val="1"/>
      <w:numFmt w:val="decimal"/>
      <w:lvlText w:val="%1)"/>
      <w:lvlJc w:val="left"/>
      <w:pPr>
        <w:ind w:left="425" w:hanging="425"/>
      </w:pPr>
      <w:rPr>
        <w:rFonts w:hint="default"/>
      </w:rPr>
    </w:lvl>
  </w:abstractNum>
  <w:abstractNum w:abstractNumId="2" w15:restartNumberingAfterBreak="0">
    <w:nsid w:val="F109C64D"/>
    <w:multiLevelType w:val="singleLevel"/>
    <w:tmpl w:val="F109C64D"/>
    <w:lvl w:ilvl="0">
      <w:start w:val="1"/>
      <w:numFmt w:val="decimal"/>
      <w:lvlText w:val="%1)"/>
      <w:lvlJc w:val="left"/>
      <w:pPr>
        <w:ind w:left="425" w:hanging="425"/>
      </w:pPr>
      <w:rPr>
        <w:rFonts w:hint="default"/>
      </w:rPr>
    </w:lvl>
  </w:abstractNum>
  <w:abstractNum w:abstractNumId="3" w15:restartNumberingAfterBreak="0">
    <w:nsid w:val="F3440A54"/>
    <w:multiLevelType w:val="singleLevel"/>
    <w:tmpl w:val="F3440A54"/>
    <w:lvl w:ilvl="0">
      <w:start w:val="1"/>
      <w:numFmt w:val="decimal"/>
      <w:lvlText w:val="%1)"/>
      <w:lvlJc w:val="left"/>
      <w:pPr>
        <w:ind w:left="425" w:hanging="425"/>
      </w:pPr>
      <w:rPr>
        <w:rFonts w:hint="default"/>
      </w:rPr>
    </w:lvl>
  </w:abstractNum>
  <w:abstractNum w:abstractNumId="4" w15:restartNumberingAfterBreak="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19D2332A"/>
    <w:multiLevelType w:val="multilevel"/>
    <w:tmpl w:val="19D2332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F2C6566"/>
    <w:multiLevelType w:val="multilevel"/>
    <w:tmpl w:val="2F2C656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60E47F6"/>
    <w:multiLevelType w:val="singleLevel"/>
    <w:tmpl w:val="360E47F6"/>
    <w:lvl w:ilvl="0">
      <w:start w:val="1"/>
      <w:numFmt w:val="decimal"/>
      <w:lvlText w:val="%1)"/>
      <w:lvlJc w:val="left"/>
      <w:pPr>
        <w:ind w:left="425" w:hanging="425"/>
      </w:pPr>
      <w:rPr>
        <w:rFonts w:hint="default"/>
      </w:rPr>
    </w:lvl>
  </w:abstractNum>
  <w:abstractNum w:abstractNumId="9" w15:restartNumberingAfterBreak="0">
    <w:nsid w:val="56714234"/>
    <w:multiLevelType w:val="multilevel"/>
    <w:tmpl w:val="73A2A552"/>
    <w:lvl w:ilvl="0">
      <w:start w:val="1"/>
      <w:numFmt w:val="chineseCountingThousand"/>
      <w:pStyle w:val="ALT1"/>
      <w:lvlText w:val="%1、"/>
      <w:lvlJc w:val="left"/>
      <w:pPr>
        <w:ind w:left="0" w:firstLine="601"/>
      </w:pPr>
      <w:rPr>
        <w:rFonts w:ascii="黑体" w:eastAsia="黑体" w:hAnsi="黑体" w:hint="eastAsia"/>
        <w:sz w:val="24"/>
        <w:szCs w:val="24"/>
      </w:rPr>
    </w:lvl>
    <w:lvl w:ilvl="1">
      <w:start w:val="1"/>
      <w:numFmt w:val="chineseCountingThousand"/>
      <w:suff w:val="nothing"/>
      <w:lvlText w:val="（%2）"/>
      <w:lvlJc w:val="left"/>
      <w:pPr>
        <w:ind w:left="108" w:firstLine="601"/>
      </w:pPr>
      <w:rPr>
        <w:rFonts w:hint="eastAsia"/>
      </w:rPr>
    </w:lvl>
    <w:lvl w:ilvl="2">
      <w:start w:val="1"/>
      <w:numFmt w:val="decimal"/>
      <w:suff w:val="nothing"/>
      <w:lvlText w:val="%3."/>
      <w:lvlJc w:val="left"/>
      <w:pPr>
        <w:ind w:left="109" w:firstLine="601"/>
      </w:pPr>
      <w:rPr>
        <w:rFonts w:eastAsia="仿宋_GB2312" w:hint="eastAsia"/>
        <w:b w:val="0"/>
        <w:sz w:val="32"/>
      </w:rPr>
    </w:lvl>
    <w:lvl w:ilvl="3">
      <w:start w:val="1"/>
      <w:numFmt w:val="decimal"/>
      <w:suff w:val="nothing"/>
      <w:lvlText w:val="（%4）"/>
      <w:lvlJc w:val="left"/>
      <w:pPr>
        <w:ind w:left="1100" w:firstLine="601"/>
      </w:pPr>
      <w:rPr>
        <w:rFonts w:eastAsia="仿宋_GB2312" w:hint="eastAsia"/>
        <w:sz w:val="32"/>
        <w:lang w:val="en-US"/>
      </w:rPr>
    </w:lvl>
    <w:lvl w:ilvl="4">
      <w:start w:val="1"/>
      <w:numFmt w:val="lowerLetter"/>
      <w:lvlText w:val="%5)"/>
      <w:lvlJc w:val="left"/>
      <w:pPr>
        <w:tabs>
          <w:tab w:val="num" w:pos="1701"/>
        </w:tabs>
        <w:ind w:left="0" w:firstLine="601"/>
      </w:pPr>
      <w:rPr>
        <w:rFonts w:hint="eastAsia"/>
      </w:rPr>
    </w:lvl>
    <w:lvl w:ilvl="5">
      <w:start w:val="1"/>
      <w:numFmt w:val="lowerRoman"/>
      <w:lvlText w:val="%6."/>
      <w:lvlJc w:val="right"/>
      <w:pPr>
        <w:tabs>
          <w:tab w:val="num" w:pos="1701"/>
        </w:tabs>
        <w:ind w:left="0" w:firstLine="601"/>
      </w:pPr>
      <w:rPr>
        <w:rFonts w:hint="eastAsia"/>
      </w:rPr>
    </w:lvl>
    <w:lvl w:ilvl="6">
      <w:start w:val="1"/>
      <w:numFmt w:val="decimal"/>
      <w:lvlText w:val="%7."/>
      <w:lvlJc w:val="left"/>
      <w:pPr>
        <w:tabs>
          <w:tab w:val="num" w:pos="1701"/>
        </w:tabs>
        <w:ind w:left="0" w:firstLine="601"/>
      </w:pPr>
      <w:rPr>
        <w:rFonts w:hint="eastAsia"/>
      </w:rPr>
    </w:lvl>
    <w:lvl w:ilvl="7">
      <w:start w:val="1"/>
      <w:numFmt w:val="lowerLetter"/>
      <w:lvlText w:val="%8)"/>
      <w:lvlJc w:val="left"/>
      <w:pPr>
        <w:tabs>
          <w:tab w:val="num" w:pos="1701"/>
        </w:tabs>
        <w:ind w:left="0" w:firstLine="601"/>
      </w:pPr>
      <w:rPr>
        <w:rFonts w:hint="eastAsia"/>
      </w:rPr>
    </w:lvl>
    <w:lvl w:ilvl="8">
      <w:start w:val="1"/>
      <w:numFmt w:val="lowerRoman"/>
      <w:lvlText w:val="%9."/>
      <w:lvlJc w:val="right"/>
      <w:pPr>
        <w:tabs>
          <w:tab w:val="num" w:pos="1701"/>
        </w:tabs>
        <w:ind w:left="0" w:firstLine="601"/>
      </w:pPr>
      <w:rPr>
        <w:rFonts w:hint="eastAsia"/>
      </w:rPr>
    </w:lvl>
  </w:abstractNum>
  <w:abstractNum w:abstractNumId="10" w15:restartNumberingAfterBreak="0">
    <w:nsid w:val="56715193"/>
    <w:multiLevelType w:val="singleLevel"/>
    <w:tmpl w:val="56715193"/>
    <w:lvl w:ilvl="0">
      <w:start w:val="1"/>
      <w:numFmt w:val="decimal"/>
      <w:suff w:val="nothing"/>
      <w:lvlText w:val="%1、"/>
      <w:lvlJc w:val="left"/>
    </w:lvl>
  </w:abstractNum>
  <w:abstractNum w:abstractNumId="11" w15:restartNumberingAfterBreak="0">
    <w:nsid w:val="5671600B"/>
    <w:multiLevelType w:val="singleLevel"/>
    <w:tmpl w:val="5671600B"/>
    <w:lvl w:ilvl="0">
      <w:start w:val="1"/>
      <w:numFmt w:val="decimal"/>
      <w:suff w:val="nothing"/>
      <w:lvlText w:val="%1、"/>
      <w:lvlJc w:val="left"/>
    </w:lvl>
  </w:abstractNum>
  <w:abstractNum w:abstractNumId="12" w15:restartNumberingAfterBreak="0">
    <w:nsid w:val="5671644C"/>
    <w:multiLevelType w:val="singleLevel"/>
    <w:tmpl w:val="5671644C"/>
    <w:lvl w:ilvl="0">
      <w:start w:val="1"/>
      <w:numFmt w:val="decimal"/>
      <w:suff w:val="nothing"/>
      <w:lvlText w:val="%1、"/>
      <w:lvlJc w:val="left"/>
    </w:lvl>
  </w:abstractNum>
  <w:abstractNum w:abstractNumId="13" w15:restartNumberingAfterBreak="0">
    <w:nsid w:val="56716F64"/>
    <w:multiLevelType w:val="singleLevel"/>
    <w:tmpl w:val="56716F64"/>
    <w:lvl w:ilvl="0">
      <w:start w:val="1"/>
      <w:numFmt w:val="decimal"/>
      <w:suff w:val="nothing"/>
      <w:lvlText w:val="%1、"/>
      <w:lvlJc w:val="left"/>
    </w:lvl>
  </w:abstractNum>
  <w:abstractNum w:abstractNumId="14" w15:restartNumberingAfterBreak="0">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16" w15:restartNumberingAfterBreak="0">
    <w:nsid w:val="5B0E5A22"/>
    <w:multiLevelType w:val="singleLevel"/>
    <w:tmpl w:val="5B0E5A22"/>
    <w:lvl w:ilvl="0">
      <w:start w:val="1"/>
      <w:numFmt w:val="decimal"/>
      <w:lvlText w:val="%1."/>
      <w:lvlJc w:val="left"/>
      <w:pPr>
        <w:ind w:left="425" w:hanging="425"/>
      </w:pPr>
      <w:rPr>
        <w:rFonts w:hint="default"/>
      </w:rPr>
    </w:lvl>
  </w:abstractNum>
  <w:abstractNum w:abstractNumId="17" w15:restartNumberingAfterBreak="0">
    <w:nsid w:val="5B1502ED"/>
    <w:multiLevelType w:val="singleLevel"/>
    <w:tmpl w:val="5B1502ED"/>
    <w:lvl w:ilvl="0">
      <w:start w:val="1"/>
      <w:numFmt w:val="decimal"/>
      <w:suff w:val="nothing"/>
      <w:lvlText w:val="%1．"/>
      <w:lvlJc w:val="left"/>
      <w:pPr>
        <w:ind w:left="0" w:firstLine="400"/>
      </w:pPr>
      <w:rPr>
        <w:rFonts w:hint="default"/>
      </w:rPr>
    </w:lvl>
  </w:abstractNum>
  <w:abstractNum w:abstractNumId="18" w15:restartNumberingAfterBreak="0">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20" w15:restartNumberingAfterBreak="0">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CCAA909"/>
    <w:multiLevelType w:val="singleLevel"/>
    <w:tmpl w:val="7CCAA909"/>
    <w:lvl w:ilvl="0">
      <w:start w:val="1"/>
      <w:numFmt w:val="decimal"/>
      <w:lvlText w:val="(%1)"/>
      <w:lvlJc w:val="left"/>
      <w:pPr>
        <w:ind w:left="425" w:hanging="425"/>
      </w:pPr>
      <w:rPr>
        <w:rFonts w:hint="default"/>
      </w:rPr>
    </w:lvl>
  </w:abstractNum>
  <w:num w:numId="1">
    <w:abstractNumId w:val="19"/>
  </w:num>
  <w:num w:numId="2">
    <w:abstractNumId w:val="18"/>
  </w:num>
  <w:num w:numId="3">
    <w:abstractNumId w:val="14"/>
  </w:num>
  <w:num w:numId="4">
    <w:abstractNumId w:val="4"/>
  </w:num>
  <w:num w:numId="5">
    <w:abstractNumId w:val="15"/>
  </w:num>
  <w:num w:numId="6">
    <w:abstractNumId w:val="16"/>
  </w:num>
  <w:num w:numId="7">
    <w:abstractNumId w:val="3"/>
  </w:num>
  <w:num w:numId="8">
    <w:abstractNumId w:val="8"/>
  </w:num>
  <w:num w:numId="9">
    <w:abstractNumId w:val="1"/>
  </w:num>
  <w:num w:numId="10">
    <w:abstractNumId w:val="2"/>
  </w:num>
  <w:num w:numId="11">
    <w:abstractNumId w:val="0"/>
  </w:num>
  <w:num w:numId="12">
    <w:abstractNumId w:val="21"/>
  </w:num>
  <w:num w:numId="13">
    <w:abstractNumId w:val="6"/>
  </w:num>
  <w:num w:numId="14">
    <w:abstractNumId w:val="20"/>
  </w:num>
  <w:num w:numId="15">
    <w:abstractNumId w:val="9"/>
  </w:num>
  <w:num w:numId="16">
    <w:abstractNumId w:val="10"/>
  </w:num>
  <w:num w:numId="17">
    <w:abstractNumId w:val="11"/>
  </w:num>
  <w:num w:numId="18">
    <w:abstractNumId w:val="12"/>
  </w:num>
  <w:num w:numId="19">
    <w:abstractNumId w:val="13"/>
  </w:num>
  <w:num w:numId="20">
    <w:abstractNumId w:val="7"/>
  </w:num>
  <w:num w:numId="21">
    <w:abstractNumId w:val="1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67"/>
    <w:rsid w:val="0000002E"/>
    <w:rsid w:val="00035FDC"/>
    <w:rsid w:val="000E0AD6"/>
    <w:rsid w:val="000E24B2"/>
    <w:rsid w:val="001E13C0"/>
    <w:rsid w:val="002465CF"/>
    <w:rsid w:val="00374611"/>
    <w:rsid w:val="00391D2A"/>
    <w:rsid w:val="003E24E6"/>
    <w:rsid w:val="003F6B63"/>
    <w:rsid w:val="004D0DE8"/>
    <w:rsid w:val="00584311"/>
    <w:rsid w:val="006C428A"/>
    <w:rsid w:val="00716F37"/>
    <w:rsid w:val="00747605"/>
    <w:rsid w:val="007E0F21"/>
    <w:rsid w:val="0087030C"/>
    <w:rsid w:val="00914F23"/>
    <w:rsid w:val="009338C9"/>
    <w:rsid w:val="00A54676"/>
    <w:rsid w:val="00AC2812"/>
    <w:rsid w:val="00AE721F"/>
    <w:rsid w:val="00B52D07"/>
    <w:rsid w:val="00BD3F95"/>
    <w:rsid w:val="00BE7455"/>
    <w:rsid w:val="00D71CF8"/>
    <w:rsid w:val="00D86C0D"/>
    <w:rsid w:val="00DC19FF"/>
    <w:rsid w:val="00DF745D"/>
    <w:rsid w:val="00E34658"/>
    <w:rsid w:val="00E34D08"/>
    <w:rsid w:val="00EF50EA"/>
    <w:rsid w:val="00F07B67"/>
    <w:rsid w:val="00F5791C"/>
    <w:rsid w:val="00F6067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03DB6D"/>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C0D"/>
    <w:pPr>
      <w:widowControl w:val="0"/>
      <w:jc w:val="both"/>
    </w:pPr>
    <w:rPr>
      <w:rFonts w:ascii="Calibri" w:eastAsia="宋体" w:hAnsi="Calibri" w:cs="Times New Roman"/>
    </w:rPr>
  </w:style>
  <w:style w:type="paragraph" w:styleId="2">
    <w:name w:val="heading 2"/>
    <w:basedOn w:val="a"/>
    <w:next w:val="a"/>
    <w:link w:val="20"/>
    <w:uiPriority w:val="99"/>
    <w:qFormat/>
    <w:rsid w:val="00D86C0D"/>
    <w:pPr>
      <w:keepNext/>
      <w:keepLines/>
      <w:spacing w:before="260" w:after="260" w:line="413" w:lineRule="auto"/>
      <w:outlineLvl w:val="1"/>
    </w:pPr>
    <w:rPr>
      <w:rFonts w:ascii="Arial" w:eastAsia="黑体" w:hAnsi="Arial"/>
      <w:b/>
      <w:sz w:val="32"/>
    </w:rPr>
  </w:style>
  <w:style w:type="paragraph" w:styleId="4">
    <w:name w:val="heading 4"/>
    <w:basedOn w:val="a"/>
    <w:next w:val="a"/>
    <w:link w:val="40"/>
    <w:uiPriority w:val="99"/>
    <w:qFormat/>
    <w:rsid w:val="00D86C0D"/>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D2A"/>
    <w:rPr>
      <w:sz w:val="18"/>
      <w:szCs w:val="18"/>
    </w:rPr>
  </w:style>
  <w:style w:type="paragraph" w:styleId="a5">
    <w:name w:val="footer"/>
    <w:basedOn w:val="a"/>
    <w:link w:val="a6"/>
    <w:uiPriority w:val="99"/>
    <w:unhideWhenUsed/>
    <w:rsid w:val="00391D2A"/>
    <w:pPr>
      <w:tabs>
        <w:tab w:val="center" w:pos="4153"/>
        <w:tab w:val="right" w:pos="8306"/>
      </w:tabs>
      <w:snapToGrid w:val="0"/>
      <w:jc w:val="left"/>
    </w:pPr>
    <w:rPr>
      <w:sz w:val="18"/>
      <w:szCs w:val="18"/>
    </w:rPr>
  </w:style>
  <w:style w:type="character" w:customStyle="1" w:styleId="a6">
    <w:name w:val="页脚 字符"/>
    <w:basedOn w:val="a0"/>
    <w:link w:val="a5"/>
    <w:uiPriority w:val="99"/>
    <w:rsid w:val="00391D2A"/>
    <w:rPr>
      <w:sz w:val="18"/>
      <w:szCs w:val="18"/>
    </w:rPr>
  </w:style>
  <w:style w:type="character" w:customStyle="1" w:styleId="a7">
    <w:name w:val="列出段落 字符"/>
    <w:link w:val="a8"/>
    <w:uiPriority w:val="34"/>
    <w:qFormat/>
    <w:locked/>
    <w:rsid w:val="0000002E"/>
  </w:style>
  <w:style w:type="paragraph" w:styleId="a8">
    <w:name w:val="List Paragraph"/>
    <w:basedOn w:val="a"/>
    <w:link w:val="a7"/>
    <w:uiPriority w:val="34"/>
    <w:qFormat/>
    <w:rsid w:val="0000002E"/>
    <w:pPr>
      <w:ind w:firstLine="420"/>
    </w:pPr>
  </w:style>
  <w:style w:type="paragraph" w:customStyle="1" w:styleId="21">
    <w:name w:val="正文 首行缩进:  2 字符"/>
    <w:basedOn w:val="a"/>
    <w:link w:val="2Char"/>
    <w:rsid w:val="0000002E"/>
    <w:pPr>
      <w:spacing w:line="360" w:lineRule="auto"/>
      <w:ind w:firstLineChars="200" w:firstLine="480"/>
    </w:pPr>
    <w:rPr>
      <w:rFonts w:ascii="Times New Roman" w:hAnsi="Times New Roman"/>
      <w:sz w:val="24"/>
      <w:szCs w:val="20"/>
      <w:lang w:val="x-none" w:eastAsia="x-none"/>
    </w:rPr>
  </w:style>
  <w:style w:type="character" w:customStyle="1" w:styleId="2Char">
    <w:name w:val="正文 首行缩进:  2 字符 Char"/>
    <w:link w:val="21"/>
    <w:rsid w:val="0000002E"/>
    <w:rPr>
      <w:rFonts w:ascii="Times New Roman" w:eastAsia="宋体" w:hAnsi="Times New Roman" w:cs="Times New Roman"/>
      <w:sz w:val="24"/>
      <w:szCs w:val="20"/>
      <w:lang w:val="x-none" w:eastAsia="x-none"/>
    </w:rPr>
  </w:style>
  <w:style w:type="character" w:customStyle="1" w:styleId="20">
    <w:name w:val="标题 2 字符"/>
    <w:basedOn w:val="a0"/>
    <w:link w:val="2"/>
    <w:uiPriority w:val="99"/>
    <w:rsid w:val="00D86C0D"/>
    <w:rPr>
      <w:rFonts w:ascii="Arial" w:eastAsia="黑体" w:hAnsi="Arial" w:cs="Times New Roman"/>
      <w:b/>
      <w:sz w:val="32"/>
    </w:rPr>
  </w:style>
  <w:style w:type="character" w:customStyle="1" w:styleId="40">
    <w:name w:val="标题 4 字符"/>
    <w:basedOn w:val="a0"/>
    <w:link w:val="4"/>
    <w:uiPriority w:val="99"/>
    <w:rsid w:val="00D86C0D"/>
    <w:rPr>
      <w:rFonts w:ascii="Calibri Light" w:eastAsia="宋体" w:hAnsi="Calibri Light" w:cs="Times New Roman"/>
      <w:b/>
      <w:bCs/>
      <w:sz w:val="28"/>
      <w:szCs w:val="28"/>
    </w:rPr>
  </w:style>
  <w:style w:type="character" w:customStyle="1" w:styleId="ALT1Char">
    <w:name w:val="ALT+1 附件层级标题一 Char"/>
    <w:link w:val="ALT1"/>
    <w:rsid w:val="00D86C0D"/>
    <w:rPr>
      <w:rFonts w:eastAsia="黑体"/>
      <w:sz w:val="32"/>
      <w:szCs w:val="24"/>
    </w:rPr>
  </w:style>
  <w:style w:type="paragraph" w:customStyle="1" w:styleId="ALT1">
    <w:name w:val="ALT+1 附件层级标题一"/>
    <w:basedOn w:val="a"/>
    <w:link w:val="ALT1Char"/>
    <w:qFormat/>
    <w:rsid w:val="00D86C0D"/>
    <w:pPr>
      <w:numPr>
        <w:numId w:val="15"/>
      </w:numPr>
      <w:tabs>
        <w:tab w:val="left" w:pos="1418"/>
      </w:tabs>
      <w:spacing w:line="560" w:lineRule="exact"/>
      <w:jc w:val="left"/>
      <w:outlineLvl w:val="0"/>
    </w:pPr>
    <w:rPr>
      <w:rFonts w:asciiTheme="minorHAnsi" w:eastAsia="黑体" w:hAnsiTheme="minorHAnsi" w:cstheme="minorBidi"/>
      <w:sz w:val="32"/>
      <w:szCs w:val="24"/>
    </w:rPr>
  </w:style>
  <w:style w:type="character" w:customStyle="1" w:styleId="ALT3Char">
    <w:name w:val="ALT+3 附件层级标题三 Char"/>
    <w:link w:val="ALT3"/>
    <w:rsid w:val="00D86C0D"/>
    <w:rPr>
      <w:rFonts w:eastAsia="仿宋_GB2312"/>
      <w:sz w:val="32"/>
      <w:szCs w:val="24"/>
    </w:rPr>
  </w:style>
  <w:style w:type="paragraph" w:customStyle="1" w:styleId="ALT3">
    <w:name w:val="ALT+3 附件层级标题三"/>
    <w:basedOn w:val="a"/>
    <w:link w:val="ALT3Char"/>
    <w:qFormat/>
    <w:rsid w:val="00D86C0D"/>
    <w:pPr>
      <w:tabs>
        <w:tab w:val="left" w:pos="360"/>
        <w:tab w:val="num" w:pos="1260"/>
      </w:tabs>
      <w:spacing w:line="560" w:lineRule="exact"/>
      <w:ind w:hanging="420"/>
      <w:outlineLvl w:val="2"/>
    </w:pPr>
    <w:rPr>
      <w:rFonts w:asciiTheme="minorHAnsi" w:eastAsia="仿宋_GB2312" w:hAnsiTheme="minorHAnsi" w:cstheme="minorBidi"/>
      <w:sz w:val="32"/>
      <w:szCs w:val="24"/>
    </w:rPr>
  </w:style>
  <w:style w:type="paragraph" w:customStyle="1" w:styleId="ALTZ1">
    <w:name w:val="ALT+Z 附件正文1"/>
    <w:basedOn w:val="a"/>
    <w:qFormat/>
    <w:rsid w:val="00D86C0D"/>
    <w:pPr>
      <w:spacing w:line="560" w:lineRule="exact"/>
      <w:ind w:firstLineChars="200" w:firstLine="640"/>
    </w:pPr>
    <w:rPr>
      <w:rFonts w:ascii="仿宋_GB2312" w:eastAsia="仿宋_GB2312"/>
      <w:sz w:val="32"/>
      <w:szCs w:val="32"/>
    </w:rPr>
  </w:style>
  <w:style w:type="paragraph" w:styleId="a9">
    <w:name w:val="Plain Text"/>
    <w:aliases w:val="普通文字1,小,纯文本 Char Char Char,普通文字 Char,纯文本 Char Char,普通文字 Char Char,正 文 1,普通文字2,普通文字3,普通文字4,普通文字5,普通文字6,普通文字11,普通文字21,普通文字31,普通文字41,普通文字7,纯文本 Char1 Char Char,纯文本 Char Char1,纯文本 Char1 Char,普通文字,Texte,普通文字 Char + 居中,文字缩进"/>
    <w:basedOn w:val="a"/>
    <w:link w:val="aa"/>
    <w:qFormat/>
    <w:rsid w:val="00716F37"/>
    <w:rPr>
      <w:rFonts w:ascii="宋体" w:hAnsi="Courier New"/>
      <w:szCs w:val="20"/>
      <w:lang w:val="x-none" w:eastAsia="x-none"/>
    </w:rPr>
  </w:style>
  <w:style w:type="character" w:customStyle="1" w:styleId="Char">
    <w:name w:val="纯文本 Char"/>
    <w:basedOn w:val="a0"/>
    <w:uiPriority w:val="99"/>
    <w:semiHidden/>
    <w:rsid w:val="00716F37"/>
    <w:rPr>
      <w:rFonts w:ascii="宋体" w:eastAsia="宋体" w:hAnsi="Courier New" w:cs="Courier New"/>
      <w:szCs w:val="21"/>
    </w:rPr>
  </w:style>
  <w:style w:type="character" w:customStyle="1" w:styleId="aa">
    <w:name w:val="纯文本 字符"/>
    <w:aliases w:val="普通文字1 字符,小 字符,纯文本 Char Char Char 字符,普通文字 Char 字符,纯文本 Char Char 字符,普通文字 Char Char 字符,正 文 1 字符,普通文字2 字符,普通文字3 字符,普通文字4 字符,普通文字5 字符,普通文字6 字符,普通文字11 字符,普通文字21 字符,普通文字31 字符,普通文字41 字符,普通文字7 字符,纯文本 Char1 Char Char 字符,纯文本 Char Char1 字符,纯文本 Char1 Char 字符"/>
    <w:link w:val="a9"/>
    <w:rsid w:val="00716F37"/>
    <w:rPr>
      <w:rFonts w:ascii="宋体" w:eastAsia="宋体" w:hAnsi="Courier New" w:cs="Times New Roman"/>
      <w:szCs w:val="20"/>
      <w:lang w:val="x-none" w:eastAsia="x-none"/>
    </w:rPr>
  </w:style>
  <w:style w:type="paragraph" w:styleId="ab">
    <w:name w:val="Balloon Text"/>
    <w:basedOn w:val="a"/>
    <w:link w:val="ac"/>
    <w:uiPriority w:val="99"/>
    <w:semiHidden/>
    <w:unhideWhenUsed/>
    <w:rsid w:val="007E0F21"/>
    <w:rPr>
      <w:sz w:val="18"/>
      <w:szCs w:val="18"/>
    </w:rPr>
  </w:style>
  <w:style w:type="character" w:customStyle="1" w:styleId="ac">
    <w:name w:val="批注框文本 字符"/>
    <w:basedOn w:val="a0"/>
    <w:link w:val="ab"/>
    <w:uiPriority w:val="99"/>
    <w:semiHidden/>
    <w:rsid w:val="007E0F21"/>
    <w:rPr>
      <w:rFonts w:ascii="Calibri" w:eastAsia="宋体" w:hAnsi="Calibri" w:cs="Times New Roman"/>
      <w:sz w:val="18"/>
      <w:szCs w:val="18"/>
    </w:rPr>
  </w:style>
  <w:style w:type="character" w:customStyle="1" w:styleId="Char2">
    <w:name w:val="纯文本 Char2"/>
    <w:rsid w:val="00747605"/>
    <w:rPr>
      <w:rFonts w:ascii="宋体" w:hAnsi="Courier New"/>
      <w:kern w:val="2"/>
      <w:sz w:val="21"/>
    </w:rPr>
  </w:style>
  <w:style w:type="paragraph" w:styleId="3">
    <w:name w:val="Body Text Indent 3"/>
    <w:basedOn w:val="a"/>
    <w:link w:val="3Char"/>
    <w:rsid w:val="002465CF"/>
    <w:pPr>
      <w:adjustRightInd w:val="0"/>
      <w:snapToGrid w:val="0"/>
      <w:spacing w:line="300" w:lineRule="auto"/>
      <w:ind w:firstLineChars="200" w:firstLine="420"/>
    </w:pPr>
    <w:rPr>
      <w:rFonts w:ascii="宋体" w:hAnsi="Times New Roman"/>
      <w:szCs w:val="24"/>
      <w:lang w:val="x-none" w:eastAsia="x-none"/>
    </w:rPr>
  </w:style>
  <w:style w:type="character" w:customStyle="1" w:styleId="30">
    <w:name w:val="正文文本缩进 3 字符"/>
    <w:basedOn w:val="a0"/>
    <w:uiPriority w:val="99"/>
    <w:semiHidden/>
    <w:rsid w:val="002465CF"/>
    <w:rPr>
      <w:rFonts w:ascii="Calibri" w:eastAsia="宋体" w:hAnsi="Calibri" w:cs="Times New Roman"/>
      <w:sz w:val="16"/>
      <w:szCs w:val="16"/>
    </w:rPr>
  </w:style>
  <w:style w:type="character" w:customStyle="1" w:styleId="3Char">
    <w:name w:val="正文文本缩进 3 Char"/>
    <w:link w:val="3"/>
    <w:rsid w:val="002465CF"/>
    <w:rPr>
      <w:rFonts w:ascii="宋体" w:eastAsia="宋体" w:hAnsi="Times New Roman"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304</Words>
  <Characters>1737</Characters>
  <Application>Microsoft Office Word</Application>
  <DocSecurity>0</DocSecurity>
  <Lines>14</Lines>
  <Paragraphs>4</Paragraphs>
  <ScaleCrop>false</ScaleCrop>
  <Company>china</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Sky123.Org</cp:lastModifiedBy>
  <cp:revision>33</cp:revision>
  <dcterms:created xsi:type="dcterms:W3CDTF">2018-07-14T05:06:00Z</dcterms:created>
  <dcterms:modified xsi:type="dcterms:W3CDTF">2020-07-10T08:17:00Z</dcterms:modified>
</cp:coreProperties>
</file>