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466" w:rsidRPr="00E51691" w:rsidRDefault="002D2466" w:rsidP="002D2466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E51691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ED31DD" w:rsidRDefault="00ED31DD" w:rsidP="00ED31DD">
      <w:pPr>
        <w:keepNext/>
        <w:keepLines/>
        <w:spacing w:before="260" w:after="260" w:line="360" w:lineRule="auto"/>
        <w:jc w:val="left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一、货物清单明细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850"/>
        <w:gridCol w:w="807"/>
        <w:gridCol w:w="2085"/>
        <w:gridCol w:w="1644"/>
      </w:tblGrid>
      <w:tr w:rsidR="00ED31DD" w:rsidTr="00AF48C4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货物名称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数量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项目预算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备注</w:t>
            </w:r>
          </w:p>
        </w:tc>
      </w:tr>
      <w:tr w:rsidR="00ED31DD" w:rsidTr="00AF48C4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光通信性能测试设备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套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5,3</w:t>
            </w:r>
            <w:r>
              <w:rPr>
                <w:rFonts w:ascii="新宋体" w:eastAsia="新宋体" w:hAnsi="新宋体"/>
              </w:rPr>
              <w:t>00</w:t>
            </w:r>
            <w:r>
              <w:rPr>
                <w:rFonts w:ascii="新宋体" w:eastAsia="新宋体" w:hAnsi="新宋体" w:hint="eastAsia"/>
              </w:rPr>
              <w:t>,</w:t>
            </w:r>
            <w:r>
              <w:rPr>
                <w:rFonts w:ascii="新宋体" w:eastAsia="新宋体" w:hAnsi="新宋体"/>
              </w:rPr>
              <w:t>000</w:t>
            </w:r>
            <w:r>
              <w:rPr>
                <w:rFonts w:ascii="新宋体" w:eastAsia="新宋体" w:hAnsi="新宋体" w:hint="eastAsia"/>
              </w:rPr>
              <w:t>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接受进口</w:t>
            </w:r>
          </w:p>
        </w:tc>
      </w:tr>
      <w:tr w:rsidR="00ED31DD" w:rsidTr="00AF48C4">
        <w:trPr>
          <w:trHeight w:val="267"/>
        </w:trPr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合计（单位;元）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5,3</w:t>
            </w:r>
            <w:r>
              <w:rPr>
                <w:rFonts w:ascii="新宋体" w:eastAsia="新宋体" w:hAnsi="新宋体"/>
              </w:rPr>
              <w:t>00</w:t>
            </w:r>
            <w:r>
              <w:rPr>
                <w:rFonts w:ascii="新宋体" w:eastAsia="新宋体" w:hAnsi="新宋体" w:hint="eastAsia"/>
              </w:rPr>
              <w:t>,</w:t>
            </w:r>
            <w:r>
              <w:rPr>
                <w:rFonts w:ascii="新宋体" w:eastAsia="新宋体" w:hAnsi="新宋体"/>
              </w:rPr>
              <w:t>000</w:t>
            </w:r>
            <w:r>
              <w:rPr>
                <w:rFonts w:ascii="新宋体" w:eastAsia="新宋体" w:hAnsi="新宋体" w:hint="eastAsia"/>
              </w:rPr>
              <w:t>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360" w:lineRule="auto"/>
              <w:jc w:val="center"/>
              <w:rPr>
                <w:rFonts w:ascii="新宋体" w:eastAsia="新宋体" w:hAnsi="新宋体"/>
              </w:rPr>
            </w:pPr>
          </w:p>
        </w:tc>
      </w:tr>
    </w:tbl>
    <w:p w:rsidR="00ED31DD" w:rsidRDefault="00ED31DD" w:rsidP="00ED31DD">
      <w:pPr>
        <w:spacing w:line="360" w:lineRule="auto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:rsidR="00ED31DD" w:rsidRDefault="00ED31DD" w:rsidP="00ED31DD">
      <w:pPr>
        <w:spacing w:line="360" w:lineRule="auto"/>
        <w:rPr>
          <w:rFonts w:ascii="新宋体" w:eastAsia="新宋体" w:hAnsi="新宋体" w:hint="eastAsia"/>
        </w:rPr>
      </w:pPr>
      <w:r>
        <w:rPr>
          <w:rFonts w:ascii="新宋体" w:eastAsia="新宋体" w:hAnsi="新宋体" w:hint="eastAsia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新方案的供应商的进口产品，相关内容以财库〔2007〕119 号文和财办库〔2008〕248 号文的相关规定为准。</w:t>
      </w:r>
    </w:p>
    <w:p w:rsidR="00ED31DD" w:rsidRDefault="00ED31DD" w:rsidP="00ED31DD">
      <w:pPr>
        <w:keepNext/>
        <w:keepLines/>
        <w:spacing w:before="260" w:after="260" w:line="360" w:lineRule="auto"/>
        <w:jc w:val="left"/>
        <w:outlineLvl w:val="1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二、需求书（带★号为必须满足的技术指标项，不满足则投标无效，带▲号为重要技术指标项，不满足重点扣分）</w:t>
      </w:r>
    </w:p>
    <w:p w:rsidR="00ED31DD" w:rsidRDefault="00ED31DD" w:rsidP="00ED31D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、技术性能指标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7087"/>
      </w:tblGrid>
      <w:tr w:rsidR="00ED31DD" w:rsidTr="00AF48C4">
        <w:trPr>
          <w:trHeight w:val="258"/>
        </w:trPr>
        <w:tc>
          <w:tcPr>
            <w:tcW w:w="709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技术指标名称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招标技术指标值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bookmarkStart w:id="0" w:name="_Hlk337632878"/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信号源性能指标</w:t>
            </w: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1.模拟通道数目：≥8个；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2.模拟带宽：大于等于2GHz；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▲3.DAC分辨率： 不小于14比特；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4.采样率范围：300S/s – 5GS/s (可内插至10GS/s)；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标配波形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记录长度：每通道不小于1G样点；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6.波形粒度：1G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个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样点；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7.DC输出幅度：单端350mVpp至700mVpp；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8.AC输出幅度： -17dBm至-5dBm；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9.集成Windows操作系统及容性触摸屏，支持本地及远程客户端软件控制；</w:t>
            </w:r>
          </w:p>
        </w:tc>
      </w:tr>
      <w:tr w:rsidR="00ED31DD" w:rsidTr="00AF48C4">
        <w:trPr>
          <w:trHeight w:val="36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10.每通道Marker通道数目：不小于4个；</w:t>
            </w:r>
          </w:p>
        </w:tc>
      </w:tr>
      <w:bookmarkEnd w:id="0"/>
      <w:tr w:rsidR="00ED31DD" w:rsidTr="00AF48C4">
        <w:trPr>
          <w:trHeight w:val="525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误码仪性能指标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1.码型产生和误码分析可达范围：单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路直接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输出/输入可支持的数据速率为1.2Gbps~31.8Gbps ，且连续可调, 无需通过多通道合成；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2.数据输出幅度（单端）： 50mV ~ 1.8V；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3.数据输出电压窗口：-2.0V至+3.0V；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4.时钟输出幅度（单端）： 250mV ~ 1.8V；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5.外部时钟输入范围：1GHz~32GHz；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6.误码检测器上升时间及带宽：上升时间（20%-80%）典型值小于等于16ps （等效于20GHz 带宽）；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7.内置windows计算机操作系统，内置显示器，支持触摸屏操作；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▲8.可以进行眼图测试，眼图叠加，眼高，眼宽，上升时间，下降时间，0电平，1电平，幅度，信号交叉点，抖动Rms/PK-PK，噪声，VECP，Digital SNR等参数测量；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9.可以自动进行误码检测和统计，支持手动插入误码和自动插入误码；</w:t>
            </w:r>
          </w:p>
        </w:tc>
      </w:tr>
      <w:tr w:rsidR="00ED31DD" w:rsidTr="00AF48C4">
        <w:trPr>
          <w:trHeight w:val="525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10.可以选择PRBS等码型文件，也可以使用用户自定义的码型，进行码型输出和误码检测；</w:t>
            </w:r>
          </w:p>
        </w:tc>
      </w:tr>
      <w:tr w:rsidR="00ED31DD" w:rsidTr="00AF48C4">
        <w:trPr>
          <w:trHeight w:val="90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光示波器主机性能指标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▲1.分辨率：16比特</w:t>
            </w:r>
          </w:p>
        </w:tc>
      </w:tr>
      <w:tr w:rsidR="00ED31DD" w:rsidTr="00AF48C4">
        <w:trPr>
          <w:trHeight w:val="350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2.最高采样率：200kHz</w:t>
            </w:r>
          </w:p>
        </w:tc>
      </w:tr>
      <w:tr w:rsidR="00ED31DD" w:rsidTr="00AF48C4">
        <w:trPr>
          <w:trHeight w:val="271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3.支持光模块插槽：≥2个</w:t>
            </w:r>
          </w:p>
        </w:tc>
      </w:tr>
      <w:tr w:rsidR="00ED31DD" w:rsidTr="00AF48C4">
        <w:trPr>
          <w:trHeight w:val="318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4.支持电模块插槽：≥2个</w:t>
            </w:r>
          </w:p>
        </w:tc>
      </w:tr>
      <w:tr w:rsidR="00ED31DD" w:rsidTr="00AF48C4">
        <w:trPr>
          <w:trHeight w:val="252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5.内置操作系统和触摸显示屏、光驱</w:t>
            </w:r>
          </w:p>
        </w:tc>
      </w:tr>
      <w:tr w:rsidR="00ED31DD" w:rsidTr="00AF48C4">
        <w:trPr>
          <w:trHeight w:val="301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光示波器光模块</w:t>
            </w:r>
          </w:p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性能指标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1.模拟光带宽：不小于9GHz</w:t>
            </w:r>
          </w:p>
        </w:tc>
      </w:tr>
      <w:tr w:rsidR="00ED31DD" w:rsidTr="00AF48C4">
        <w:trPr>
          <w:trHeight w:val="220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2.输入Fiber类型：9或50或62.5um</w:t>
            </w:r>
          </w:p>
        </w:tc>
      </w:tr>
      <w:tr w:rsidR="00ED31DD" w:rsidTr="00AF48C4">
        <w:trPr>
          <w:trHeight w:val="268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3.输入光波长范围：700 nm–1650 nm</w:t>
            </w:r>
          </w:p>
        </w:tc>
      </w:tr>
      <w:tr w:rsidR="00ED31DD" w:rsidTr="00AF48C4">
        <w:trPr>
          <w:trHeight w:val="331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4.最大输入光强度(Average)：不小于2mw</w:t>
            </w:r>
          </w:p>
        </w:tc>
      </w:tr>
      <w:tr w:rsidR="00ED31DD" w:rsidTr="00AF48C4">
        <w:trPr>
          <w:trHeight w:val="236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5.内置滤波器（光参考接收机)：10G滤波器外加3个低速滤波器</w:t>
            </w:r>
          </w:p>
        </w:tc>
      </w:tr>
      <w:tr w:rsidR="00ED31DD" w:rsidTr="00AF48C4">
        <w:trPr>
          <w:trHeight w:val="91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光示波器时钟恢复模块性能指标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▲1.速率：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标配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150M-12.5Gbps连续可调</w:t>
            </w:r>
          </w:p>
        </w:tc>
      </w:tr>
      <w:tr w:rsidR="00ED31DD" w:rsidTr="00AF48C4">
        <w:trPr>
          <w:trHeight w:val="347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2.环路带宽：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标配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100K-12MHz 连续可调</w:t>
            </w:r>
          </w:p>
        </w:tc>
      </w:tr>
      <w:tr w:rsidR="00ED31DD" w:rsidTr="00AF48C4">
        <w:trPr>
          <w:trHeight w:val="280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3.使用环境：</w:t>
            </w:r>
            <w:r>
              <w:rPr>
                <w:rFonts w:ascii="新宋体" w:eastAsia="新宋体" w:hAnsi="新宋体" w:hint="eastAsia"/>
                <w:szCs w:val="21"/>
                <w:highlight w:val="yellow"/>
              </w:rPr>
              <w:t>可以单独使用，或者配合误码</w:t>
            </w:r>
            <w:proofErr w:type="gramStart"/>
            <w:r>
              <w:rPr>
                <w:rFonts w:ascii="新宋体" w:eastAsia="新宋体" w:hAnsi="新宋体" w:hint="eastAsia"/>
                <w:szCs w:val="21"/>
                <w:highlight w:val="yellow"/>
              </w:rPr>
              <w:t>仪使用</w:t>
            </w:r>
            <w:proofErr w:type="gramEnd"/>
          </w:p>
        </w:tc>
      </w:tr>
      <w:tr w:rsidR="00ED31DD" w:rsidTr="00AF48C4">
        <w:trPr>
          <w:trHeight w:val="186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4.PLL的峰值范围：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标配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0-6 dB任意可调</w:t>
            </w:r>
          </w:p>
        </w:tc>
      </w:tr>
      <w:tr w:rsidR="00ED31DD" w:rsidTr="00AF48C4">
        <w:trPr>
          <w:trHeight w:val="249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▲5.随机抖动典型值：70fs</w:t>
            </w:r>
          </w:p>
        </w:tc>
      </w:tr>
      <w:tr w:rsidR="00ED31DD" w:rsidTr="00AF48C4">
        <w:trPr>
          <w:trHeight w:val="296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调试培训服务</w:t>
            </w:r>
          </w:p>
        </w:tc>
        <w:tc>
          <w:tcPr>
            <w:tcW w:w="7087" w:type="dxa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1.至少两次现场免费培训</w:t>
            </w:r>
          </w:p>
        </w:tc>
      </w:tr>
      <w:tr w:rsidR="00ED31DD" w:rsidTr="00AF48C4">
        <w:trPr>
          <w:trHeight w:val="344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Pr="007D62E3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7D62E3">
              <w:rPr>
                <w:rFonts w:ascii="新宋体" w:eastAsia="新宋体" w:hAnsi="新宋体" w:hint="eastAsia"/>
                <w:szCs w:val="21"/>
              </w:rPr>
              <w:t>2.满足24小时热线服务</w:t>
            </w:r>
          </w:p>
        </w:tc>
      </w:tr>
      <w:tr w:rsidR="00ED31DD" w:rsidTr="00AF48C4">
        <w:trPr>
          <w:trHeight w:val="344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Pr="007D62E3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7D62E3">
              <w:rPr>
                <w:rFonts w:ascii="新宋体" w:eastAsia="新宋体" w:hAnsi="新宋体" w:hint="eastAsia"/>
                <w:szCs w:val="21"/>
              </w:rPr>
              <w:t>3.协助进行上位机开发</w:t>
            </w:r>
          </w:p>
        </w:tc>
      </w:tr>
      <w:tr w:rsidR="00ED31DD" w:rsidTr="00AF48C4">
        <w:trPr>
          <w:trHeight w:val="344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ED31DD" w:rsidRPr="007D62E3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 w:rsidRPr="007D62E3">
              <w:rPr>
                <w:rFonts w:ascii="新宋体" w:eastAsia="新宋体" w:hAnsi="新宋体" w:hint="eastAsia"/>
                <w:szCs w:val="21"/>
              </w:rPr>
              <w:t>4.提供新产品免费试用及合作实验室服务</w:t>
            </w:r>
          </w:p>
        </w:tc>
      </w:tr>
      <w:tr w:rsidR="00ED31DD" w:rsidTr="00AF48C4">
        <w:trPr>
          <w:trHeight w:val="129"/>
        </w:trPr>
        <w:tc>
          <w:tcPr>
            <w:tcW w:w="709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其他要求</w:t>
            </w: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1.系统组建和实现测试功能等的必备附件</w:t>
            </w:r>
          </w:p>
        </w:tc>
      </w:tr>
      <w:tr w:rsidR="00ED31DD" w:rsidTr="00AF48C4">
        <w:trPr>
          <w:trHeight w:val="233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2.系统使用说明书及培训文档</w:t>
            </w:r>
          </w:p>
        </w:tc>
      </w:tr>
      <w:tr w:rsidR="00ED31DD" w:rsidTr="00AF48C4">
        <w:trPr>
          <w:trHeight w:val="232"/>
        </w:trPr>
        <w:tc>
          <w:tcPr>
            <w:tcW w:w="709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087" w:type="dxa"/>
          </w:tcPr>
          <w:p w:rsidR="00ED31DD" w:rsidRDefault="00ED31DD" w:rsidP="00AF48C4">
            <w:pPr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3.订单确认后1个月内需要提供设备的安装条件</w:t>
            </w:r>
          </w:p>
        </w:tc>
      </w:tr>
    </w:tbl>
    <w:p w:rsidR="00ED31DD" w:rsidRDefault="00ED31DD" w:rsidP="00ED31DD">
      <w:pPr>
        <w:tabs>
          <w:tab w:val="left" w:pos="5385"/>
        </w:tabs>
        <w:autoSpaceDE w:val="0"/>
        <w:autoSpaceDN w:val="0"/>
        <w:adjustRightInd w:val="0"/>
        <w:spacing w:line="360" w:lineRule="auto"/>
        <w:jc w:val="left"/>
      </w:pPr>
    </w:p>
    <w:p w:rsidR="00ED31DD" w:rsidRDefault="00ED31DD" w:rsidP="00ED31D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、配置清单及零配件（包括专用工具）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1701"/>
        <w:gridCol w:w="1417"/>
      </w:tblGrid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数量</w:t>
            </w:r>
          </w:p>
        </w:tc>
      </w:tr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信号源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</w:tr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误码仪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</w:tr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3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光示波器主机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</w:tr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4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光示波器光模块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</w:tr>
      <w:tr w:rsidR="00ED31DD" w:rsidTr="00AF48C4">
        <w:trPr>
          <w:trHeight w:val="454"/>
        </w:trPr>
        <w:tc>
          <w:tcPr>
            <w:tcW w:w="99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5</w:t>
            </w:r>
          </w:p>
        </w:tc>
        <w:tc>
          <w:tcPr>
            <w:tcW w:w="5103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光示波器时钟恢复模块</w:t>
            </w:r>
          </w:p>
        </w:tc>
        <w:tc>
          <w:tcPr>
            <w:tcW w:w="1701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:rsidR="00ED31DD" w:rsidRDefault="00ED31DD" w:rsidP="00AF48C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1</w:t>
            </w:r>
          </w:p>
        </w:tc>
      </w:tr>
    </w:tbl>
    <w:p w:rsidR="00ED31DD" w:rsidRDefault="00ED31DD" w:rsidP="00ED31DD">
      <w:pPr>
        <w:rPr>
          <w:rFonts w:ascii="新宋体" w:eastAsia="新宋体" w:hAnsi="新宋体" w:hint="eastAsia"/>
        </w:rPr>
      </w:pPr>
    </w:p>
    <w:p w:rsidR="00ED31DD" w:rsidRDefault="00ED31DD" w:rsidP="00ED31DD">
      <w:pPr>
        <w:rPr>
          <w:rFonts w:hint="eastAsia"/>
        </w:rPr>
      </w:pPr>
      <w:r>
        <w:t>3</w:t>
      </w:r>
      <w:r>
        <w:rPr>
          <w:rFonts w:hint="eastAsia"/>
        </w:rPr>
        <w:t>、商务需求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6237"/>
      </w:tblGrid>
      <w:tr w:rsidR="00ED31DD" w:rsidTr="00AF4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商务需求</w:t>
            </w:r>
          </w:p>
        </w:tc>
      </w:tr>
      <w:tr w:rsidR="00ED31DD" w:rsidTr="00AF48C4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（一）免费保修期内售后服务要求（可选）</w:t>
            </w:r>
          </w:p>
        </w:tc>
      </w:tr>
      <w:tr w:rsidR="00ED31DD" w:rsidTr="00AF4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在保修期内，一旦发生质量问题，投标人保证在接到通知24小时内赶到现场进行修理或更换。</w:t>
            </w:r>
          </w:p>
        </w:tc>
      </w:tr>
      <w:tr w:rsidR="00ED31DD" w:rsidTr="00AF4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投标人应按其投标文件中的承诺，进行其他售后服务工作。</w:t>
            </w:r>
          </w:p>
        </w:tc>
      </w:tr>
      <w:tr w:rsidR="00ED31DD" w:rsidTr="00AF48C4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（二）其他商务要求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交货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1.1交货地点：鹏城实验室指定地点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1.2交货期：合同签订后 100 日内（自然日）交付并通过采购人验收。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报价方式及要求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 w:rsidRPr="00BD7811">
              <w:rPr>
                <w:rFonts w:ascii="仿宋_GB2312" w:hAnsi="仿宋_GB2312" w:cs="仿宋_GB2312" w:hint="eastAsia"/>
                <w:bCs/>
                <w:szCs w:val="21"/>
                <w:lang w:val="zh-CN"/>
              </w:rPr>
              <w:t>2</w:t>
            </w:r>
            <w:r w:rsidRPr="00BD7811">
              <w:rPr>
                <w:rFonts w:ascii="仿宋_GB2312" w:hAnsi="仿宋_GB2312" w:cs="仿宋_GB2312"/>
                <w:bCs/>
                <w:szCs w:val="21"/>
                <w:lang w:val="zh-CN"/>
              </w:rPr>
              <w:t>.1</w:t>
            </w:r>
            <w:r>
              <w:rPr>
                <w:rFonts w:ascii="仿宋_GB2312" w:hAnsi="仿宋_GB2312" w:cs="仿宋_GB2312" w:hint="eastAsia"/>
                <w:b/>
                <w:bCs/>
                <w:szCs w:val="21"/>
                <w:lang w:val="zh-CN"/>
              </w:rPr>
              <w:t>国产货物：</w:t>
            </w:r>
            <w:r>
              <w:rPr>
                <w:rFonts w:ascii="仿宋_GB2312" w:hAnsi="仿宋_GB2312" w:cs="仿宋_GB2312" w:hint="eastAsia"/>
                <w:szCs w:val="21"/>
                <w:lang w:val="zh-CN"/>
              </w:rPr>
              <w:t>投标价包含仪器设备的价款、税费、包装、运输、装卸、安装、调试、技术指导、培训、咨询、服务、保险、检测、验收合格交付使用之前以及技术和售后服务、质保期退运返修等其他所有费用。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 w:rsidRPr="00AF4B69">
              <w:rPr>
                <w:rFonts w:ascii="仿宋_GB2312" w:hAnsi="仿宋_GB2312" w:cs="仿宋_GB2312" w:hint="eastAsia"/>
                <w:bCs/>
                <w:szCs w:val="21"/>
                <w:lang w:val="zh-CN"/>
              </w:rPr>
              <w:t>2</w:t>
            </w:r>
            <w:r w:rsidRPr="00AF4B69">
              <w:rPr>
                <w:rFonts w:ascii="仿宋_GB2312" w:hAnsi="仿宋_GB2312" w:cs="仿宋_GB2312"/>
                <w:bCs/>
                <w:szCs w:val="21"/>
                <w:lang w:val="zh-CN"/>
              </w:rPr>
              <w:t xml:space="preserve">.2 </w:t>
            </w:r>
            <w:r>
              <w:rPr>
                <w:rFonts w:ascii="仿宋_GB2312" w:hAnsi="仿宋_GB2312" w:cs="仿宋_GB2312" w:hint="eastAsia"/>
                <w:b/>
                <w:bCs/>
                <w:szCs w:val="21"/>
                <w:lang w:val="zh-CN"/>
              </w:rPr>
              <w:t>进口货物：</w:t>
            </w:r>
            <w:r>
              <w:rPr>
                <w:rFonts w:ascii="仿宋_GB2312" w:hAnsi="仿宋_GB2312" w:cs="仿宋_GB2312" w:hint="eastAsia"/>
                <w:szCs w:val="21"/>
              </w:rPr>
              <w:t>人民币报价（免税），投标价格中应包含仪器设备购置、包装运输及保险（境内、外）、装卸安装、调试、技术服务培训、检测、质保期内设备及部件故障的更换，维修、退运（境内、外）、</w:t>
            </w:r>
            <w:r>
              <w:rPr>
                <w:rFonts w:ascii="仿宋_GB2312" w:hAnsi="仿宋_GB2312" w:cs="仿宋_GB2312" w:hint="eastAsia"/>
                <w:b/>
                <w:szCs w:val="21"/>
              </w:rPr>
              <w:t>进口关税、进口环节增值税、消费税、</w:t>
            </w:r>
            <w:r>
              <w:rPr>
                <w:rFonts w:ascii="仿宋_GB2312" w:hAnsi="仿宋_GB2312" w:cs="仿宋_GB2312" w:hint="eastAsia"/>
                <w:b/>
                <w:bCs/>
                <w:szCs w:val="21"/>
              </w:rPr>
              <w:t>外贸代理费</w:t>
            </w:r>
            <w:r>
              <w:rPr>
                <w:rFonts w:ascii="仿宋_GB2312" w:hAnsi="仿宋_GB2312" w:cs="仿宋_GB2312" w:hint="eastAsia"/>
                <w:szCs w:val="21"/>
              </w:rPr>
              <w:t>、杂费等其他所有费用</w:t>
            </w:r>
            <w:r>
              <w:rPr>
                <w:rFonts w:ascii="仿宋_GB2312" w:hAnsi="仿宋_GB2312" w:cs="仿宋_GB2312" w:hint="eastAsia"/>
                <w:szCs w:val="21"/>
                <w:lang w:val="zh-CN"/>
              </w:rPr>
              <w:t>。</w:t>
            </w:r>
            <w:r>
              <w:rPr>
                <w:rFonts w:ascii="仿宋_GB2312" w:hAnsi="仿宋_GB2312" w:cs="仿宋_GB2312" w:hint="eastAsia"/>
                <w:szCs w:val="21"/>
              </w:rPr>
              <w:t>未注明人民币免税价的，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则一律按人民币含税价执行。</w:t>
            </w:r>
          </w:p>
          <w:p w:rsidR="00ED31DD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注：</w:t>
            </w:r>
          </w:p>
          <w:p w:rsidR="00ED31DD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①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若本项目需要使用美元或主要外币结算时，则按中国银行（现汇卖出价）开标当日开标时人民币兑美元或主要外币的汇率作为结算汇率；汇率风险将由中标人承担。</w:t>
            </w:r>
          </w:p>
          <w:p w:rsidR="00ED31DD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②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proofErr w:type="gramStart"/>
            <w:r>
              <w:rPr>
                <w:rFonts w:ascii="仿宋_GB2312" w:hAnsi="仿宋_GB2312" w:cs="仿宋_GB2312" w:hint="eastAsia"/>
                <w:bCs/>
                <w:szCs w:val="21"/>
              </w:rPr>
              <w:t>若参</w:t>
            </w:r>
            <w:proofErr w:type="gramEnd"/>
            <w:r>
              <w:rPr>
                <w:rFonts w:ascii="仿宋_GB2312" w:hAnsi="仿宋_GB2312" w:cs="仿宋_GB2312" w:hint="eastAsia"/>
                <w:bCs/>
                <w:szCs w:val="21"/>
              </w:rPr>
              <w:t>与投标的进口货物免税报价时，如有国内供货部分需在《投标分项报价表》上注明含税报价，届时需要提供税务局出具的有效发票，否则不予支付该部分货款。</w:t>
            </w:r>
          </w:p>
          <w:p w:rsidR="00ED31DD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③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依据国家相关法律法规，项目中不可免税部分请单报人民币含税价格。</w:t>
            </w:r>
          </w:p>
          <w:p w:rsidR="00ED31DD" w:rsidRPr="00BD7811" w:rsidRDefault="00ED31DD" w:rsidP="00AF48C4">
            <w:pPr>
              <w:tabs>
                <w:tab w:val="left" w:pos="420"/>
              </w:tabs>
              <w:autoSpaceDE w:val="0"/>
              <w:autoSpaceDN w:val="0"/>
              <w:rPr>
                <w:rFonts w:ascii="仿宋_GB2312" w:hAnsi="仿宋_GB2312" w:cs="仿宋_GB2312"/>
                <w:bCs/>
                <w:szCs w:val="21"/>
              </w:rPr>
            </w:pPr>
            <w:r>
              <w:rPr>
                <w:rFonts w:ascii="仿宋_GB2312" w:hAnsi="仿宋_GB2312" w:cs="仿宋_GB2312" w:hint="eastAsia"/>
                <w:bCs/>
                <w:szCs w:val="21"/>
              </w:rPr>
              <w:t>④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hAnsi="仿宋_GB2312" w:cs="仿宋_GB2312" w:hint="eastAsia"/>
                <w:bCs/>
                <w:szCs w:val="21"/>
              </w:rPr>
              <w:t>若投标人所投产品产地为美国，且在国家加征关税范围内的，则投标人报价中须包含此项费，采购人不在另行支付。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付款方式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3.1国产货物，① 40%货款签订合同后支付；②设备到货安装验收合格后，凭买方加盖公章的安装验收报告支付剩余的60%货款。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3.2进口货物，① 40%货款签订合同后支付；②设备到货安装验收合格后，凭买方加盖公章的安装验收报告支付剩余的60%货款。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质保和售后服务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4.1投标人需为本项目配备足够的售后服务力量。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4.2投标人售后服务响应时间：电话响应时间要求1小时内，到场响应时间要求24个小时内（指从接到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报障至到达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故障现场的时间）。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4.3投标人必须能够随时提供全新备品，一旦设备出现问题必须保证全新备品能在24小时内到现场，48小时内解决相关问题。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4.4投标人免费提供技术支持热线电话。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4.5投标人免费提供email技术支持，并且在24小时内回复。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Pr="00986387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  <w:highlight w:val="yellow"/>
              </w:rPr>
            </w:pPr>
            <w:r w:rsidRPr="00F762E1"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 w:rsidRPr="00F762E1">
              <w:rPr>
                <w:rFonts w:ascii="新宋体" w:eastAsia="新宋体" w:hAnsi="新宋体" w:hint="eastAsia"/>
                <w:szCs w:val="21"/>
              </w:rPr>
              <w:t>4.6投标人提供仪器设备的免费保修期至少5年（保修期内免费维修并更换除消耗品以外的零部件，维修人员的路费、食宿等自理）。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★</w:t>
            </w:r>
            <w:r>
              <w:rPr>
                <w:rFonts w:ascii="新宋体" w:eastAsia="新宋体" w:hAnsi="新宋体" w:hint="eastAsia"/>
                <w:szCs w:val="21"/>
              </w:rPr>
              <w:t>4.7投标人提供该设备的技术使用说明书及外购配件仪器说明书，并指导在使用该设备时的操作注意事项等。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培训要求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5.1满足24小时热线服务。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5.2为保证投标人所提供的仪器设备安全、可靠运行，便于采购人的运行维护，必须对采购人培训合格的维护和管理人员。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5.3投标人负责对采购人提供至少一次现场技术培训，以便工作人员在培训后能熟练地掌握系统的维护工作，并能及时排除大部分的系统障碍。</w:t>
            </w:r>
          </w:p>
        </w:tc>
      </w:tr>
      <w:tr w:rsidR="00ED31DD" w:rsidTr="00AF4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运输及包装方式的要求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6.1设备的包装、运输由投标人负责，应使用崭新坚固的木质包装（标准包装），适合于空运、或陆运等长途运输方式；适合气候变化；投标人应对任何由于不当包装或防护措施不利而导致的商品损坏、损失、费用增长等后果负责。</w:t>
            </w:r>
          </w:p>
        </w:tc>
      </w:tr>
      <w:tr w:rsidR="00ED31DD" w:rsidTr="00AF48C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安装、调试和验收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7.1投标人货物经过双方检验认可后，签署验收报告，产品保修期自验收合格之日起算，由投标人提供产品保修文件。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7.2当满足以下条件时，采购人才向投标人签发货物验收报告：</w:t>
            </w:r>
          </w:p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a、投标人已按照合同规定提供了全部产品及完整的技术资料。</w:t>
            </w:r>
          </w:p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b、货物符合招标文件技术规格书的要求，性能满足要求。</w:t>
            </w:r>
          </w:p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c、货物具备产品合格证。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7.3投标人技术工程师负责现场的免费安装、调试。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7.4仪器设备运抵安装现场后，采购人将与投标人共同开箱验收, 如投标人届时不派人来,则验收结果应以采购人和当地商检人员的验收报告为最终验收结果。验收时发现短缺、破损, 采购人有权要求投标人立即补发和负责更换。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</w:t>
            </w:r>
            <w:r>
              <w:rPr>
                <w:rFonts w:ascii="新宋体" w:eastAsia="新宋体" w:hAnsi="新宋体"/>
                <w:szCs w:val="21"/>
              </w:rPr>
              <w:t>5</w:t>
            </w:r>
            <w:r>
              <w:rPr>
                <w:rFonts w:ascii="新宋体" w:eastAsia="新宋体" w:hAnsi="新宋体" w:hint="eastAsia"/>
                <w:szCs w:val="21"/>
              </w:rPr>
              <w:t>投标人应提出仪器设备测试的内容、项目、指标和方法,投标人有责任对采购人的技术人员提出的问题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作出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解答。测试应进行详细记录, 仪器设备测试结束后, 由投标人技术人员签字后交给采购人验收。</w:t>
            </w:r>
          </w:p>
        </w:tc>
      </w:tr>
      <w:tr w:rsidR="00ED31DD" w:rsidTr="00AF48C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7.6保修期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自最终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安装验收合格后开始，保修期内卖方要保修除消耗品以外的所有部件。在保修期内，如果仪器设备发生故障，投标人要调查故障原因并修复直至满足最终验收指标和性能的要求，或者更换整个或部分有缺陷的材料。以上都应是免费的。</w:t>
            </w:r>
          </w:p>
        </w:tc>
      </w:tr>
      <w:tr w:rsidR="00ED31DD" w:rsidTr="00AF48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质量及知识产权要求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  <w:r>
              <w:rPr>
                <w:rFonts w:ascii="新宋体" w:eastAsia="新宋体" w:hAnsi="新宋体" w:hint="eastAsia"/>
                <w:szCs w:val="21"/>
              </w:rPr>
              <w:t>.1投标人提供完好、全新的原包装产品（包括零配件），随机技术资料齐全。产品符合国家质量检测标准，必须具有生产日期、厂名、厂址、产品合格证等。进口产品须提供海关进货单（复印件备查）。</w:t>
            </w:r>
          </w:p>
          <w:p w:rsidR="00ED31DD" w:rsidRDefault="00ED31DD" w:rsidP="00AF48C4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8</w:t>
            </w:r>
            <w:r>
              <w:rPr>
                <w:rFonts w:ascii="新宋体" w:eastAsia="新宋体" w:hAnsi="新宋体" w:hint="eastAsia"/>
                <w:szCs w:val="21"/>
              </w:rPr>
              <w:t>.2采购人在中国使用该货物或货物的任何一部分时，免受第三方提出的侵犯其专利权、商标权或工业设计权等知识产权的起诉或司法干预。如果发生上述起诉或干预，则其法律责任均由投标人负责。</w:t>
            </w:r>
          </w:p>
        </w:tc>
      </w:tr>
    </w:tbl>
    <w:p w:rsidR="002D2466" w:rsidRPr="00ED31DD" w:rsidRDefault="002D2466" w:rsidP="002D2466">
      <w:pPr>
        <w:spacing w:line="360" w:lineRule="auto"/>
        <w:rPr>
          <w:rFonts w:ascii="Calibri" w:hAnsi="Calibri"/>
        </w:rPr>
      </w:pPr>
      <w:bookmarkStart w:id="1" w:name="_GoBack"/>
      <w:bookmarkEnd w:id="1"/>
    </w:p>
    <w:p w:rsidR="00B25542" w:rsidRPr="002D2466" w:rsidRDefault="00B25542" w:rsidP="002D2466"/>
    <w:sectPr w:rsidR="00B25542" w:rsidRPr="002D2466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B31" w:rsidRDefault="00B14B31" w:rsidP="00391D2A">
      <w:r>
        <w:separator/>
      </w:r>
    </w:p>
  </w:endnote>
  <w:endnote w:type="continuationSeparator" w:id="0">
    <w:p w:rsidR="00B14B31" w:rsidRDefault="00B14B31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ED31DD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EC1CD6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EC1CD6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B31" w:rsidRDefault="00B14B31" w:rsidP="00391D2A">
      <w:r>
        <w:separator/>
      </w:r>
    </w:p>
  </w:footnote>
  <w:footnote w:type="continuationSeparator" w:id="0">
    <w:p w:rsidR="00B14B31" w:rsidRDefault="00B14B31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2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C5C1C"/>
    <w:rsid w:val="001E13C0"/>
    <w:rsid w:val="001E5423"/>
    <w:rsid w:val="002D2466"/>
    <w:rsid w:val="00374611"/>
    <w:rsid w:val="00391D2A"/>
    <w:rsid w:val="00412983"/>
    <w:rsid w:val="00584311"/>
    <w:rsid w:val="00634E4A"/>
    <w:rsid w:val="0087030C"/>
    <w:rsid w:val="00885337"/>
    <w:rsid w:val="00914F23"/>
    <w:rsid w:val="009A3D06"/>
    <w:rsid w:val="00AC2812"/>
    <w:rsid w:val="00AE721F"/>
    <w:rsid w:val="00B14B31"/>
    <w:rsid w:val="00B25542"/>
    <w:rsid w:val="00B52D07"/>
    <w:rsid w:val="00BD3F95"/>
    <w:rsid w:val="00BE7455"/>
    <w:rsid w:val="00C80EC1"/>
    <w:rsid w:val="00D71CF8"/>
    <w:rsid w:val="00DF745D"/>
    <w:rsid w:val="00E34658"/>
    <w:rsid w:val="00E34D08"/>
    <w:rsid w:val="00EC1CD6"/>
    <w:rsid w:val="00ED31DD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885337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basedOn w:val="a0"/>
    <w:link w:val="a9"/>
    <w:uiPriority w:val="99"/>
    <w:qFormat/>
    <w:rsid w:val="001C5C1C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10">
    <w:name w:val="标题 1 字符"/>
    <w:basedOn w:val="a0"/>
    <w:link w:val="1"/>
    <w:uiPriority w:val="99"/>
    <w:rsid w:val="0088533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Normal Indent"/>
    <w:aliases w:val="body text,鋘drad,???änd,Body Text(ch),正文（首行缩进两字） Char Char,正文（首行缩进两字） Char,正文非缩进 Char,正文缩进 Char,缩进,四号,bt,?y????×?,?y????,?y?????,????,建议书标准,正文双线,表正文 Char,正文不缩进,特点 Char,,四号 Char Char,正文缩进William,中文正文,水上软件,正文（首行缩进两字）1,正文编号,表正文,正文非缩进,特点,段1,ALT+Z,标题四,±"/>
    <w:basedOn w:val="a"/>
    <w:link w:val="ac"/>
    <w:qFormat/>
    <w:rsid w:val="00885337"/>
    <w:pPr>
      <w:ind w:firstLineChars="200" w:firstLine="420"/>
    </w:pPr>
    <w:rPr>
      <w:rFonts w:ascii="Calibri" w:eastAsia="宋体" w:hAnsi="Calibri" w:cs="Times New Roman"/>
      <w:szCs w:val="20"/>
    </w:rPr>
  </w:style>
  <w:style w:type="character" w:customStyle="1" w:styleId="ac">
    <w:name w:val="正文缩进 字符"/>
    <w:aliases w:val="body text 字符,鋘drad 字符,???änd 字符,Body Text(ch) 字符,正文（首行缩进两字） Char Char 字符,正文（首行缩进两字） Char 字符,正文非缩进 Char 字符,正文缩进 Char 字符,缩进 字符,四号 字符,bt 字符,?y????×? 字符,?y???? 字符,?y????? 字符,???? 字符,建议书标准 字符,正文双线 字符,表正文 Char 字符,正文不缩进 字符,特点 Char 字符, 字符,中文正文 字符,特点 字符"/>
    <w:link w:val="ab"/>
    <w:qFormat/>
    <w:rsid w:val="00885337"/>
    <w:rPr>
      <w:rFonts w:ascii="Calibri" w:eastAsia="宋体" w:hAnsi="Calibri" w:cs="Times New Roman"/>
      <w:szCs w:val="20"/>
    </w:rPr>
  </w:style>
  <w:style w:type="character" w:customStyle="1" w:styleId="Char1">
    <w:name w:val="正文缩进 Char1"/>
    <w:aliases w:val="特点 Char1,四号 Char,水上软件 Char,段1 Char,ALT+Z Char,标题4 Char,正文不缩进 Char,特点 Char Char,正文(首行缩进两字) Char,正文(首行缩进两字)1 Char,正文对齐 Char,缩进 Char,Paragraph2 Char,Paragraph3 Char,Paragraph4 Char,Paragraph5 Char,Paragraph6 Char,鋘drad Char"/>
    <w:qFormat/>
    <w:rsid w:val="002D2466"/>
    <w:rPr>
      <w:sz w:val="24"/>
    </w:rPr>
  </w:style>
  <w:style w:type="character" w:customStyle="1" w:styleId="Char2">
    <w:name w:val="纯文本 Char2"/>
    <w:rsid w:val="002D2466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596</Words>
  <Characters>3402</Characters>
  <Application>Microsoft Office Word</Application>
  <DocSecurity>0</DocSecurity>
  <Lines>28</Lines>
  <Paragraphs>7</Paragraphs>
  <ScaleCrop>false</ScaleCrop>
  <Company>china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31</cp:revision>
  <dcterms:created xsi:type="dcterms:W3CDTF">2018-07-14T05:06:00Z</dcterms:created>
  <dcterms:modified xsi:type="dcterms:W3CDTF">2019-07-12T09:29:00Z</dcterms:modified>
</cp:coreProperties>
</file>