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611" w:rsidRPr="000F4610" w:rsidRDefault="00374611" w:rsidP="00374611">
      <w:pPr>
        <w:keepNext/>
        <w:keepLines/>
        <w:spacing w:before="260" w:after="260" w:line="413" w:lineRule="auto"/>
        <w:jc w:val="center"/>
        <w:outlineLvl w:val="1"/>
        <w:rPr>
          <w:rFonts w:asciiTheme="minorEastAsia" w:hAnsiTheme="minorEastAsia" w:cs="Times New Roman"/>
          <w:b/>
          <w:sz w:val="36"/>
          <w:szCs w:val="36"/>
        </w:rPr>
      </w:pPr>
      <w:bookmarkStart w:id="0" w:name="_Toc531772066"/>
      <w:r w:rsidRPr="000F4610">
        <w:rPr>
          <w:rFonts w:asciiTheme="minorEastAsia" w:hAnsiTheme="minorEastAsia" w:cs="Times New Roman" w:hint="eastAsia"/>
          <w:b/>
          <w:sz w:val="36"/>
          <w:szCs w:val="36"/>
        </w:rPr>
        <w:t>第六章　项目采购需求</w:t>
      </w:r>
      <w:bookmarkEnd w:id="0"/>
    </w:p>
    <w:p w:rsidR="000F4610" w:rsidRPr="000F4610" w:rsidRDefault="000F4610" w:rsidP="000F4610">
      <w:pPr>
        <w:keepNext/>
        <w:keepLines/>
        <w:spacing w:before="120" w:after="120" w:line="360" w:lineRule="auto"/>
        <w:outlineLvl w:val="0"/>
        <w:rPr>
          <w:rFonts w:asciiTheme="minorEastAsia" w:hAnsiTheme="minorEastAsia" w:cs="Times New Roman"/>
          <w:b/>
          <w:bCs/>
          <w:kern w:val="44"/>
          <w:sz w:val="24"/>
          <w:szCs w:val="24"/>
        </w:rPr>
      </w:pPr>
      <w:r w:rsidRPr="000F4610">
        <w:rPr>
          <w:rFonts w:asciiTheme="minorEastAsia" w:hAnsiTheme="minorEastAsia" w:cs="Times New Roman" w:hint="eastAsia"/>
          <w:b/>
          <w:bCs/>
          <w:kern w:val="44"/>
          <w:sz w:val="24"/>
          <w:szCs w:val="24"/>
        </w:rPr>
        <w:t>一、项目清单</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118"/>
        <w:gridCol w:w="1004"/>
        <w:gridCol w:w="685"/>
        <w:gridCol w:w="1579"/>
        <w:gridCol w:w="1741"/>
      </w:tblGrid>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序号</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货物名称</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数量</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单</w:t>
            </w:r>
            <w:bookmarkStart w:id="1" w:name="_GoBack"/>
            <w:bookmarkEnd w:id="1"/>
            <w:r w:rsidRPr="000F4610">
              <w:rPr>
                <w:rFonts w:asciiTheme="minorEastAsia" w:hAnsiTheme="minorEastAsia" w:cs="Times New Roman" w:hint="eastAsia"/>
                <w:sz w:val="24"/>
                <w:szCs w:val="24"/>
              </w:rPr>
              <w:t>位</w:t>
            </w:r>
          </w:p>
        </w:tc>
        <w:tc>
          <w:tcPr>
            <w:tcW w:w="1579"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备注</w:t>
            </w:r>
          </w:p>
        </w:tc>
        <w:tc>
          <w:tcPr>
            <w:tcW w:w="1741"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预算金额（元）</w:t>
            </w: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b/>
                <w:sz w:val="24"/>
                <w:szCs w:val="24"/>
              </w:rPr>
            </w:pPr>
            <w:r w:rsidRPr="000F4610">
              <w:rPr>
                <w:rFonts w:asciiTheme="minorEastAsia" w:hAnsiTheme="minorEastAsia" w:cs="Times New Roman" w:hint="eastAsia"/>
                <w:b/>
                <w:sz w:val="24"/>
                <w:szCs w:val="24"/>
              </w:rPr>
              <w:t>数字集群基站建设</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 xml:space="preserve">　</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 xml:space="preserve">　</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restart"/>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9</w:t>
            </w:r>
            <w:r w:rsidRPr="000F4610">
              <w:rPr>
                <w:rFonts w:asciiTheme="minorEastAsia" w:hAnsiTheme="minorEastAsia" w:cs="Times New Roman"/>
                <w:sz w:val="24"/>
                <w:szCs w:val="24"/>
              </w:rPr>
              <w:t>55</w:t>
            </w:r>
            <w:r w:rsidRPr="000F4610">
              <w:rPr>
                <w:rFonts w:asciiTheme="minorEastAsia" w:hAnsiTheme="minorEastAsia" w:cs="Times New Roman" w:hint="eastAsia"/>
                <w:sz w:val="24"/>
                <w:szCs w:val="24"/>
              </w:rPr>
              <w:t>,600.00</w:t>
            </w: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1.1</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基站设备</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1.2</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现有交换中心扩容</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项</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基站机房基础设施</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 xml:space="preserve">　</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 xml:space="preserve">　</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1.3.1</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天馈线系统</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1.3.2</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支撑杆</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1.3.3</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强电引入</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项</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1.3.4</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交流屏</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1.3.5</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48V电源</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1.3.6</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蓄电池</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1.3.7</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防雷器</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1.3.8</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走线架</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项</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1.3.9</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机柜</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架</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1.3.10</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租用链路传输</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项</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b/>
                <w:sz w:val="24"/>
                <w:szCs w:val="24"/>
              </w:rPr>
            </w:pPr>
            <w:r w:rsidRPr="000F4610">
              <w:rPr>
                <w:rFonts w:asciiTheme="minorEastAsia" w:hAnsiTheme="minorEastAsia" w:cs="Times New Roman" w:hint="eastAsia"/>
                <w:b/>
                <w:sz w:val="24"/>
                <w:szCs w:val="24"/>
              </w:rPr>
              <w:t>直放站</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b/>
                <w:sz w:val="24"/>
                <w:szCs w:val="24"/>
              </w:rPr>
            </w:pPr>
            <w:r w:rsidRPr="000F4610">
              <w:rPr>
                <w:rFonts w:asciiTheme="minorEastAsia" w:hAnsiTheme="minorEastAsia" w:cs="Times New Roman" w:hint="eastAsia"/>
                <w:b/>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2.1</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近端机</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台</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2.2</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远端机</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台</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2.3</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天线</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根</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2.4</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避雷器</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proofErr w:type="gramStart"/>
            <w:r w:rsidRPr="000F4610">
              <w:rPr>
                <w:rFonts w:asciiTheme="minorEastAsia" w:hAnsiTheme="minorEastAsia" w:cs="Times New Roman" w:hint="eastAsia"/>
                <w:sz w:val="24"/>
                <w:szCs w:val="24"/>
              </w:rPr>
              <w:t>个</w:t>
            </w:r>
            <w:proofErr w:type="gramEnd"/>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2.5</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光缆</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米</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200</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2.6</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ODB光纤盒</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r w:rsidR="000F4610" w:rsidRPr="000F4610" w:rsidTr="006449D5">
        <w:trPr>
          <w:trHeight w:val="285"/>
          <w:jc w:val="center"/>
        </w:trPr>
        <w:tc>
          <w:tcPr>
            <w:tcW w:w="9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2.7</w:t>
            </w:r>
          </w:p>
        </w:tc>
        <w:tc>
          <w:tcPr>
            <w:tcW w:w="3118"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安装辅材</w:t>
            </w:r>
          </w:p>
        </w:tc>
        <w:tc>
          <w:tcPr>
            <w:tcW w:w="1004"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套</w:t>
            </w:r>
          </w:p>
        </w:tc>
        <w:tc>
          <w:tcPr>
            <w:tcW w:w="685" w:type="dxa"/>
            <w:shd w:val="clear" w:color="auto" w:fill="auto"/>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1579" w:type="dxa"/>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拒绝进口</w:t>
            </w:r>
          </w:p>
        </w:tc>
        <w:tc>
          <w:tcPr>
            <w:tcW w:w="1741" w:type="dxa"/>
            <w:vMerge/>
            <w:vAlign w:val="center"/>
          </w:tcPr>
          <w:p w:rsidR="000F4610" w:rsidRPr="000F4610" w:rsidRDefault="000F4610" w:rsidP="000F4610">
            <w:pPr>
              <w:widowControl/>
              <w:jc w:val="left"/>
              <w:rPr>
                <w:rFonts w:asciiTheme="minorEastAsia" w:hAnsiTheme="minorEastAsia" w:cs="Times New Roman"/>
                <w:sz w:val="24"/>
                <w:szCs w:val="24"/>
              </w:rPr>
            </w:pPr>
          </w:p>
        </w:tc>
      </w:tr>
    </w:tbl>
    <w:p w:rsidR="000F4610" w:rsidRPr="000F4610" w:rsidRDefault="000F4610" w:rsidP="000F4610">
      <w:pPr>
        <w:keepNext/>
        <w:keepLines/>
        <w:spacing w:before="120" w:after="120" w:line="360" w:lineRule="auto"/>
        <w:outlineLvl w:val="0"/>
        <w:rPr>
          <w:rFonts w:asciiTheme="minorEastAsia" w:hAnsiTheme="minorEastAsia" w:cs="Times New Roman"/>
          <w:b/>
          <w:bCs/>
          <w:kern w:val="44"/>
          <w:sz w:val="24"/>
          <w:szCs w:val="24"/>
        </w:rPr>
      </w:pPr>
      <w:r w:rsidRPr="000F4610">
        <w:rPr>
          <w:rFonts w:asciiTheme="minorEastAsia" w:hAnsiTheme="minorEastAsia" w:cs="Times New Roman" w:hint="eastAsia"/>
          <w:b/>
          <w:bCs/>
          <w:kern w:val="44"/>
          <w:sz w:val="24"/>
          <w:szCs w:val="24"/>
        </w:rPr>
        <w:t>二、技术要求</w:t>
      </w: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75"/>
        <w:gridCol w:w="5507"/>
      </w:tblGrid>
      <w:tr w:rsidR="000F4610" w:rsidRPr="000F4610" w:rsidTr="006449D5">
        <w:trPr>
          <w:trHeight w:val="330"/>
          <w:jc w:val="center"/>
        </w:trPr>
        <w:tc>
          <w:tcPr>
            <w:tcW w:w="993"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序号</w:t>
            </w:r>
          </w:p>
        </w:tc>
        <w:tc>
          <w:tcPr>
            <w:tcW w:w="2475"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货物名称</w:t>
            </w:r>
          </w:p>
        </w:tc>
        <w:tc>
          <w:tcPr>
            <w:tcW w:w="5507" w:type="dxa"/>
            <w:shd w:val="clear" w:color="auto" w:fill="auto"/>
            <w:noWrap/>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技术参数</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数字集群基站建设</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1.1</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基站设备</w:t>
            </w:r>
          </w:p>
        </w:tc>
        <w:tc>
          <w:tcPr>
            <w:tcW w:w="5507" w:type="dxa"/>
            <w:shd w:val="clear" w:color="auto" w:fill="auto"/>
            <w:noWrap/>
            <w:vAlign w:val="center"/>
          </w:tcPr>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频段:350MHz -370MHz；</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信道间隔:25kHz；</w:t>
            </w:r>
          </w:p>
          <w:p w:rsidR="000F4610" w:rsidRPr="000F4610" w:rsidRDefault="000F4610" w:rsidP="000F4610">
            <w:pPr>
              <w:widowControl/>
              <w:jc w:val="left"/>
              <w:outlineLvl w:val="8"/>
              <w:rPr>
                <w:rFonts w:asciiTheme="minorEastAsia" w:hAnsiTheme="minorEastAsia" w:cs="Times New Roman"/>
                <w:sz w:val="24"/>
                <w:szCs w:val="24"/>
              </w:rPr>
            </w:pPr>
            <w:proofErr w:type="gramStart"/>
            <w:r w:rsidRPr="000F4610">
              <w:rPr>
                <w:rFonts w:asciiTheme="minorEastAsia" w:hAnsiTheme="minorEastAsia" w:cs="Times New Roman" w:hint="eastAsia"/>
                <w:sz w:val="24"/>
                <w:szCs w:val="24"/>
              </w:rPr>
              <w:t>载波最大输出</w:t>
            </w:r>
            <w:proofErr w:type="gramEnd"/>
            <w:r w:rsidRPr="000F4610">
              <w:rPr>
                <w:rFonts w:asciiTheme="minorEastAsia" w:hAnsiTheme="minorEastAsia" w:cs="Times New Roman" w:hint="eastAsia"/>
                <w:sz w:val="24"/>
                <w:szCs w:val="24"/>
              </w:rPr>
              <w:t>功率:≥25W；</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信道分配方式:动态；</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多址方式:TDMA；</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数字速率:35Kbps；</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调制方式:∏/3DQPSK；</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载频容差:±0.1×10-5；</w:t>
            </w:r>
          </w:p>
          <w:p w:rsidR="000F4610" w:rsidRPr="000F4610" w:rsidRDefault="000F4610" w:rsidP="000F4610">
            <w:pPr>
              <w:widowControl/>
              <w:jc w:val="left"/>
              <w:outlineLvl w:val="8"/>
              <w:rPr>
                <w:rFonts w:asciiTheme="minorEastAsia" w:hAnsiTheme="minorEastAsia" w:cs="Times New Roman"/>
                <w:sz w:val="24"/>
                <w:szCs w:val="24"/>
              </w:rPr>
            </w:pPr>
            <w:proofErr w:type="gramStart"/>
            <w:r w:rsidRPr="000F4610">
              <w:rPr>
                <w:rFonts w:asciiTheme="minorEastAsia" w:hAnsiTheme="minorEastAsia" w:cs="Times New Roman" w:hint="eastAsia"/>
                <w:sz w:val="24"/>
                <w:szCs w:val="24"/>
              </w:rPr>
              <w:t>端口特性阻抗</w:t>
            </w:r>
            <w:proofErr w:type="gramEnd"/>
            <w:r w:rsidRPr="000F4610">
              <w:rPr>
                <w:rFonts w:asciiTheme="minorEastAsia" w:hAnsiTheme="minorEastAsia" w:cs="Times New Roman" w:hint="eastAsia"/>
                <w:sz w:val="24"/>
                <w:szCs w:val="24"/>
              </w:rPr>
              <w:t>:50欧姆不平衡；</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靠近</w:t>
            </w:r>
            <w:proofErr w:type="gramStart"/>
            <w:r w:rsidRPr="000F4610">
              <w:rPr>
                <w:rFonts w:asciiTheme="minorEastAsia" w:hAnsiTheme="minorEastAsia" w:cs="Times New Roman" w:hint="eastAsia"/>
                <w:sz w:val="24"/>
                <w:szCs w:val="24"/>
              </w:rPr>
              <w:t>载波无用发射</w:t>
            </w:r>
            <w:proofErr w:type="gramEnd"/>
            <w:r w:rsidRPr="000F4610">
              <w:rPr>
                <w:rFonts w:asciiTheme="minorEastAsia" w:hAnsiTheme="minorEastAsia" w:cs="Times New Roman" w:hint="eastAsia"/>
                <w:sz w:val="24"/>
                <w:szCs w:val="24"/>
              </w:rPr>
              <w:t>最大允许电平:-50dBc；</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lastRenderedPageBreak/>
              <w:t>远离</w:t>
            </w:r>
            <w:proofErr w:type="gramStart"/>
            <w:r w:rsidRPr="000F4610">
              <w:rPr>
                <w:rFonts w:asciiTheme="minorEastAsia" w:hAnsiTheme="minorEastAsia" w:cs="Times New Roman" w:hint="eastAsia"/>
                <w:sz w:val="24"/>
                <w:szCs w:val="24"/>
              </w:rPr>
              <w:t>载波无用发射</w:t>
            </w:r>
            <w:proofErr w:type="gramEnd"/>
            <w:r w:rsidRPr="000F4610">
              <w:rPr>
                <w:rFonts w:asciiTheme="minorEastAsia" w:hAnsiTheme="minorEastAsia" w:cs="Times New Roman" w:hint="eastAsia"/>
                <w:sz w:val="24"/>
                <w:szCs w:val="24"/>
              </w:rPr>
              <w:t>宽带噪声最大允许电平:-80dBc；</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远离</w:t>
            </w:r>
            <w:proofErr w:type="gramStart"/>
            <w:r w:rsidRPr="000F4610">
              <w:rPr>
                <w:rFonts w:asciiTheme="minorEastAsia" w:hAnsiTheme="minorEastAsia" w:cs="Times New Roman" w:hint="eastAsia"/>
                <w:sz w:val="24"/>
                <w:szCs w:val="24"/>
              </w:rPr>
              <w:t>载波无用发射离散寄生发</w:t>
            </w:r>
            <w:proofErr w:type="gramEnd"/>
            <w:r w:rsidRPr="000F4610">
              <w:rPr>
                <w:rFonts w:asciiTheme="minorEastAsia" w:hAnsiTheme="minorEastAsia" w:cs="Times New Roman" w:hint="eastAsia"/>
                <w:sz w:val="24"/>
                <w:szCs w:val="24"/>
              </w:rPr>
              <w:t>射的最大允许电平-:35dBm；</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互调衰减:≥70dB；</w:t>
            </w:r>
          </w:p>
          <w:p w:rsidR="000F4610" w:rsidRPr="000F4610" w:rsidRDefault="000F4610" w:rsidP="000F4610">
            <w:pPr>
              <w:widowControl/>
              <w:jc w:val="left"/>
              <w:outlineLvl w:val="8"/>
              <w:rPr>
                <w:rFonts w:asciiTheme="minorEastAsia" w:hAnsiTheme="minorEastAsia" w:cs="Times New Roman"/>
                <w:sz w:val="24"/>
                <w:szCs w:val="24"/>
              </w:rPr>
            </w:pPr>
            <w:r w:rsidRPr="000F4610">
              <w:rPr>
                <w:rFonts w:asciiTheme="minorEastAsia" w:hAnsiTheme="minorEastAsia" w:cs="Times New Roman" w:hint="eastAsia"/>
                <w:sz w:val="24"/>
                <w:szCs w:val="24"/>
              </w:rPr>
              <w:t>驻波比:≤1.5；</w:t>
            </w:r>
          </w:p>
          <w:p w:rsidR="000F4610" w:rsidRPr="000F4610" w:rsidRDefault="000F4610" w:rsidP="000F4610">
            <w:pPr>
              <w:rPr>
                <w:rFonts w:asciiTheme="minorEastAsia" w:hAnsiTheme="minorEastAsia" w:cs="Times New Roman"/>
                <w:sz w:val="24"/>
                <w:szCs w:val="24"/>
              </w:rPr>
            </w:pPr>
            <w:proofErr w:type="gramStart"/>
            <w:r w:rsidRPr="000F4610">
              <w:rPr>
                <w:rFonts w:asciiTheme="minorEastAsia" w:hAnsiTheme="minorEastAsia" w:cs="Times New Roman" w:hint="eastAsia"/>
                <w:sz w:val="24"/>
                <w:szCs w:val="24"/>
              </w:rPr>
              <w:t>频率稳定</w:t>
            </w:r>
            <w:proofErr w:type="gramEnd"/>
            <w:r w:rsidRPr="000F4610">
              <w:rPr>
                <w:rFonts w:asciiTheme="minorEastAsia" w:hAnsiTheme="minorEastAsia" w:cs="Times New Roman" w:hint="eastAsia"/>
                <w:sz w:val="24"/>
                <w:szCs w:val="24"/>
              </w:rPr>
              <w:t>度:0.1ppm；</w:t>
            </w:r>
          </w:p>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基站需与深圳市公安局TETRA数字集群交换中心连接。</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lastRenderedPageBreak/>
              <w:t>1.2</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现有交换中心扩容</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现有交换中心端口扩容。</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基站机房基础设施</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1.3.1</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天馈线系统</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含馈线、天线。</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1.3.2</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支撑杆</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热镀锌，用于固定天线。</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1.3.3</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强电引入</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220V接入。</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1.3.4</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交流屏</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室内，挂墙。</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1.3.5</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48V电源</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单架满配容量不低于48VDC/300A。</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1.3.6</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蓄电池</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按100Ah/48V电池配置。</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1.3.7</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防雷器</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标称抗阻：50Ω。</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1.3.8</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走线架</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采用铝合金材料。</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1.3.9</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机柜</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19英寸标准通信机柜。</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1.3.10</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租用链路传输</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1年费用(速率（bps）2M)。</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w:t>
            </w:r>
          </w:p>
        </w:tc>
        <w:tc>
          <w:tcPr>
            <w:tcW w:w="2475" w:type="dxa"/>
            <w:vAlign w:val="center"/>
          </w:tcPr>
          <w:p w:rsidR="000F4610" w:rsidRPr="000F4610" w:rsidRDefault="000F4610" w:rsidP="000F4610">
            <w:pPr>
              <w:widowControl/>
              <w:jc w:val="center"/>
              <w:rPr>
                <w:rFonts w:asciiTheme="minorEastAsia" w:hAnsiTheme="minorEastAsia" w:cs="Times New Roman"/>
                <w:b/>
                <w:sz w:val="24"/>
                <w:szCs w:val="24"/>
              </w:rPr>
            </w:pPr>
            <w:r w:rsidRPr="000F4610">
              <w:rPr>
                <w:rFonts w:asciiTheme="minorEastAsia" w:hAnsiTheme="minorEastAsia" w:cs="Times New Roman" w:hint="eastAsia"/>
                <w:b/>
                <w:sz w:val="24"/>
                <w:szCs w:val="24"/>
              </w:rPr>
              <w:t>直放站</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2.1</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近端机</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光纤直放站近端机；工作频段：350～370MHz；带内波动：≤3dB；上行输出功率（dBm）：30±2；下行输出功率（dBm）：43±2；驻波比：≤1.5。</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2.2</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远端机</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光纤直放站远端机；工作频段：350～370MHz；带内波动：≤3dB；上行输出功率（dBm）：30±2；下行输出功率（dBm）：43±2；驻波比：≤1.5。</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2.3</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天线</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工作频段：350～370MHz。</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2.4</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避雷器</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标称抗阻：50Ω。</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2.5</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光缆</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单模24芯。</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2.6</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ODB光纤盒</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光纤配线箱。</w:t>
            </w:r>
          </w:p>
        </w:tc>
      </w:tr>
      <w:tr w:rsidR="000F4610" w:rsidRPr="000F4610" w:rsidTr="006449D5">
        <w:trPr>
          <w:trHeight w:val="330"/>
          <w:jc w:val="center"/>
        </w:trPr>
        <w:tc>
          <w:tcPr>
            <w:tcW w:w="993"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2.7</w:t>
            </w:r>
          </w:p>
        </w:tc>
        <w:tc>
          <w:tcPr>
            <w:tcW w:w="2475"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安装辅材</w:t>
            </w:r>
          </w:p>
        </w:tc>
        <w:tc>
          <w:tcPr>
            <w:tcW w:w="5507" w:type="dxa"/>
            <w:shd w:val="clear" w:color="auto" w:fill="auto"/>
            <w:noWrap/>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含跳线、接头、胶布等。</w:t>
            </w:r>
          </w:p>
        </w:tc>
      </w:tr>
    </w:tbl>
    <w:p w:rsidR="000F4610" w:rsidRPr="000F4610" w:rsidRDefault="000F4610" w:rsidP="000F4610">
      <w:pPr>
        <w:keepNext/>
        <w:keepLines/>
        <w:spacing w:before="120" w:after="120" w:line="360" w:lineRule="auto"/>
        <w:outlineLvl w:val="0"/>
        <w:rPr>
          <w:rFonts w:asciiTheme="minorEastAsia" w:hAnsiTheme="minorEastAsia" w:cs="Times New Roman"/>
          <w:b/>
          <w:bCs/>
          <w:kern w:val="44"/>
          <w:sz w:val="24"/>
          <w:szCs w:val="24"/>
        </w:rPr>
      </w:pPr>
      <w:r w:rsidRPr="000F4610">
        <w:rPr>
          <w:rFonts w:asciiTheme="minorEastAsia" w:hAnsiTheme="minorEastAsia" w:cs="Times New Roman" w:hint="eastAsia"/>
          <w:b/>
          <w:bCs/>
          <w:kern w:val="44"/>
          <w:sz w:val="24"/>
          <w:szCs w:val="24"/>
        </w:rPr>
        <w:t>三、商务要求</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2268"/>
        <w:gridCol w:w="5607"/>
      </w:tblGrid>
      <w:tr w:rsidR="000F4610" w:rsidRPr="000F4610" w:rsidTr="006449D5">
        <w:trPr>
          <w:trHeight w:val="397"/>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序号</w:t>
            </w:r>
          </w:p>
        </w:tc>
        <w:tc>
          <w:tcPr>
            <w:tcW w:w="2268"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目录</w:t>
            </w:r>
          </w:p>
        </w:tc>
        <w:tc>
          <w:tcPr>
            <w:tcW w:w="5607"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商务需求</w:t>
            </w:r>
          </w:p>
        </w:tc>
      </w:tr>
      <w:tr w:rsidR="000F4610" w:rsidRPr="000F4610" w:rsidTr="006449D5">
        <w:trPr>
          <w:trHeight w:val="280"/>
          <w:jc w:val="center"/>
        </w:trPr>
        <w:tc>
          <w:tcPr>
            <w:tcW w:w="8891" w:type="dxa"/>
            <w:gridSpan w:val="3"/>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（一）免费保修期内售后服务要求</w:t>
            </w:r>
          </w:p>
        </w:tc>
      </w:tr>
      <w:tr w:rsidR="000F4610" w:rsidRPr="000F4610" w:rsidTr="006449D5">
        <w:trPr>
          <w:trHeight w:val="150"/>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2268"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免费保修期</w:t>
            </w: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货物免费保修期 1  年，时间</w:t>
            </w:r>
            <w:proofErr w:type="gramStart"/>
            <w:r w:rsidRPr="000F4610">
              <w:rPr>
                <w:rFonts w:asciiTheme="minorEastAsia" w:hAnsiTheme="minorEastAsia" w:cs="Times New Roman" w:hint="eastAsia"/>
                <w:sz w:val="24"/>
                <w:szCs w:val="24"/>
              </w:rPr>
              <w:t>自最终</w:t>
            </w:r>
            <w:proofErr w:type="gramEnd"/>
            <w:r w:rsidRPr="000F4610">
              <w:rPr>
                <w:rFonts w:asciiTheme="minorEastAsia" w:hAnsiTheme="minorEastAsia" w:cs="Times New Roman" w:hint="eastAsia"/>
                <w:sz w:val="24"/>
                <w:szCs w:val="24"/>
              </w:rPr>
              <w:t>验收合格并交付使用之日起计算。</w:t>
            </w:r>
          </w:p>
        </w:tc>
      </w:tr>
      <w:tr w:rsidR="000F4610" w:rsidRPr="000F4610" w:rsidTr="006449D5">
        <w:trPr>
          <w:trHeight w:val="320"/>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w:t>
            </w:r>
          </w:p>
        </w:tc>
        <w:tc>
          <w:tcPr>
            <w:tcW w:w="2268"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维修响应及故障解决时间</w:t>
            </w: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在保修期内，一旦发生质量问题，投标人保证在接到通知6小时内赶到现场进行修理或更换。</w:t>
            </w:r>
          </w:p>
        </w:tc>
      </w:tr>
      <w:tr w:rsidR="000F4610" w:rsidRPr="000F4610" w:rsidTr="006449D5">
        <w:trPr>
          <w:trHeight w:val="320"/>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3</w:t>
            </w:r>
          </w:p>
        </w:tc>
        <w:tc>
          <w:tcPr>
            <w:tcW w:w="2268"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售后服务人员要求</w:t>
            </w: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根据采购方需求，要求售后服务人员中需具备：(1)不少于5人的技术人员，并具有大专及以上学历；（2）</w:t>
            </w:r>
            <w:r w:rsidRPr="000F4610">
              <w:rPr>
                <w:rFonts w:asciiTheme="minorEastAsia" w:hAnsiTheme="minorEastAsia" w:cs="Times New Roman" w:hint="eastAsia"/>
                <w:sz w:val="24"/>
                <w:szCs w:val="24"/>
              </w:rPr>
              <w:lastRenderedPageBreak/>
              <w:t>至少1人具有一级注册建造师（机电专业）证书。</w:t>
            </w:r>
          </w:p>
        </w:tc>
      </w:tr>
      <w:tr w:rsidR="000F4610" w:rsidRPr="000F4610" w:rsidTr="006449D5">
        <w:trPr>
          <w:trHeight w:val="320"/>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lastRenderedPageBreak/>
              <w:t>4</w:t>
            </w:r>
          </w:p>
        </w:tc>
        <w:tc>
          <w:tcPr>
            <w:tcW w:w="2268"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售后服务承诺</w:t>
            </w: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投标人在合同签订前向采购人提供售后服务承诺文件。</w:t>
            </w:r>
          </w:p>
        </w:tc>
      </w:tr>
      <w:tr w:rsidR="000F4610" w:rsidRPr="000F4610" w:rsidTr="006449D5">
        <w:trPr>
          <w:trHeight w:val="320"/>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5</w:t>
            </w:r>
          </w:p>
        </w:tc>
        <w:tc>
          <w:tcPr>
            <w:tcW w:w="2268"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关于保密能力</w:t>
            </w: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投标人具有涉密计算机、通信</w:t>
            </w:r>
            <w:proofErr w:type="gramStart"/>
            <w:r w:rsidRPr="000F4610">
              <w:rPr>
                <w:rFonts w:asciiTheme="minorEastAsia" w:hAnsiTheme="minorEastAsia" w:cs="Times New Roman" w:hint="eastAsia"/>
                <w:sz w:val="24"/>
                <w:szCs w:val="24"/>
              </w:rPr>
              <w:t>和办公自动化</w:t>
            </w:r>
            <w:proofErr w:type="gramEnd"/>
            <w:r w:rsidRPr="000F4610">
              <w:rPr>
                <w:rFonts w:asciiTheme="minorEastAsia" w:hAnsiTheme="minorEastAsia" w:cs="Times New Roman" w:hint="eastAsia"/>
                <w:sz w:val="24"/>
                <w:szCs w:val="24"/>
              </w:rPr>
              <w:t>设备定点维修维护证书。</w:t>
            </w:r>
          </w:p>
        </w:tc>
      </w:tr>
      <w:tr w:rsidR="000F4610" w:rsidRPr="000F4610" w:rsidTr="006449D5">
        <w:trPr>
          <w:trHeight w:val="320"/>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6</w:t>
            </w:r>
          </w:p>
        </w:tc>
        <w:tc>
          <w:tcPr>
            <w:tcW w:w="2268"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关于设计与施工能力</w:t>
            </w: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投标人具有建筑智能化工程设计与施工贰级（或以上）资质。</w:t>
            </w:r>
          </w:p>
        </w:tc>
      </w:tr>
      <w:tr w:rsidR="000F4610" w:rsidRPr="000F4610" w:rsidTr="006449D5">
        <w:trPr>
          <w:trHeight w:val="350"/>
          <w:jc w:val="center"/>
        </w:trPr>
        <w:tc>
          <w:tcPr>
            <w:tcW w:w="8891" w:type="dxa"/>
            <w:gridSpan w:val="3"/>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（二）其他商务要求</w:t>
            </w:r>
          </w:p>
        </w:tc>
      </w:tr>
      <w:tr w:rsidR="000F4610" w:rsidRPr="000F4610" w:rsidTr="006449D5">
        <w:trPr>
          <w:trHeight w:val="350"/>
          <w:jc w:val="center"/>
        </w:trPr>
        <w:tc>
          <w:tcPr>
            <w:tcW w:w="1016" w:type="dxa"/>
            <w:vMerge w:val="restart"/>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1</w:t>
            </w:r>
          </w:p>
        </w:tc>
        <w:tc>
          <w:tcPr>
            <w:tcW w:w="2268" w:type="dxa"/>
            <w:vMerge w:val="restart"/>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关于交货</w:t>
            </w: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1.1签订合同后 30 天（日历日）内。</w:t>
            </w:r>
          </w:p>
        </w:tc>
      </w:tr>
      <w:tr w:rsidR="000F4610" w:rsidRPr="000F4610" w:rsidTr="006449D5">
        <w:trPr>
          <w:trHeight w:val="350"/>
          <w:jc w:val="center"/>
        </w:trPr>
        <w:tc>
          <w:tcPr>
            <w:tcW w:w="1016" w:type="dxa"/>
            <w:vMerge/>
            <w:vAlign w:val="center"/>
          </w:tcPr>
          <w:p w:rsidR="000F4610" w:rsidRPr="000F4610" w:rsidRDefault="000F4610" w:rsidP="000F4610">
            <w:pPr>
              <w:jc w:val="center"/>
              <w:rPr>
                <w:rFonts w:asciiTheme="minorEastAsia" w:hAnsiTheme="minorEastAsia" w:cs="Times New Roman"/>
                <w:sz w:val="24"/>
                <w:szCs w:val="24"/>
              </w:rPr>
            </w:pPr>
          </w:p>
        </w:tc>
        <w:tc>
          <w:tcPr>
            <w:tcW w:w="2268" w:type="dxa"/>
            <w:vMerge/>
            <w:vAlign w:val="center"/>
          </w:tcPr>
          <w:p w:rsidR="000F4610" w:rsidRPr="000F4610" w:rsidRDefault="000F4610" w:rsidP="000F4610">
            <w:pPr>
              <w:jc w:val="center"/>
              <w:rPr>
                <w:rFonts w:asciiTheme="minorEastAsia" w:hAnsiTheme="minorEastAsia" w:cs="Times New Roman"/>
                <w:sz w:val="24"/>
                <w:szCs w:val="24"/>
              </w:rPr>
            </w:pP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1.2投标人须按采购人指定的地点完成设备的安装调试工作。</w:t>
            </w:r>
          </w:p>
        </w:tc>
      </w:tr>
      <w:tr w:rsidR="000F4610" w:rsidRPr="000F4610" w:rsidTr="006449D5">
        <w:trPr>
          <w:trHeight w:val="451"/>
          <w:jc w:val="center"/>
        </w:trPr>
        <w:tc>
          <w:tcPr>
            <w:tcW w:w="1016" w:type="dxa"/>
            <w:vMerge/>
            <w:vAlign w:val="center"/>
          </w:tcPr>
          <w:p w:rsidR="000F4610" w:rsidRPr="000F4610" w:rsidRDefault="000F4610" w:rsidP="000F4610">
            <w:pPr>
              <w:jc w:val="center"/>
              <w:rPr>
                <w:rFonts w:asciiTheme="minorEastAsia" w:hAnsiTheme="minorEastAsia" w:cs="Times New Roman"/>
                <w:sz w:val="24"/>
                <w:szCs w:val="24"/>
              </w:rPr>
            </w:pPr>
          </w:p>
        </w:tc>
        <w:tc>
          <w:tcPr>
            <w:tcW w:w="2268" w:type="dxa"/>
            <w:vMerge/>
            <w:vAlign w:val="center"/>
          </w:tcPr>
          <w:p w:rsidR="000F4610" w:rsidRPr="000F4610" w:rsidRDefault="000F4610" w:rsidP="000F4610">
            <w:pPr>
              <w:jc w:val="center"/>
              <w:rPr>
                <w:rFonts w:asciiTheme="minorEastAsia" w:hAnsiTheme="minorEastAsia" w:cs="Times New Roman"/>
                <w:sz w:val="24"/>
                <w:szCs w:val="24"/>
              </w:rPr>
            </w:pP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1.3投标人必须承担的设备运输、安装调试、验收检测的义务。</w:t>
            </w:r>
          </w:p>
        </w:tc>
      </w:tr>
      <w:tr w:rsidR="000F4610" w:rsidRPr="000F4610" w:rsidTr="006449D5">
        <w:trPr>
          <w:trHeight w:val="350"/>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2</w:t>
            </w:r>
          </w:p>
        </w:tc>
        <w:tc>
          <w:tcPr>
            <w:tcW w:w="2268"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报价要求</w:t>
            </w:r>
          </w:p>
        </w:tc>
        <w:tc>
          <w:tcPr>
            <w:tcW w:w="5607" w:type="dxa"/>
            <w:vAlign w:val="center"/>
          </w:tcPr>
          <w:p w:rsidR="000F4610" w:rsidRPr="000F4610" w:rsidRDefault="000F4610" w:rsidP="000F4610">
            <w:pPr>
              <w:rPr>
                <w:rFonts w:asciiTheme="minorEastAsia" w:hAnsiTheme="minorEastAsia" w:cs="Times New Roman"/>
                <w:sz w:val="24"/>
                <w:szCs w:val="24"/>
              </w:rPr>
            </w:pPr>
            <w:r w:rsidRPr="000F4610">
              <w:rPr>
                <w:rFonts w:asciiTheme="minorEastAsia" w:hAnsiTheme="minorEastAsia" w:cs="Times New Roman" w:hint="eastAsia"/>
                <w:sz w:val="24"/>
                <w:szCs w:val="24"/>
              </w:rPr>
              <w:t>本项目费用应包括但不限于产品和研发成本、专利申请费用、法定税费和企业的利润。</w:t>
            </w:r>
          </w:p>
        </w:tc>
      </w:tr>
      <w:tr w:rsidR="000F4610" w:rsidRPr="000F4610" w:rsidTr="006449D5">
        <w:trPr>
          <w:trHeight w:val="350"/>
          <w:jc w:val="center"/>
        </w:trPr>
        <w:tc>
          <w:tcPr>
            <w:tcW w:w="1016" w:type="dxa"/>
            <w:vAlign w:val="center"/>
          </w:tcPr>
          <w:p w:rsidR="000F4610" w:rsidRPr="000F4610" w:rsidRDefault="000F4610" w:rsidP="000F4610">
            <w:pPr>
              <w:jc w:val="center"/>
              <w:rPr>
                <w:rFonts w:asciiTheme="minorEastAsia" w:hAnsiTheme="minorEastAsia" w:cs="Times New Roman"/>
                <w:sz w:val="24"/>
                <w:szCs w:val="24"/>
              </w:rPr>
            </w:pPr>
            <w:r w:rsidRPr="000F4610">
              <w:rPr>
                <w:rFonts w:asciiTheme="minorEastAsia" w:hAnsiTheme="minorEastAsia" w:cs="Times New Roman" w:hint="eastAsia"/>
                <w:sz w:val="24"/>
                <w:szCs w:val="24"/>
              </w:rPr>
              <w:t>3</w:t>
            </w:r>
          </w:p>
        </w:tc>
        <w:tc>
          <w:tcPr>
            <w:tcW w:w="2268" w:type="dxa"/>
            <w:vAlign w:val="center"/>
          </w:tcPr>
          <w:p w:rsidR="000F4610" w:rsidRPr="000F4610" w:rsidRDefault="000F4610" w:rsidP="000F4610">
            <w:pPr>
              <w:widowControl/>
              <w:jc w:val="center"/>
              <w:rPr>
                <w:rFonts w:asciiTheme="minorEastAsia" w:hAnsiTheme="minorEastAsia" w:cs="Times New Roman"/>
                <w:sz w:val="24"/>
                <w:szCs w:val="24"/>
              </w:rPr>
            </w:pPr>
            <w:r w:rsidRPr="000F4610">
              <w:rPr>
                <w:rFonts w:asciiTheme="minorEastAsia" w:hAnsiTheme="minorEastAsia" w:cs="Times New Roman"/>
                <w:sz w:val="24"/>
                <w:szCs w:val="24"/>
              </w:rPr>
              <w:t>培训</w:t>
            </w:r>
          </w:p>
        </w:tc>
        <w:tc>
          <w:tcPr>
            <w:tcW w:w="5607" w:type="dxa"/>
            <w:vAlign w:val="center"/>
          </w:tcPr>
          <w:p w:rsidR="000F4610" w:rsidRPr="000F4610" w:rsidRDefault="000F4610" w:rsidP="000F4610">
            <w:pPr>
              <w:widowControl/>
              <w:rPr>
                <w:rFonts w:asciiTheme="minorEastAsia" w:hAnsiTheme="minorEastAsia" w:cs="Times New Roman"/>
                <w:sz w:val="24"/>
                <w:szCs w:val="24"/>
              </w:rPr>
            </w:pPr>
            <w:r w:rsidRPr="000F4610">
              <w:rPr>
                <w:rFonts w:asciiTheme="minorEastAsia" w:hAnsiTheme="minorEastAsia" w:cs="Times New Roman"/>
                <w:sz w:val="24"/>
                <w:szCs w:val="24"/>
              </w:rPr>
              <w:t>中标人应派专业技术人员免费对采购单位指定人员进行定期培训及指导，直至其完全掌握设备的基本故障处理技术。</w:t>
            </w:r>
          </w:p>
        </w:tc>
      </w:tr>
    </w:tbl>
    <w:p w:rsidR="00B25542" w:rsidRPr="000F4610" w:rsidRDefault="00B25542" w:rsidP="00B25542"/>
    <w:sectPr w:rsidR="00B25542" w:rsidRPr="000F4610"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0F4610"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proofErr w:type="gram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w:t>
    </w:r>
    <w:proofErr w:type="gramStart"/>
    <w:r w:rsidRPr="00C545C3">
      <w:rPr>
        <w:rFonts w:ascii="新宋体" w:eastAsia="新宋体" w:hAnsi="新宋体" w:hint="eastAsia"/>
      </w:rPr>
      <w:t>数据资源管理</w:t>
    </w:r>
    <w:proofErr w:type="gramEnd"/>
    <w:r w:rsidRPr="00C545C3">
      <w:rPr>
        <w:rFonts w:ascii="新宋体" w:eastAsia="新宋体" w:hAnsi="新宋体" w:hint="eastAsia"/>
      </w:rPr>
      <w:t>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0F4610"/>
    <w:rsid w:val="001E13C0"/>
    <w:rsid w:val="00374611"/>
    <w:rsid w:val="00391D2A"/>
    <w:rsid w:val="00584311"/>
    <w:rsid w:val="00634E4A"/>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289</Words>
  <Characters>1653</Characters>
  <Application>Microsoft Office Word</Application>
  <DocSecurity>0</DocSecurity>
  <Lines>13</Lines>
  <Paragraphs>3</Paragraphs>
  <ScaleCrop>false</ScaleCrop>
  <Company>china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23</cp:revision>
  <dcterms:created xsi:type="dcterms:W3CDTF">2018-07-14T05:06:00Z</dcterms:created>
  <dcterms:modified xsi:type="dcterms:W3CDTF">2019-06-17T04:09:00Z</dcterms:modified>
</cp:coreProperties>
</file>