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AA" w:rsidRDefault="001D7FAA" w:rsidP="001D7FAA">
      <w:pPr>
        <w:pStyle w:val="2"/>
        <w:jc w:val="center"/>
        <w:rPr>
          <w:rFonts w:ascii="Times New Roman" w:hAnsi="Times New Roman"/>
        </w:rPr>
      </w:pPr>
      <w:bookmarkStart w:id="0" w:name="_Toc3637228"/>
      <w:r>
        <w:rPr>
          <w:rFonts w:ascii="Times New Roman" w:hAnsi="Times New Roman" w:hint="eastAsia"/>
        </w:rPr>
        <w:t>第六章　项目采购需求</w:t>
      </w:r>
      <w:bookmarkEnd w:id="0"/>
    </w:p>
    <w:p w:rsidR="001D7FAA" w:rsidRPr="002400C6" w:rsidRDefault="001D7FAA" w:rsidP="001D7FAA">
      <w:pPr>
        <w:pStyle w:val="4"/>
        <w:spacing w:line="360" w:lineRule="auto"/>
        <w:rPr>
          <w:rFonts w:ascii="新宋体" w:eastAsia="新宋体" w:hAnsi="新宋体"/>
          <w:sz w:val="24"/>
          <w:szCs w:val="24"/>
        </w:rPr>
      </w:pPr>
      <w:r w:rsidRPr="002400C6">
        <w:rPr>
          <w:rFonts w:ascii="新宋体" w:eastAsia="新宋体" w:hAnsi="新宋体" w:hint="eastAsia"/>
          <w:sz w:val="24"/>
          <w:szCs w:val="24"/>
        </w:rPr>
        <w:t>一</w:t>
      </w:r>
      <w:r w:rsidRPr="002400C6">
        <w:rPr>
          <w:rFonts w:ascii="新宋体" w:eastAsia="新宋体" w:hAnsi="新宋体"/>
          <w:sz w:val="24"/>
          <w:szCs w:val="24"/>
        </w:rPr>
        <w:t>、</w:t>
      </w:r>
      <w:r w:rsidRPr="002400C6">
        <w:rPr>
          <w:rFonts w:ascii="新宋体" w:eastAsia="新宋体" w:hAnsi="新宋体" w:hint="eastAsia"/>
          <w:sz w:val="24"/>
          <w:szCs w:val="24"/>
        </w:rPr>
        <w:t>具体技术要求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529"/>
      </w:tblGrid>
      <w:tr w:rsidR="001D7FAA" w:rsidRPr="00C12596" w:rsidTr="005C4F8A">
        <w:trPr>
          <w:trHeight w:val="45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AA" w:rsidRPr="00C12596" w:rsidRDefault="001D7FAA" w:rsidP="005C4F8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C12596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货物名称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AA" w:rsidRPr="00C12596" w:rsidRDefault="001D7FAA" w:rsidP="005C4F8A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C12596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招标技术要求</w:t>
            </w:r>
          </w:p>
        </w:tc>
      </w:tr>
      <w:tr w:rsidR="001D7FAA" w:rsidRPr="00C12596" w:rsidTr="005C4F8A">
        <w:trPr>
          <w:trHeight w:val="45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FAA" w:rsidRPr="00C12596" w:rsidRDefault="001D7FAA" w:rsidP="005C4F8A">
            <w:pPr>
              <w:widowControl/>
              <w:spacing w:before="100" w:beforeAutospacing="1" w:after="100" w:afterAutospacing="1" w:line="276" w:lineRule="auto"/>
              <w:rPr>
                <w:rFonts w:ascii="新宋体" w:eastAsia="新宋体" w:hAnsi="新宋体" w:cs="宋体"/>
                <w:kern w:val="0"/>
                <w:szCs w:val="21"/>
              </w:rPr>
            </w:pPr>
            <w:r w:rsidRPr="00C12596">
              <w:rPr>
                <w:rFonts w:ascii="新宋体" w:eastAsia="新宋体" w:hAnsi="新宋体" w:cs="’Times New Roman’" w:hint="eastAsia"/>
                <w:bCs/>
                <w:szCs w:val="21"/>
              </w:rPr>
              <w:t>网络攻击主动防御系统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7087"/>
            </w:tblGrid>
            <w:tr w:rsidR="001D7FAA" w:rsidRPr="00C12596" w:rsidTr="005C4F8A"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/>
                      <w:bCs/>
                      <w:kern w:val="0"/>
                      <w:szCs w:val="21"/>
                    </w:rPr>
                    <w:t>模块细分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/>
                      <w:bCs/>
                      <w:kern w:val="0"/>
                      <w:szCs w:val="21"/>
                    </w:rPr>
                    <w:t>技术指标要求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安全部署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▲支持网站自学习（要求提供配置截图）；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支持设备的旁路或串联部署，非软件代理部署方式；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支持自动封禁策略，自动屏蔽网站的异常攻击（要求提供配置截图）；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支持自定义防护策略，提供初级、中级、高级的初始防护策略模板（要求提供配置截图）。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一键断网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支持通过移动终端管理，实现网站快速应急处置；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支持网站批量离线、网站批量恢复、网站一键断网、网站一键恢复操作（要求提供配置截图）。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威胁情报支持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▲支持第三方威胁情报库更新；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▲支持利用威胁情报规则进行防护，并支持基于威胁情报的日志查询（提供配置界面及日志截图）。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云防护支持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▲支持与云清洗中心进行实时联动，并提供配置界面和流量统计图表（提供配置界面及图表截图）；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▲支持云Web攻击清洗与云CC攻击清洗（要求提供配置截图）。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网页防篡改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能进行配置自动分发功能（要求提供配置截图）；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应采用内核级防篡改保护，能及时阻止并报告攻击事件；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应至少同时支持Windows、Linux、IBM Unix操作系统的的网页防篡改；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▲应能支持对所有安装防篡改客户端的服务器进行集中管理（要求提供配置截图）；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能监控所有服务器状态、防篡改信息；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监控响应时间 小于0.5秒，篡改恢复时间 小于0.1秒；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资源占用，在对比网页篡改防护系统未运行时的增长须小于20%；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业务响应，在对比网页篡改防护系统未运行时的增长须小于20%；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支持IIS、Weblogic、Websphere、Apache、Tomcat等。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center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网页防篡改同步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系统可以从本地或异地备份文件夹自动同步到监测目录中；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系统支持增量备份功能；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系统支持各种发布工具或发布方式；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系统支持主/备目录和主/备服务器两种备份模式；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支持防篡改中心和发布中心的负载均衡部署模式（要求提供配置截图）。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center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DDoS支持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要求必须具备独立的网络层DDoS防护模板和应用层DDoS防护模板（要求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lastRenderedPageBreak/>
                    <w:t>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必须不能依赖对包数做阈值的简单限制来实现DDoS防护，至少具备以下处理方法：源路由限制；分片报文限制、分片报文和重组报文长度的独立配置；ping包限制、ping包长度配置；ICMP长度配置、单个ICMP报文速率配置和单个ICMP字节速率的独立配置；ACK扫描、SYN/ACK扫描、RST扫描、FIN扫描的独立配置；总扫描速率与单个IP扫描速率的独立配置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要求CC攻击防护必须支持真实浏览器验证功能，同时支持对IP失败速率的验证配置（要求提供配置截图）；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提供动态基线模式，能对所有流量进行动态建模，减少误报，更精细进行控制；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要求支持云端与设备端联动，实现CC攻击云防护（要求提供配置截图）；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要求必须具备独立的网络层DDoS防护模板和应用层DDoS防护模板（要求提供配置截图）；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必须不能依赖对包数做阈值的简单限制来实现DDoS防护，至少具备以下处理方法：源路由限制；分片报文限制、分片报文和重组报文长度的独立配置；ping包限制、ping包长度配置；ICMP长度配置、单个ICMP报文速率配置和单个ICMP字节速率的独立配置；ACK扫描、SYN/ACK扫描、RST扫描、FIN扫描的独立配置；总扫描速率与单个IP扫描速率的独立配置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要求CC攻击防护必须支持真实浏览器验证功能，同时支持对IP失败速率的验证配置（要求提供配置截图）。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center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审计功能及告警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要求至少具备独立的审计日志、流量日志、攻击日志、网页防篡改日志、DDoS防护日志及威胁情报日志模块，且日志支持syslog方式外发（要求提供配置截图）；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支持日志自动备份（要求提供配置截图）；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要求攻击日志具备详细的攻击摘要和原始报文（要求提供配置截图）；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要求攻击日志具备一键关联白名单排除策略（要求提供配置截图）；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要求至少支持日志、trap、邮件、短信等告警方式（要求提供配置截图）。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center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统计及报表</w:t>
                  </w: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系统须能够对遭受攻击按照攻击次数、防护的网站、遭受攻击的网页、攻击类型、攻击时间（或者发现攻击的时间）等进行统计并排名；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▲</w:t>
                  </w: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能够根据网站的访问防护的网站、被篡改内容、篡改内容的类型、试图进行的篡改、成功的篡改、发现的日期、事件发生的日期等条件进行详细信息的查询；</w:t>
                  </w:r>
                </w:p>
              </w:tc>
            </w:tr>
            <w:tr w:rsidR="001D7FAA" w:rsidRPr="00C12596" w:rsidTr="005C4F8A"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line="276" w:lineRule="auto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7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D7FAA" w:rsidRPr="00C12596" w:rsidRDefault="001D7FAA" w:rsidP="005C4F8A">
                  <w:pPr>
                    <w:widowControl/>
                    <w:spacing w:before="100" w:beforeAutospacing="1" w:after="100" w:afterAutospacing="1" w:line="276" w:lineRule="auto"/>
                    <w:jc w:val="left"/>
                    <w:textAlignment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C12596">
                    <w:rPr>
                      <w:rFonts w:ascii="新宋体" w:eastAsia="新宋体" w:hAnsi="新宋体" w:cs="宋体" w:hint="eastAsia"/>
                      <w:color w:val="000000"/>
                      <w:kern w:val="0"/>
                      <w:szCs w:val="21"/>
                    </w:rPr>
                    <w:t>支持以Word、PDF、HTML等通用格式导出报表。</w:t>
                  </w:r>
                </w:p>
              </w:tc>
            </w:tr>
          </w:tbl>
          <w:p w:rsidR="001D7FAA" w:rsidRPr="00C12596" w:rsidRDefault="001D7FAA" w:rsidP="005C4F8A">
            <w:pPr>
              <w:widowControl/>
              <w:spacing w:line="276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:rsidR="001D7FAA" w:rsidRPr="002400C6" w:rsidRDefault="001D7FAA" w:rsidP="001D7FAA">
      <w:pPr>
        <w:pStyle w:val="4"/>
        <w:spacing w:line="360" w:lineRule="auto"/>
        <w:rPr>
          <w:rFonts w:ascii="新宋体" w:eastAsia="新宋体" w:hAnsi="新宋体"/>
          <w:sz w:val="24"/>
          <w:szCs w:val="24"/>
        </w:rPr>
      </w:pPr>
      <w:r w:rsidRPr="002400C6">
        <w:rPr>
          <w:rFonts w:ascii="新宋体" w:eastAsia="新宋体" w:hAnsi="新宋体" w:hint="eastAsia"/>
          <w:sz w:val="24"/>
          <w:szCs w:val="24"/>
        </w:rPr>
        <w:lastRenderedPageBreak/>
        <w:t>二、商务需求</w:t>
      </w:r>
    </w:p>
    <w:tbl>
      <w:tblPr>
        <w:tblW w:w="924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418"/>
      </w:tblGrid>
      <w:tr w:rsidR="001D7FAA" w:rsidRPr="002400C6" w:rsidTr="005C4F8A">
        <w:trPr>
          <w:tblCellSpacing w:w="0" w:type="dxa"/>
        </w:trPr>
        <w:tc>
          <w:tcPr>
            <w:tcW w:w="92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tbl>
            <w:tblPr>
              <w:tblW w:w="926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8"/>
              <w:gridCol w:w="1479"/>
              <w:gridCol w:w="6804"/>
            </w:tblGrid>
            <w:tr w:rsidR="001D7FAA" w:rsidRPr="002400C6" w:rsidTr="005C4F8A">
              <w:trPr>
                <w:trHeight w:val="397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目录</w:t>
                  </w:r>
                </w:p>
              </w:tc>
              <w:tc>
                <w:tcPr>
                  <w:tcW w:w="6804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招标商务需求</w:t>
                  </w:r>
                </w:p>
              </w:tc>
            </w:tr>
            <w:tr w:rsidR="001D7FAA" w:rsidRPr="002400C6" w:rsidTr="005C4F8A">
              <w:trPr>
                <w:trHeight w:val="280"/>
              </w:trPr>
              <w:tc>
                <w:tcPr>
                  <w:tcW w:w="9261" w:type="dxa"/>
                  <w:gridSpan w:val="3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（一）免费保修期内售后服务要求</w:t>
                  </w:r>
                </w:p>
              </w:tc>
            </w:tr>
            <w:tr w:rsidR="001D7FAA" w:rsidRPr="002400C6" w:rsidTr="005C4F8A">
              <w:trPr>
                <w:trHeight w:val="447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免费保修期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货物免费保修期</w:t>
                  </w: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  <w:u w:val="single"/>
                    </w:rPr>
                    <w:t xml:space="preserve"> 叁  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年，时间自最终验收合格并交付使用之日起计算。</w:t>
                  </w:r>
                </w:p>
              </w:tc>
            </w:tr>
            <w:tr w:rsidR="001D7FAA" w:rsidRPr="002400C6" w:rsidTr="005C4F8A">
              <w:trPr>
                <w:trHeight w:val="709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479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维修响应及故障解决时间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hint="eastAsia"/>
                      <w:bCs/>
                      <w:szCs w:val="21"/>
                    </w:rPr>
                    <w:t>保修期以内，接到用户通知时，专业技术人员不超过4小时内上门服务，保证24小时不间断售后技术服务支持；修复时间：48小时。</w:t>
                  </w:r>
                </w:p>
              </w:tc>
            </w:tr>
            <w:tr w:rsidR="001D7FAA" w:rsidRPr="002400C6" w:rsidTr="005C4F8A">
              <w:trPr>
                <w:trHeight w:val="1116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hint="eastAsia"/>
                      <w:szCs w:val="21"/>
                    </w:rPr>
                    <w:t>免费保修</w:t>
                  </w:r>
                </w:p>
              </w:tc>
              <w:tc>
                <w:tcPr>
                  <w:tcW w:w="6804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hint="eastAsia"/>
                      <w:bCs/>
                      <w:szCs w:val="21"/>
                    </w:rPr>
                    <w:t>在保修期间非人为破坏，都应列入保修范围内。中标供应商须保证以合理的价格提供备件和保养服务，当发生故障时，中标供应商须按质保期内同样的要求进行维修处理</w:t>
                  </w:r>
                  <w:bookmarkStart w:id="1" w:name="_GoBack"/>
                  <w:bookmarkEnd w:id="1"/>
                </w:p>
              </w:tc>
            </w:tr>
            <w:tr w:rsidR="001D7FAA" w:rsidRPr="002400C6" w:rsidTr="005C4F8A">
              <w:trPr>
                <w:trHeight w:val="834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479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hint="eastAsia"/>
                      <w:szCs w:val="21"/>
                    </w:rPr>
                    <w:t>冗余服务</w:t>
                  </w:r>
                </w:p>
              </w:tc>
              <w:tc>
                <w:tcPr>
                  <w:tcW w:w="6804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hint="eastAsia"/>
                      <w:szCs w:val="21"/>
                    </w:rPr>
                    <w:t>超过48小时后未能修复或紧急情况下，应提供具有同样功能的设备供使用单位使用。</w:t>
                  </w:r>
                </w:p>
              </w:tc>
            </w:tr>
            <w:tr w:rsidR="001D7FAA" w:rsidRPr="002400C6" w:rsidTr="005C4F8A">
              <w:trPr>
                <w:trHeight w:val="280"/>
              </w:trPr>
              <w:tc>
                <w:tcPr>
                  <w:tcW w:w="9261" w:type="dxa"/>
                  <w:gridSpan w:val="3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（二）免费保修期外售后服务要求（可选）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479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 无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 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……</w:t>
                  </w:r>
                </w:p>
              </w:tc>
              <w:tc>
                <w:tcPr>
                  <w:tcW w:w="1479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 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261" w:type="dxa"/>
                  <w:gridSpan w:val="3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（三）其他商务要求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78" w:type="dxa"/>
                  <w:vMerge w:val="restart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479" w:type="dxa"/>
                  <w:vMerge w:val="restart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关于交货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1.1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签订合同后</w:t>
                  </w: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  <w:u w:val="single"/>
                    </w:rPr>
                    <w:t xml:space="preserve"> 60 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天（日历日）内。</w:t>
                  </w:r>
                </w:p>
              </w:tc>
            </w:tr>
            <w:tr w:rsidR="001D7FAA" w:rsidRPr="002400C6" w:rsidTr="005C4F8A">
              <w:trPr>
                <w:trHeight w:val="451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79" w:type="dxa"/>
                  <w:vMerge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1.2</w:t>
                  </w:r>
                  <w:r w:rsidRPr="002400C6">
                    <w:rPr>
                      <w:rFonts w:ascii="新宋体" w:eastAsia="新宋体" w:hAnsi="新宋体" w:hint="eastAsia"/>
                      <w:bCs/>
                      <w:szCs w:val="21"/>
                    </w:rPr>
                    <w:t>招标人指定的交货地点，同中所有的设备均须由中标人自行运往设备安装场所，不论设备从何处购置、采用何种方式运输，采购单位不承担任何责任及相关费用。中标人应自行处理设备质量和数量短缺等问题。</w:t>
                  </w:r>
                </w:p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hint="eastAsia"/>
                      <w:bCs/>
                      <w:szCs w:val="21"/>
                    </w:rPr>
                    <w:t>1.3中标人应派有经验的技术人员到现场进行安装、直到设备正常使用，其费用由中标人负担。</w:t>
                  </w:r>
                </w:p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hint="eastAsia"/>
                      <w:bCs/>
                      <w:szCs w:val="21"/>
                    </w:rPr>
                    <w:t>1.4中标人应提供安装中全部所需的工具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78" w:type="dxa"/>
                  <w:vMerge w:val="restart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479" w:type="dxa"/>
                  <w:vMerge w:val="restart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关于验收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1.1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投标人货物经过双方检验认可后，签署验收报告，产品保修期自验收合格之日起算，由投标人提供产品保修文件。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79" w:type="dxa"/>
                  <w:vMerge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1.2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当满足以下条件时，采购人才向中标人签发货物验收报告：</w:t>
                  </w:r>
                </w:p>
                <w:p w:rsidR="001D7FAA" w:rsidRPr="002400C6" w:rsidRDefault="001D7FAA" w:rsidP="005C4F8A">
                  <w:pPr>
                    <w:widowControl/>
                    <w:tabs>
                      <w:tab w:val="num" w:pos="1260"/>
                    </w:tabs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a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、中标人已按照合同规定提供了全部产品及完整的技术资料。</w:t>
                  </w:r>
                </w:p>
                <w:p w:rsidR="001D7FAA" w:rsidRPr="002400C6" w:rsidRDefault="001D7FAA" w:rsidP="005C4F8A">
                  <w:pPr>
                    <w:widowControl/>
                    <w:tabs>
                      <w:tab w:val="num" w:pos="1260"/>
                    </w:tabs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b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、货物符合招标文件技术规格书的要求，性能满足要求。</w:t>
                  </w:r>
                </w:p>
                <w:p w:rsidR="001D7FAA" w:rsidRPr="002400C6" w:rsidRDefault="001D7FAA" w:rsidP="005C4F8A">
                  <w:pPr>
                    <w:widowControl/>
                    <w:tabs>
                      <w:tab w:val="num" w:pos="1260"/>
                    </w:tabs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c</w:t>
                  </w:r>
                  <w:r w:rsidRPr="002400C6">
                    <w:rPr>
                      <w:rFonts w:ascii="新宋体" w:eastAsia="新宋体" w:hAnsi="新宋体" w:cs="宋体" w:hint="eastAsia"/>
                      <w:bCs/>
                      <w:kern w:val="0"/>
                      <w:szCs w:val="21"/>
                    </w:rPr>
                    <w:t>、货物具备产品合格证。</w:t>
                  </w:r>
                </w:p>
                <w:p w:rsidR="001D7FAA" w:rsidRPr="002400C6" w:rsidRDefault="001D7FAA" w:rsidP="005C4F8A">
                  <w:pPr>
                    <w:widowControl/>
                    <w:tabs>
                      <w:tab w:val="num" w:pos="1260"/>
                    </w:tabs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Cs/>
                      <w:kern w:val="0"/>
                      <w:szCs w:val="21"/>
                    </w:rPr>
                    <w:t>1.3</w:t>
                  </w:r>
                  <w:r w:rsidRPr="002400C6">
                    <w:rPr>
                      <w:rFonts w:ascii="新宋体" w:eastAsia="新宋体" w:hAnsi="新宋体" w:hint="eastAsia"/>
                      <w:bCs/>
                      <w:szCs w:val="21"/>
                    </w:rPr>
                    <w:t>由采购单位和供货商共同进行验收，经双方检验认可后，签署验收报告。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479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t>人员培训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t> </w:t>
                  </w:r>
                  <w:r w:rsidRPr="002400C6">
                    <w:rPr>
                      <w:rFonts w:ascii="新宋体" w:eastAsia="新宋体" w:hAnsi="新宋体" w:hint="eastAsia"/>
                      <w:szCs w:val="21"/>
                    </w:rPr>
                    <w:t>中标供应商免费在现场对采购单位技术人员进行设备操作培训，保证使用人员能够熟练掌握各种设备和软件等常规使用方法，以及小故障的判断与解决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b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479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b/>
                      <w:bCs/>
                      <w:kern w:val="0"/>
                      <w:szCs w:val="21"/>
                    </w:rPr>
                    <w:t> </w:t>
                  </w: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t>付款方式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t>  合同签订后，采购单位向中标方支付合同总金额的50%作为预付款，</w:t>
                  </w: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lastRenderedPageBreak/>
                    <w:t>中标方完成供货并验收合格后，采购单位向中标方支付合同总金额的40%作为验收款。中标单位按合同要求提供维保且三年维保期满后，采购单位向中标单位支付5%的质保款。本项目完成政府审计后，采购单位向中标单位支付5%的审计款。</w:t>
                  </w:r>
                </w:p>
              </w:tc>
            </w:tr>
            <w:tr w:rsidR="001D7FAA" w:rsidRPr="002400C6" w:rsidTr="005C4F8A">
              <w:trPr>
                <w:trHeight w:val="350"/>
              </w:trPr>
              <w:tc>
                <w:tcPr>
                  <w:tcW w:w="978" w:type="dxa"/>
                  <w:vAlign w:val="center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1479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t> 报价方式</w:t>
                  </w:r>
                </w:p>
              </w:tc>
              <w:tc>
                <w:tcPr>
                  <w:tcW w:w="6804" w:type="dxa"/>
                  <w:hideMark/>
                </w:tcPr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/>
                      <w:kern w:val="0"/>
                      <w:szCs w:val="21"/>
                    </w:rPr>
                    <w:t> </w:t>
                  </w: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报价货币：投标报价应以人民币为结算单位（含税）。</w:t>
                  </w:r>
                </w:p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投标报价为总价包干，即为完成项目所需的全部费用，包括但不限于货物费用、伴随服务相关费用、管理费、材料费、机械使用费、运输费、二次搬运费、不可预见费、利润、各项税金、风险等相关的一切费用。如果投标人在投标时未在报价表中列出，但实施过程中又必须发生费用项目，招标人有权认为，此部分所产生的费用已经综合在投标总价中，投标人不得以任何理由提出索赔或增加费用项目。</w:t>
                  </w:r>
                </w:p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伴随服务通常包括：所需设计、制造、运输及其保险、安装、调试、检验、验收（试运行）、维修、保养、技术支持与培训及其他相关的义务。</w:t>
                  </w:r>
                </w:p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除主要设备外，清单中各类设备安装及配套所需的配件与辅材数量为参考数据，应以实地考察后得到的实际数据投标，同时应考虑能与旧设备兼容实现采购方需要的功能，招标完成后采购方不因固有工程量增加而承担任何费用，费用将以中标价结算，请投标人充分考虑风险性。</w:t>
                  </w:r>
                </w:p>
                <w:p w:rsidR="001D7FAA" w:rsidRPr="002400C6" w:rsidRDefault="001D7FAA" w:rsidP="005C4F8A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新宋体" w:eastAsia="新宋体" w:hAnsi="新宋体" w:cs="宋体"/>
                      <w:kern w:val="0"/>
                      <w:szCs w:val="21"/>
                    </w:rPr>
                  </w:pPr>
                  <w:r w:rsidRPr="002400C6">
                    <w:rPr>
                      <w:rFonts w:ascii="新宋体" w:eastAsia="新宋体" w:hAnsi="新宋体" w:cs="宋体" w:hint="eastAsia"/>
                      <w:kern w:val="0"/>
                      <w:szCs w:val="21"/>
                    </w:rPr>
                    <w:t>投标人应依据企业自身情况并结合本招标项目要求自主报价，投标报价不得超过招标控制价，投标报价不得低于成本。</w:t>
                  </w:r>
                </w:p>
              </w:tc>
            </w:tr>
          </w:tbl>
          <w:p w:rsidR="001D7FAA" w:rsidRDefault="001D7FAA" w:rsidP="005C4F8A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2400C6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备注：</w:t>
            </w:r>
          </w:p>
          <w:p w:rsidR="001D7FAA" w:rsidRDefault="001D7FAA" w:rsidP="005C4F8A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2400C6">
              <w:rPr>
                <w:rFonts w:ascii="新宋体" w:eastAsia="新宋体" w:hAnsi="新宋体" w:cs="宋体"/>
                <w:b/>
                <w:kern w:val="0"/>
                <w:szCs w:val="21"/>
              </w:rPr>
              <w:t xml:space="preserve">1. </w:t>
            </w:r>
            <w:r w:rsidRPr="002400C6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“（一）免费保修期内售后服务要求”部分，</w:t>
            </w:r>
            <w:r w:rsidRPr="002400C6">
              <w:rPr>
                <w:rFonts w:ascii="新宋体" w:eastAsia="新宋体" w:hAnsi="新宋体" w:cs="宋体" w:hint="eastAsia"/>
                <w:kern w:val="0"/>
                <w:szCs w:val="21"/>
              </w:rPr>
              <w:t>请详细列明免费保修期内的售后服务要求，内容包括但不限于免费保修期限、售后服务人员配备、技术培训方案、质量保证、违约承诺、维修响应及故障解决时间、方案等。</w:t>
            </w:r>
            <w:r w:rsidRPr="002400C6">
              <w:rPr>
                <w:rFonts w:ascii="新宋体" w:eastAsia="新宋体" w:hAnsi="新宋体" w:cs="宋体"/>
                <w:b/>
                <w:kern w:val="0"/>
                <w:szCs w:val="21"/>
              </w:rPr>
              <w:t xml:space="preserve"> </w:t>
            </w:r>
          </w:p>
          <w:p w:rsidR="001D7FAA" w:rsidRPr="002400C6" w:rsidRDefault="001D7FAA" w:rsidP="005C4F8A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400C6">
              <w:rPr>
                <w:rFonts w:ascii="新宋体" w:eastAsia="新宋体" w:hAnsi="新宋体" w:cs="宋体"/>
                <w:b/>
                <w:kern w:val="0"/>
                <w:szCs w:val="21"/>
              </w:rPr>
              <w:t xml:space="preserve">2. </w:t>
            </w:r>
            <w:r w:rsidRPr="002400C6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“（二）免费保修期外售后服务要求”部分，</w:t>
            </w:r>
            <w:r w:rsidRPr="002400C6">
              <w:rPr>
                <w:rFonts w:ascii="新宋体" w:eastAsia="新宋体" w:hAnsi="新宋体" w:cs="宋体" w:hint="eastAsia"/>
                <w:kern w:val="0"/>
                <w:szCs w:val="21"/>
              </w:rPr>
              <w:t>请详细列明免费保修期外的售后服务要求，内容包括但不限于零配件的优惠率、维修响应及故障解决时间、方案、提供的服务等。</w:t>
            </w:r>
          </w:p>
          <w:p w:rsidR="001D7FAA" w:rsidRPr="002400C6" w:rsidRDefault="001D7FAA" w:rsidP="005C4F8A">
            <w:pPr>
              <w:widowControl/>
              <w:spacing w:before="100" w:beforeAutospacing="1" w:after="100" w:afterAutospacing="1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400C6">
              <w:rPr>
                <w:rFonts w:ascii="新宋体" w:eastAsia="新宋体" w:hAnsi="新宋体" w:cs="’Times New Roman’" w:hint="eastAsia"/>
                <w:b/>
                <w:kern w:val="0"/>
                <w:szCs w:val="21"/>
              </w:rPr>
              <w:t>3. “（三）其他商务要求”部分，</w:t>
            </w:r>
            <w:r w:rsidRPr="002400C6">
              <w:rPr>
                <w:rFonts w:ascii="新宋体" w:eastAsia="新宋体" w:hAnsi="新宋体" w:cs="宋体" w:hint="eastAsia"/>
                <w:kern w:val="0"/>
                <w:szCs w:val="21"/>
              </w:rPr>
              <w:t>如有补充，请详细列明。</w:t>
            </w:r>
          </w:p>
        </w:tc>
      </w:tr>
    </w:tbl>
    <w:p w:rsidR="001D7FAA" w:rsidRPr="002400C6" w:rsidRDefault="001D7FAA" w:rsidP="001D7FAA"/>
    <w:p w:rsidR="001D7FAA" w:rsidRPr="00C12596" w:rsidRDefault="001D7FAA" w:rsidP="001D7FAA">
      <w:pPr>
        <w:rPr>
          <w:rFonts w:hint="eastAsia"/>
        </w:rPr>
      </w:pPr>
    </w:p>
    <w:p w:rsidR="00E34D08" w:rsidRPr="001D7FAA" w:rsidRDefault="00E34D08" w:rsidP="001D7FAA"/>
    <w:sectPr w:rsidR="00E34D08" w:rsidRPr="001D7FAA" w:rsidSect="00E34658"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’Times New Roman’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060ACA" w:rsidRDefault="001D7FAA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1D7FA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1D7FA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4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35FDC"/>
    <w:rsid w:val="000E0AD6"/>
    <w:rsid w:val="000E24B2"/>
    <w:rsid w:val="001D7FAA"/>
    <w:rsid w:val="001E13C0"/>
    <w:rsid w:val="00374611"/>
    <w:rsid w:val="00391D2A"/>
    <w:rsid w:val="00584311"/>
    <w:rsid w:val="0087030C"/>
    <w:rsid w:val="00914F23"/>
    <w:rsid w:val="00AC2812"/>
    <w:rsid w:val="00AE721F"/>
    <w:rsid w:val="00B52D07"/>
    <w:rsid w:val="00BD3F95"/>
    <w:rsid w:val="00BE7455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1D7FA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1D7FAA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1D7FAA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1D7FAA"/>
    <w:rPr>
      <w:rFonts w:ascii="Calibri Light" w:eastAsia="宋体" w:hAnsi="Calibri Light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526</Words>
  <Characters>3004</Characters>
  <Application>Microsoft Office Word</Application>
  <DocSecurity>0</DocSecurity>
  <Lines>25</Lines>
  <Paragraphs>7</Paragraphs>
  <ScaleCrop>false</ScaleCrop>
  <Company>china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Sky123.Org</cp:lastModifiedBy>
  <cp:revision>21</cp:revision>
  <dcterms:created xsi:type="dcterms:W3CDTF">2018-07-14T05:06:00Z</dcterms:created>
  <dcterms:modified xsi:type="dcterms:W3CDTF">2019-03-22T02:53:00Z</dcterms:modified>
</cp:coreProperties>
</file>