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ascii="新宋体" w:hAnsi="新宋体" w:eastAsia="新宋体"/>
        </w:rPr>
      </w:pPr>
      <w:bookmarkStart w:id="0" w:name="_Toc76031641"/>
      <w:r>
        <w:rPr>
          <w:rFonts w:hint="eastAsia" w:ascii="新宋体" w:hAnsi="新宋体" w:eastAsia="新宋体"/>
        </w:rPr>
        <w:t>第二部分　技术部分</w:t>
      </w:r>
      <w:bookmarkEnd w:id="0"/>
    </w:p>
    <w:p>
      <w:pPr>
        <w:pStyle w:val="4"/>
        <w:jc w:val="center"/>
        <w:rPr>
          <w:rFonts w:ascii="新宋体" w:hAnsi="新宋体" w:eastAsia="新宋体"/>
        </w:rPr>
      </w:pPr>
      <w:bookmarkStart w:id="1" w:name="_Toc76031642"/>
      <w:r>
        <w:rPr>
          <w:rFonts w:hint="eastAsia" w:ascii="新宋体" w:hAnsi="新宋体" w:eastAsia="新宋体"/>
        </w:rPr>
        <w:t>第六章　项目采购需求</w:t>
      </w:r>
      <w:bookmarkEnd w:id="1"/>
    </w:p>
    <w:p>
      <w:pPr>
        <w:pStyle w:val="5"/>
        <w:jc w:val="center"/>
        <w:rPr>
          <w:rFonts w:ascii="新宋体" w:hAnsi="新宋体" w:eastAsia="新宋体"/>
          <w:sz w:val="24"/>
          <w:szCs w:val="24"/>
        </w:rPr>
      </w:pPr>
      <w:bookmarkStart w:id="2" w:name="_Toc76031643"/>
      <w:r>
        <w:rPr>
          <w:rFonts w:hint="eastAsia" w:ascii="新宋体" w:hAnsi="新宋体" w:eastAsia="新宋体"/>
          <w:sz w:val="24"/>
          <w:szCs w:val="24"/>
        </w:rPr>
        <w:t>第一节 项目概述</w:t>
      </w:r>
      <w:bookmarkEnd w:id="2"/>
    </w:p>
    <w:p>
      <w:pPr>
        <w:pStyle w:val="6"/>
        <w:spacing w:line="360" w:lineRule="auto"/>
        <w:rPr>
          <w:rFonts w:ascii="新宋体" w:hAnsi="新宋体" w:eastAsia="新宋体"/>
          <w:sz w:val="24"/>
          <w:szCs w:val="24"/>
        </w:rPr>
      </w:pPr>
      <w:r>
        <w:rPr>
          <w:rFonts w:hint="eastAsia" w:ascii="新宋体" w:hAnsi="新宋体" w:eastAsia="新宋体"/>
          <w:sz w:val="24"/>
          <w:szCs w:val="24"/>
        </w:rPr>
        <w:t>一、服务清单</w:t>
      </w:r>
    </w:p>
    <w:tbl>
      <w:tblPr>
        <w:tblStyle w:val="14"/>
        <w:tblW w:w="935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1611"/>
        <w:gridCol w:w="2004"/>
        <w:gridCol w:w="2095"/>
        <w:gridCol w:w="250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6"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序号</w:t>
            </w:r>
          </w:p>
        </w:tc>
        <w:tc>
          <w:tcPr>
            <w:tcW w:w="1611"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名称</w:t>
            </w:r>
          </w:p>
        </w:tc>
        <w:tc>
          <w:tcPr>
            <w:tcW w:w="2004"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数量</w:t>
            </w:r>
          </w:p>
        </w:tc>
        <w:tc>
          <w:tcPr>
            <w:tcW w:w="2095"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包组</w:t>
            </w:r>
          </w:p>
        </w:tc>
        <w:tc>
          <w:tcPr>
            <w:tcW w:w="2508" w:type="dxa"/>
            <w:noWrap w:val="0"/>
            <w:vAlign w:val="center"/>
          </w:tcPr>
          <w:p>
            <w:pPr>
              <w:jc w:val="center"/>
              <w:rPr>
                <w:rFonts w:ascii="新宋体" w:hAnsi="新宋体" w:eastAsia="新宋体"/>
                <w:b/>
                <w:bCs/>
                <w:sz w:val="24"/>
                <w:szCs w:val="24"/>
              </w:rPr>
            </w:pPr>
            <w:r>
              <w:rPr>
                <w:rFonts w:hint="eastAsia" w:ascii="新宋体" w:hAnsi="新宋体" w:eastAsia="新宋体"/>
                <w:b/>
                <w:bCs/>
                <w:sz w:val="24"/>
                <w:szCs w:val="24"/>
              </w:rPr>
              <w:t>预算金额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36" w:type="dxa"/>
            <w:noWrap w:val="0"/>
            <w:vAlign w:val="center"/>
          </w:tcPr>
          <w:p>
            <w:pPr>
              <w:adjustRightInd w:val="0"/>
              <w:snapToGrid w:val="0"/>
              <w:jc w:val="center"/>
              <w:rPr>
                <w:rFonts w:ascii="新宋体" w:hAnsi="新宋体" w:eastAsia="新宋体" w:cs="Arial Unicode MS"/>
                <w:snapToGrid w:val="0"/>
                <w:kern w:val="0"/>
                <w:sz w:val="24"/>
                <w:szCs w:val="24"/>
              </w:rPr>
            </w:pPr>
            <w:r>
              <w:rPr>
                <w:rFonts w:hint="eastAsia" w:ascii="新宋体" w:hAnsi="新宋体" w:eastAsia="新宋体" w:cs="Arial Unicode MS"/>
                <w:snapToGrid w:val="0"/>
                <w:kern w:val="0"/>
                <w:sz w:val="24"/>
                <w:szCs w:val="24"/>
              </w:rPr>
              <w:t>1</w:t>
            </w:r>
          </w:p>
        </w:tc>
        <w:tc>
          <w:tcPr>
            <w:tcW w:w="1611" w:type="dxa"/>
            <w:vMerge w:val="restart"/>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皇岗海关工会2023年蛋糕券和电影入场券供应服务采购项目</w:t>
            </w:r>
          </w:p>
        </w:tc>
        <w:tc>
          <w:tcPr>
            <w:tcW w:w="2004" w:type="dxa"/>
            <w:noWrap w:val="0"/>
            <w:vAlign w:val="center"/>
          </w:tcPr>
          <w:p>
            <w:pPr>
              <w:jc w:val="center"/>
              <w:rPr>
                <w:rFonts w:hint="eastAsia" w:ascii="新宋体" w:hAnsi="新宋体" w:eastAsia="新宋体"/>
                <w:snapToGrid w:val="0"/>
                <w:sz w:val="24"/>
                <w:szCs w:val="24"/>
              </w:rPr>
            </w:pPr>
            <w:r>
              <w:rPr>
                <w:rFonts w:hint="eastAsia" w:ascii="新宋体" w:hAnsi="新宋体" w:eastAsia="新宋体"/>
                <w:snapToGrid w:val="0"/>
                <w:sz w:val="24"/>
                <w:szCs w:val="24"/>
              </w:rPr>
              <w:t>采购上限为801张，具体以实际采购数量为准。</w:t>
            </w:r>
          </w:p>
        </w:tc>
        <w:tc>
          <w:tcPr>
            <w:tcW w:w="2095"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A包(蛋糕券)</w:t>
            </w:r>
          </w:p>
        </w:tc>
        <w:tc>
          <w:tcPr>
            <w:tcW w:w="2508"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人民币320,400.00元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6" w:type="dxa"/>
            <w:noWrap w:val="0"/>
            <w:vAlign w:val="center"/>
          </w:tcPr>
          <w:p>
            <w:pPr>
              <w:adjustRightInd w:val="0"/>
              <w:snapToGrid w:val="0"/>
              <w:jc w:val="center"/>
              <w:rPr>
                <w:rFonts w:ascii="新宋体" w:hAnsi="新宋体" w:eastAsia="新宋体" w:cs="Arial Unicode MS"/>
                <w:snapToGrid w:val="0"/>
                <w:kern w:val="0"/>
                <w:sz w:val="24"/>
                <w:szCs w:val="24"/>
              </w:rPr>
            </w:pPr>
            <w:r>
              <w:rPr>
                <w:rFonts w:hint="eastAsia" w:ascii="新宋体" w:hAnsi="新宋体" w:eastAsia="新宋体" w:cs="Arial Unicode MS"/>
                <w:snapToGrid w:val="0"/>
                <w:kern w:val="0"/>
                <w:sz w:val="24"/>
                <w:szCs w:val="24"/>
              </w:rPr>
              <w:t>2</w:t>
            </w:r>
          </w:p>
        </w:tc>
        <w:tc>
          <w:tcPr>
            <w:tcW w:w="1611" w:type="dxa"/>
            <w:vMerge w:val="continue"/>
            <w:noWrap w:val="0"/>
            <w:vAlign w:val="center"/>
          </w:tcPr>
          <w:p>
            <w:pPr>
              <w:jc w:val="center"/>
              <w:rPr>
                <w:rFonts w:ascii="新宋体" w:hAnsi="新宋体" w:eastAsia="新宋体"/>
                <w:snapToGrid w:val="0"/>
                <w:sz w:val="24"/>
                <w:szCs w:val="24"/>
              </w:rPr>
            </w:pPr>
          </w:p>
        </w:tc>
        <w:tc>
          <w:tcPr>
            <w:tcW w:w="2004" w:type="dxa"/>
            <w:noWrap w:val="0"/>
            <w:vAlign w:val="center"/>
          </w:tcPr>
          <w:p>
            <w:pPr>
              <w:jc w:val="center"/>
              <w:rPr>
                <w:rFonts w:hint="eastAsia" w:ascii="新宋体" w:hAnsi="新宋体" w:eastAsia="新宋体"/>
                <w:snapToGrid w:val="0"/>
                <w:sz w:val="24"/>
                <w:szCs w:val="24"/>
              </w:rPr>
            </w:pPr>
            <w:r>
              <w:rPr>
                <w:rFonts w:hint="eastAsia" w:ascii="新宋体" w:hAnsi="新宋体" w:eastAsia="新宋体"/>
                <w:sz w:val="24"/>
                <w:szCs w:val="24"/>
              </w:rPr>
              <w:t>采购上限为801张，具体以实际采购数量为准。</w:t>
            </w:r>
          </w:p>
        </w:tc>
        <w:tc>
          <w:tcPr>
            <w:tcW w:w="2095"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B包(电影入场券)</w:t>
            </w:r>
          </w:p>
        </w:tc>
        <w:tc>
          <w:tcPr>
            <w:tcW w:w="2508" w:type="dxa"/>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 xml:space="preserve">人民币240,300.00元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4" w:type="dxa"/>
            <w:gridSpan w:val="5"/>
            <w:noWrap w:val="0"/>
            <w:vAlign w:val="center"/>
          </w:tcPr>
          <w:p>
            <w:pPr>
              <w:jc w:val="center"/>
              <w:rPr>
                <w:rFonts w:ascii="新宋体" w:hAnsi="新宋体" w:eastAsia="新宋体"/>
                <w:snapToGrid w:val="0"/>
                <w:sz w:val="24"/>
                <w:szCs w:val="24"/>
              </w:rPr>
            </w:pPr>
            <w:r>
              <w:rPr>
                <w:rFonts w:hint="eastAsia" w:ascii="新宋体" w:hAnsi="新宋体" w:eastAsia="新宋体"/>
                <w:snapToGrid w:val="0"/>
                <w:sz w:val="24"/>
                <w:szCs w:val="24"/>
              </w:rPr>
              <w:t>总预算：人民币伍拾陆万零柒佰元整（560,700.00元）</w:t>
            </w:r>
          </w:p>
        </w:tc>
      </w:tr>
    </w:tbl>
    <w:p>
      <w:pPr>
        <w:pStyle w:val="6"/>
        <w:spacing w:line="360" w:lineRule="auto"/>
        <w:jc w:val="center"/>
        <w:rPr>
          <w:rFonts w:ascii="新宋体" w:hAnsi="新宋体" w:eastAsia="新宋体"/>
          <w:sz w:val="24"/>
          <w:szCs w:val="24"/>
        </w:rPr>
      </w:pPr>
      <w:bookmarkStart w:id="3" w:name="_Toc76031644"/>
      <w:r>
        <w:rPr>
          <w:rFonts w:hint="eastAsia" w:ascii="新宋体" w:hAnsi="新宋体" w:eastAsia="新宋体"/>
          <w:sz w:val="24"/>
          <w:szCs w:val="24"/>
        </w:rPr>
        <w:t>第二节 商务需求</w:t>
      </w:r>
      <w:bookmarkEnd w:id="3"/>
    </w:p>
    <w:p>
      <w:pPr>
        <w:pStyle w:val="11"/>
        <w:tabs>
          <w:tab w:val="left" w:pos="540"/>
        </w:tabs>
        <w:adjustRightInd w:val="0"/>
        <w:snapToGrid w:val="0"/>
        <w:spacing w:line="360" w:lineRule="auto"/>
        <w:rPr>
          <w:rFonts w:ascii="新宋体" w:hAnsi="新宋体" w:eastAsia="新宋体" w:cs="新宋体"/>
          <w:b/>
          <w:sz w:val="24"/>
          <w:szCs w:val="24"/>
        </w:rPr>
      </w:pPr>
      <w:r>
        <w:rPr>
          <w:rFonts w:hint="eastAsia" w:ascii="新宋体" w:hAnsi="新宋体" w:eastAsia="新宋体" w:cs="新宋体"/>
          <w:b/>
          <w:sz w:val="24"/>
          <w:szCs w:val="24"/>
        </w:rPr>
        <w:t>一、服务要求</w:t>
      </w:r>
    </w:p>
    <w:p>
      <w:pPr>
        <w:tabs>
          <w:tab w:val="left" w:pos="900"/>
        </w:tabs>
        <w:snapToGrid w:val="0"/>
        <w:spacing w:line="360" w:lineRule="auto"/>
        <w:ind w:left="482" w:hanging="482" w:hangingChars="200"/>
        <w:rPr>
          <w:rFonts w:hint="eastAsia" w:ascii="新宋体" w:hAnsi="新宋体" w:eastAsia="新宋体" w:cs="新宋体"/>
          <w:b/>
          <w:sz w:val="24"/>
          <w:szCs w:val="24"/>
          <w:lang w:eastAsia="zh-CN"/>
        </w:rPr>
      </w:pPr>
      <w:r>
        <w:rPr>
          <w:rFonts w:hint="eastAsia" w:ascii="新宋体" w:hAnsi="新宋体" w:eastAsia="新宋体" w:cs="新宋体"/>
          <w:b/>
          <w:sz w:val="24"/>
          <w:szCs w:val="24"/>
        </w:rPr>
        <w:t>A包（蛋糕劵）:</w:t>
      </w:r>
    </w:p>
    <w:p>
      <w:pPr>
        <w:tabs>
          <w:tab w:val="left" w:pos="900"/>
        </w:tabs>
        <w:snapToGrid w:val="0"/>
        <w:spacing w:line="360" w:lineRule="auto"/>
        <w:ind w:left="482" w:hanging="480" w:hangingChars="200"/>
        <w:rPr>
          <w:rFonts w:ascii="新宋体" w:hAnsi="新宋体" w:eastAsia="新宋体" w:cs="新宋体"/>
          <w:sz w:val="24"/>
          <w:szCs w:val="24"/>
        </w:rPr>
      </w:pPr>
      <w:r>
        <w:rPr>
          <w:rFonts w:hint="eastAsia" w:ascii="新宋体" w:hAnsi="新宋体" w:eastAsia="新宋体" w:cs="新宋体"/>
          <w:sz w:val="24"/>
          <w:szCs w:val="24"/>
        </w:rPr>
        <w:t>皇岗海关工会向该关每名工会会员发放每张价值400元的生日蛋糕券。</w:t>
      </w:r>
    </w:p>
    <w:p>
      <w:pPr>
        <w:tabs>
          <w:tab w:val="left" w:pos="900"/>
        </w:tabs>
        <w:snapToGrid w:val="0"/>
        <w:spacing w:line="360" w:lineRule="auto"/>
        <w:ind w:firstLine="480" w:firstLineChars="200"/>
        <w:rPr>
          <w:rFonts w:ascii="新宋体" w:hAnsi="新宋体" w:eastAsia="新宋体" w:cs="新宋体"/>
          <w:b/>
          <w:sz w:val="24"/>
          <w:szCs w:val="24"/>
        </w:rPr>
      </w:pPr>
      <w:r>
        <w:rPr>
          <w:rFonts w:hint="eastAsia" w:ascii="新宋体" w:hAnsi="新宋体" w:eastAsia="新宋体" w:cs="新宋体"/>
          <w:sz w:val="24"/>
          <w:szCs w:val="24"/>
        </w:rPr>
        <w:t>招标人在2023年为工会会员采购生日蛋糕券并发放给会员使用，本次采购金额上限不超过320400元。具体采购数量以该关工会按实际需求进行采购，甲方不承诺在服务期内的实际采购数量。</w:t>
      </w:r>
    </w:p>
    <w:p>
      <w:pPr>
        <w:pStyle w:val="11"/>
        <w:tabs>
          <w:tab w:val="left" w:pos="420"/>
          <w:tab w:val="left" w:pos="540"/>
        </w:tabs>
        <w:adjustRightInd w:val="0"/>
        <w:snapToGrid w:val="0"/>
        <w:spacing w:line="360" w:lineRule="auto"/>
        <w:rPr>
          <w:rFonts w:ascii="新宋体" w:hAnsi="新宋体" w:eastAsia="新宋体" w:cs="新宋体"/>
          <w:b/>
          <w:sz w:val="24"/>
          <w:szCs w:val="24"/>
        </w:rPr>
      </w:pPr>
      <w:r>
        <w:rPr>
          <w:rFonts w:hint="eastAsia" w:ascii="新宋体" w:hAnsi="新宋体" w:eastAsia="新宋体" w:cs="新宋体"/>
          <w:b/>
          <w:sz w:val="24"/>
          <w:szCs w:val="24"/>
        </w:rPr>
        <w:t>1.投标人资质：</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1.1.投标人必须是在中华人民共和国境内注册的独立法人或其他组织（证明文件：须提供营业执照或法人证书等证明材料复印件加盖投标人公章）；</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1.2.需满足《中华人民共和国政府采购法》第二十二条规定；参加本次招标前三年内在经营活动中没有重大违法记录、在卫生监督部门无食品卫生事故记录(供应商提供查询截图等证明材料复印件加盖投标人公章)；</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1.3.截至开标时间为止，未被深圳市各级政府采购主管部门行政处罚（指禁止参与政府采购活动且在有效期内）的投标人；</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1.4.通过“信用中国”网站（</w:t>
      </w:r>
      <w:r>
        <w:fldChar w:fldCharType="begin"/>
      </w:r>
      <w:r>
        <w:instrText xml:space="preserve"> HYPERLINK "file:///C:\\Program%20Files%20(x86)\\eSpace_Desktop\\eSpaceIM_IE\\100dpi\\pages\\www.creditchina.gov.cn" </w:instrText>
      </w:r>
      <w:r>
        <w:fldChar w:fldCharType="separate"/>
      </w:r>
      <w:r>
        <w:rPr>
          <w:rFonts w:hint="eastAsia" w:ascii="新宋体" w:hAnsi="新宋体" w:eastAsia="新宋体" w:cs="新宋体"/>
          <w:bCs/>
          <w:sz w:val="24"/>
          <w:szCs w:val="24"/>
        </w:rPr>
        <w:t>www.creditchina.gov.cn</w:t>
      </w:r>
      <w:r>
        <w:rPr>
          <w:rFonts w:hint="eastAsia" w:ascii="新宋体" w:hAnsi="新宋体" w:eastAsia="新宋体" w:cs="新宋体"/>
          <w:bCs/>
          <w:sz w:val="24"/>
          <w:szCs w:val="24"/>
        </w:rPr>
        <w:fldChar w:fldCharType="end"/>
      </w:r>
      <w:r>
        <w:rPr>
          <w:rFonts w:hint="eastAsia" w:ascii="新宋体" w:hAnsi="新宋体" w:eastAsia="新宋体" w:cs="新宋体"/>
          <w:bCs/>
          <w:sz w:val="24"/>
          <w:szCs w:val="24"/>
        </w:rPr>
        <w:t>）和中国政府采购网（</w:t>
      </w:r>
      <w:r>
        <w:fldChar w:fldCharType="begin"/>
      </w:r>
      <w:r>
        <w:instrText xml:space="preserve"> HYPERLINK "file:///C:\\Program%20Files%20(x86)\\eSpace_Desktop\\eSpaceIM_IE\\100dpi\\pages\\www.ccgp.gov.cn" </w:instrText>
      </w:r>
      <w:r>
        <w:fldChar w:fldCharType="separate"/>
      </w:r>
      <w:r>
        <w:rPr>
          <w:rFonts w:hint="eastAsia" w:ascii="新宋体" w:hAnsi="新宋体" w:eastAsia="新宋体" w:cs="新宋体"/>
          <w:bCs/>
          <w:sz w:val="24"/>
          <w:szCs w:val="24"/>
        </w:rPr>
        <w:t>www.ccgp.gov.cn</w:t>
      </w:r>
      <w:r>
        <w:rPr>
          <w:rFonts w:hint="eastAsia" w:ascii="新宋体" w:hAnsi="新宋体" w:eastAsia="新宋体" w:cs="新宋体"/>
          <w:bCs/>
          <w:sz w:val="24"/>
          <w:szCs w:val="24"/>
        </w:rPr>
        <w:fldChar w:fldCharType="end"/>
      </w:r>
      <w:r>
        <w:rPr>
          <w:rFonts w:hint="eastAsia" w:ascii="新宋体" w:hAnsi="新宋体" w:eastAsia="新宋体" w:cs="新宋体"/>
          <w:bCs/>
          <w:sz w:val="24"/>
          <w:szCs w:val="24"/>
        </w:rPr>
        <w:t>）查询信用记录（相关信息以中标通知书发出前的查询结果为准），被列入失信被执行人、重大税收违法案件当事人名单或政府采购严重违法失信行为记录名单的供应商，拒绝参与本项目的采购活动；</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1.5.必须具有国家工商管理部门单位发放的《食品生产许可证》或《食品经营许可证》资质，提供证书复印件（加盖公章）；</w:t>
      </w:r>
    </w:p>
    <w:p>
      <w:pPr>
        <w:pStyle w:val="11"/>
        <w:tabs>
          <w:tab w:val="left" w:pos="420"/>
          <w:tab w:val="left" w:pos="540"/>
        </w:tabs>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1.6.如投标人为分公司报价的，必须提供总公司有效授权书原件；</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1.7.要求投标人具有良好的商业信誉和健全的财务会计制度，提供近三年财务报告或报表；</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1.8.本项目不接受联合体投标；</w:t>
      </w:r>
    </w:p>
    <w:p>
      <w:pPr>
        <w:pStyle w:val="11"/>
        <w:tabs>
          <w:tab w:val="left" w:pos="420"/>
          <w:tab w:val="left" w:pos="540"/>
        </w:tabs>
        <w:adjustRightInd w:val="0"/>
        <w:snapToGrid w:val="0"/>
        <w:spacing w:line="360" w:lineRule="auto"/>
        <w:ind w:firstLine="470" w:firstLineChars="196"/>
        <w:rPr>
          <w:rFonts w:ascii="新宋体" w:hAnsi="新宋体" w:eastAsia="新宋体" w:cs="新宋体"/>
          <w:bCs/>
          <w:sz w:val="24"/>
          <w:szCs w:val="24"/>
        </w:rPr>
      </w:pPr>
      <w:r>
        <w:rPr>
          <w:rFonts w:hint="eastAsia" w:ascii="新宋体" w:hAnsi="新宋体" w:eastAsia="新宋体" w:cs="新宋体"/>
          <w:bCs/>
          <w:sz w:val="24"/>
          <w:szCs w:val="24"/>
        </w:rPr>
        <w:t>1.9.本项目不允许进口产品（成品）参与投标。 </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2.服务内容：</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2.1.每份生日蛋糕券实际价值为400元人民币；券面面值与中标人各实体店、网站等的现金交易行为享受同等待遇和优惠服务。</w:t>
      </w:r>
    </w:p>
    <w:p>
      <w:pPr>
        <w:tabs>
          <w:tab w:val="left" w:pos="900"/>
        </w:tabs>
        <w:snapToGrid w:val="0"/>
        <w:spacing w:line="360" w:lineRule="auto"/>
        <w:ind w:firstLine="480" w:firstLineChars="200"/>
        <w:rPr>
          <w:rFonts w:ascii="新宋体" w:hAnsi="新宋体" w:eastAsia="新宋体" w:cs="新宋体"/>
          <w:sz w:val="24"/>
          <w:szCs w:val="24"/>
        </w:rPr>
      </w:pPr>
      <w:r>
        <w:rPr>
          <w:rFonts w:ascii="新宋体" w:hAnsi="新宋体" w:eastAsia="新宋体" w:cs="新宋体"/>
          <w:sz w:val="24"/>
          <w:szCs w:val="24"/>
        </w:rPr>
        <w:t>2.2.具有较为完善的销售服务渠道，在深圳市各区有实体蛋糕店经营的投标人优先考虑，须能提供全市各区生日蛋糕预订、生日蛋糕保鲜送货上门等服务。</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2.3.生日蛋糕券形式包括电子券和实体卡券，可以采购投标人线上、线下所有产品。</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3.项目履约时间、地点</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3.1.履约时间：</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3.2.自收到生日蛋糕券货物之日起两年有效，可免费延期。</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3.3.中标人收到采购通知后，按照招标人要求在10个工作日内将实体卡券送交到指定地点。</w:t>
      </w:r>
    </w:p>
    <w:p>
      <w:pPr>
        <w:tabs>
          <w:tab w:val="left" w:pos="900"/>
        </w:tabs>
        <w:snapToGrid w:val="0"/>
        <w:spacing w:line="360" w:lineRule="auto"/>
        <w:ind w:left="111" w:leftChars="53" w:firstLine="360" w:firstLineChars="150"/>
        <w:rPr>
          <w:rFonts w:hint="eastAsia" w:ascii="新宋体" w:hAnsi="新宋体" w:eastAsia="新宋体" w:cs="新宋体"/>
          <w:sz w:val="24"/>
          <w:szCs w:val="24"/>
          <w:lang w:eastAsia="zh-CN"/>
        </w:rPr>
      </w:pPr>
      <w:r>
        <w:rPr>
          <w:rFonts w:hint="eastAsia" w:ascii="新宋体" w:hAnsi="新宋体" w:eastAsia="新宋体" w:cs="新宋体"/>
          <w:sz w:val="24"/>
          <w:szCs w:val="24"/>
        </w:rPr>
        <w:t>3.4.招标人将实体卡券发至会员手中，由持券人在中标人指定的公众号或网站或实体店上进行充值、订购，中标人应当按照订购时间将蛋糕准时送达。</w:t>
      </w:r>
    </w:p>
    <w:p>
      <w:pPr>
        <w:tabs>
          <w:tab w:val="left" w:pos="900"/>
        </w:tabs>
        <w:snapToGrid w:val="0"/>
        <w:spacing w:line="360" w:lineRule="auto"/>
        <w:ind w:left="111" w:leftChars="53" w:firstLine="360" w:firstLineChars="150"/>
        <w:rPr>
          <w:rFonts w:ascii="新宋体" w:hAnsi="新宋体" w:eastAsia="新宋体" w:cs="新宋体"/>
          <w:sz w:val="24"/>
          <w:szCs w:val="24"/>
        </w:rPr>
      </w:pPr>
      <w:r>
        <w:rPr>
          <w:rFonts w:hint="eastAsia" w:ascii="新宋体" w:hAnsi="新宋体" w:eastAsia="新宋体" w:cs="新宋体"/>
          <w:sz w:val="24"/>
          <w:szCs w:val="24"/>
        </w:rPr>
        <w:t>3.5.免费起送价：单笔订单达到100元的，提供免费配送服务。</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bCs/>
          <w:sz w:val="24"/>
          <w:szCs w:val="24"/>
        </w:rPr>
        <w:t>3.6.履约地点：</w:t>
      </w:r>
      <w:r>
        <w:rPr>
          <w:rFonts w:hint="eastAsia" w:ascii="新宋体" w:hAnsi="新宋体" w:eastAsia="新宋体" w:cs="新宋体"/>
          <w:sz w:val="24"/>
          <w:szCs w:val="24"/>
        </w:rPr>
        <w:t>深圳市各个行政区（但不局限于）。</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4.质量标准：</w:t>
      </w:r>
    </w:p>
    <w:p>
      <w:pPr>
        <w:tabs>
          <w:tab w:val="left" w:pos="900"/>
        </w:tabs>
        <w:snapToGrid w:val="0"/>
        <w:spacing w:line="360" w:lineRule="auto"/>
        <w:ind w:firstLine="484" w:firstLineChars="202"/>
        <w:rPr>
          <w:rFonts w:ascii="新宋体" w:hAnsi="新宋体" w:eastAsia="新宋体" w:cs="新宋体"/>
          <w:sz w:val="24"/>
          <w:szCs w:val="24"/>
        </w:rPr>
      </w:pPr>
      <w:r>
        <w:rPr>
          <w:rFonts w:hint="eastAsia" w:ascii="新宋体" w:hAnsi="新宋体" w:eastAsia="新宋体" w:cs="新宋体"/>
          <w:sz w:val="24"/>
          <w:szCs w:val="24"/>
        </w:rPr>
        <w:t>符合中华人民共和国国家标准、行业标准及企业标准；中标人需保证产品品质符合国家各项相关标准；中标人所供的蛋糕（或其他）食品必须符合食品安全质量标准，若发现食品质量问题，中标人无条件为职工会员退货或换货，发生食品中毒事件，中标人承担职工由此造成全部责任，并赔偿全部损失。</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5.质量要求：</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蛋糕券如发生系统问题等情况导致无法正常使用的，中标人应立即提供解决方案，予以更换可正常兑换的同等面值的蛋糕券；蛋糕券如发生因企业结业、资金断裂等情况导致无法正常履约的，中标人须提前通知招标人，提供免费的退券服务或退款及相应赔偿。如发生上述问题经协商未能解决的，招标人有权单方面终止合同并按照法律途径维护自身权益。</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6.投标样品要求：</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6.1.投标人应将投标样品在投标截止时间前送达开标地点，否则，招标人、招标代理机构应当拒收。提交以下实物样品：</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3"/>
        <w:gridCol w:w="1920"/>
        <w:gridCol w:w="1230"/>
        <w:gridCol w:w="2443"/>
        <w:gridCol w:w="25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1" w:hRule="atLeast"/>
          <w:jc w:val="center"/>
        </w:trPr>
        <w:tc>
          <w:tcPr>
            <w:tcW w:w="723" w:type="dxa"/>
            <w:tcBorders>
              <w:top w:val="single" w:color="auto" w:sz="12" w:space="0"/>
              <w:left w:val="single" w:color="auto" w:sz="12" w:space="0"/>
              <w:bottom w:val="single" w:color="auto" w:sz="6" w:space="0"/>
              <w:right w:val="single" w:color="auto" w:sz="6" w:space="0"/>
            </w:tcBorders>
            <w:noWrap w:val="0"/>
            <w:vAlign w:val="center"/>
          </w:tcPr>
          <w:p>
            <w:pPr>
              <w:snapToGrid w:val="0"/>
              <w:spacing w:line="360" w:lineRule="auto"/>
              <w:jc w:val="center"/>
              <w:rPr>
                <w:rFonts w:ascii="新宋体" w:hAnsi="新宋体" w:eastAsia="新宋体" w:cs="新宋体"/>
                <w:b/>
                <w:sz w:val="24"/>
                <w:szCs w:val="24"/>
              </w:rPr>
            </w:pPr>
            <w:r>
              <w:rPr>
                <w:rFonts w:hint="eastAsia" w:ascii="新宋体" w:hAnsi="新宋体" w:eastAsia="新宋体" w:cs="新宋体"/>
                <w:b/>
                <w:sz w:val="24"/>
                <w:szCs w:val="24"/>
              </w:rPr>
              <w:t>序号</w:t>
            </w:r>
          </w:p>
        </w:tc>
        <w:tc>
          <w:tcPr>
            <w:tcW w:w="1920" w:type="dxa"/>
            <w:tcBorders>
              <w:top w:val="single" w:color="auto" w:sz="12" w:space="0"/>
              <w:left w:val="single" w:color="auto" w:sz="6" w:space="0"/>
              <w:bottom w:val="single" w:color="auto" w:sz="6" w:space="0"/>
              <w:right w:val="single" w:color="auto" w:sz="6" w:space="0"/>
            </w:tcBorders>
            <w:noWrap w:val="0"/>
            <w:vAlign w:val="center"/>
          </w:tcPr>
          <w:p>
            <w:pPr>
              <w:snapToGrid w:val="0"/>
              <w:spacing w:line="360" w:lineRule="auto"/>
              <w:jc w:val="center"/>
              <w:rPr>
                <w:rFonts w:ascii="新宋体" w:hAnsi="新宋体" w:eastAsia="新宋体" w:cs="新宋体"/>
                <w:b/>
                <w:sz w:val="24"/>
                <w:szCs w:val="24"/>
              </w:rPr>
            </w:pPr>
            <w:r>
              <w:rPr>
                <w:rFonts w:hint="eastAsia" w:ascii="新宋体" w:hAnsi="新宋体" w:eastAsia="新宋体" w:cs="新宋体"/>
                <w:b/>
                <w:sz w:val="24"/>
                <w:szCs w:val="24"/>
              </w:rPr>
              <w:t>样品名称</w:t>
            </w:r>
          </w:p>
        </w:tc>
        <w:tc>
          <w:tcPr>
            <w:tcW w:w="1230" w:type="dxa"/>
            <w:tcBorders>
              <w:top w:val="single" w:color="auto" w:sz="12" w:space="0"/>
              <w:left w:val="single" w:color="auto" w:sz="6" w:space="0"/>
              <w:bottom w:val="single" w:color="auto" w:sz="6" w:space="0"/>
              <w:right w:val="single" w:color="auto" w:sz="6" w:space="0"/>
            </w:tcBorders>
            <w:noWrap w:val="0"/>
            <w:vAlign w:val="center"/>
          </w:tcPr>
          <w:p>
            <w:pPr>
              <w:snapToGrid w:val="0"/>
              <w:spacing w:line="360" w:lineRule="auto"/>
              <w:jc w:val="center"/>
              <w:rPr>
                <w:rFonts w:ascii="新宋体" w:hAnsi="新宋体" w:eastAsia="新宋体" w:cs="新宋体"/>
                <w:b/>
                <w:sz w:val="24"/>
                <w:szCs w:val="24"/>
              </w:rPr>
            </w:pPr>
            <w:r>
              <w:rPr>
                <w:rFonts w:hint="eastAsia" w:ascii="新宋体" w:hAnsi="新宋体" w:eastAsia="新宋体" w:cs="新宋体"/>
                <w:b/>
                <w:sz w:val="24"/>
                <w:szCs w:val="24"/>
              </w:rPr>
              <w:t>数量</w:t>
            </w:r>
          </w:p>
        </w:tc>
        <w:tc>
          <w:tcPr>
            <w:tcW w:w="2443" w:type="dxa"/>
            <w:tcBorders>
              <w:top w:val="single" w:color="auto" w:sz="12" w:space="0"/>
              <w:left w:val="single" w:color="auto" w:sz="6" w:space="0"/>
              <w:bottom w:val="single" w:color="auto" w:sz="6" w:space="0"/>
              <w:right w:val="single" w:color="auto" w:sz="6" w:space="0"/>
            </w:tcBorders>
            <w:noWrap w:val="0"/>
            <w:vAlign w:val="center"/>
          </w:tcPr>
          <w:p>
            <w:pPr>
              <w:snapToGrid w:val="0"/>
              <w:spacing w:line="360" w:lineRule="auto"/>
              <w:jc w:val="center"/>
              <w:rPr>
                <w:rFonts w:ascii="新宋体" w:hAnsi="新宋体" w:eastAsia="新宋体" w:cs="新宋体"/>
                <w:b/>
                <w:sz w:val="24"/>
                <w:szCs w:val="24"/>
              </w:rPr>
            </w:pPr>
            <w:r>
              <w:rPr>
                <w:rFonts w:hint="eastAsia" w:ascii="新宋体" w:hAnsi="新宋体" w:eastAsia="新宋体" w:cs="新宋体"/>
                <w:b/>
                <w:sz w:val="24"/>
                <w:szCs w:val="24"/>
              </w:rPr>
              <w:t>样品规格</w:t>
            </w:r>
          </w:p>
        </w:tc>
        <w:tc>
          <w:tcPr>
            <w:tcW w:w="2502" w:type="dxa"/>
            <w:tcBorders>
              <w:top w:val="single" w:color="auto" w:sz="12" w:space="0"/>
              <w:left w:val="single" w:color="auto" w:sz="6" w:space="0"/>
              <w:bottom w:val="single" w:color="auto" w:sz="6" w:space="0"/>
              <w:right w:val="single" w:color="auto" w:sz="12" w:space="0"/>
            </w:tcBorders>
            <w:noWrap w:val="0"/>
            <w:vAlign w:val="center"/>
          </w:tcPr>
          <w:p>
            <w:pPr>
              <w:snapToGrid w:val="0"/>
              <w:spacing w:line="360" w:lineRule="auto"/>
              <w:jc w:val="center"/>
              <w:rPr>
                <w:rFonts w:ascii="新宋体" w:hAnsi="新宋体" w:eastAsia="新宋体" w:cs="新宋体"/>
                <w:b/>
                <w:sz w:val="24"/>
                <w:szCs w:val="24"/>
              </w:rPr>
            </w:pPr>
            <w:r>
              <w:rPr>
                <w:rFonts w:hint="eastAsia" w:ascii="新宋体" w:hAnsi="新宋体" w:eastAsia="新宋体" w:cs="新宋体"/>
                <w:b/>
                <w:sz w:val="24"/>
                <w:szCs w:val="24"/>
              </w:rPr>
              <w:t>样品要求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2" w:hRule="atLeast"/>
          <w:jc w:val="center"/>
        </w:trPr>
        <w:tc>
          <w:tcPr>
            <w:tcW w:w="723" w:type="dxa"/>
            <w:tcBorders>
              <w:top w:val="single" w:color="auto" w:sz="6" w:space="0"/>
              <w:left w:val="single" w:color="auto" w:sz="12" w:space="0"/>
              <w:bottom w:val="single" w:color="auto" w:sz="12" w:space="0"/>
              <w:right w:val="single" w:color="auto" w:sz="6" w:space="0"/>
            </w:tcBorders>
            <w:noWrap w:val="0"/>
            <w:vAlign w:val="center"/>
          </w:tcPr>
          <w:p>
            <w:pPr>
              <w:numPr>
                <w:ilvl w:val="0"/>
                <w:numId w:val="1"/>
              </w:numPr>
              <w:tabs>
                <w:tab w:val="left" w:pos="142"/>
              </w:tabs>
              <w:snapToGrid w:val="0"/>
              <w:spacing w:line="360" w:lineRule="auto"/>
              <w:ind w:left="0"/>
              <w:jc w:val="center"/>
              <w:rPr>
                <w:rFonts w:ascii="新宋体" w:hAnsi="新宋体" w:eastAsia="新宋体" w:cs="新宋体"/>
                <w:sz w:val="24"/>
                <w:szCs w:val="24"/>
              </w:rPr>
            </w:pPr>
            <w:r>
              <w:rPr>
                <w:rFonts w:hint="eastAsia" w:ascii="新宋体" w:hAnsi="新宋体" w:eastAsia="新宋体" w:cs="新宋体"/>
                <w:sz w:val="24"/>
                <w:szCs w:val="24"/>
              </w:rPr>
              <w:t>1</w:t>
            </w:r>
          </w:p>
        </w:tc>
        <w:tc>
          <w:tcPr>
            <w:tcW w:w="1920" w:type="dxa"/>
            <w:tcBorders>
              <w:top w:val="single" w:color="auto" w:sz="6" w:space="0"/>
              <w:left w:val="single" w:color="auto" w:sz="6" w:space="0"/>
              <w:bottom w:val="single" w:color="auto" w:sz="12" w:space="0"/>
              <w:right w:val="single" w:color="auto" w:sz="6" w:space="0"/>
            </w:tcBorders>
            <w:noWrap w:val="0"/>
            <w:vAlign w:val="center"/>
          </w:tcPr>
          <w:p>
            <w:pPr>
              <w:snapToGrid w:val="0"/>
              <w:spacing w:line="360" w:lineRule="auto"/>
              <w:jc w:val="center"/>
              <w:rPr>
                <w:rFonts w:ascii="新宋体" w:hAnsi="新宋体" w:eastAsia="新宋体" w:cs="新宋体"/>
                <w:sz w:val="24"/>
                <w:szCs w:val="24"/>
              </w:rPr>
            </w:pPr>
            <w:r>
              <w:rPr>
                <w:rFonts w:hint="eastAsia" w:ascii="新宋体" w:hAnsi="新宋体" w:eastAsia="新宋体" w:cs="新宋体"/>
                <w:sz w:val="24"/>
                <w:szCs w:val="24"/>
              </w:rPr>
              <w:t>生日蛋糕</w:t>
            </w:r>
          </w:p>
        </w:tc>
        <w:tc>
          <w:tcPr>
            <w:tcW w:w="1230" w:type="dxa"/>
            <w:tcBorders>
              <w:top w:val="single" w:color="auto" w:sz="6" w:space="0"/>
              <w:left w:val="single" w:color="auto" w:sz="6" w:space="0"/>
              <w:bottom w:val="single" w:color="auto" w:sz="12" w:space="0"/>
              <w:right w:val="single" w:color="auto" w:sz="6" w:space="0"/>
            </w:tcBorders>
            <w:noWrap w:val="0"/>
            <w:vAlign w:val="center"/>
          </w:tcPr>
          <w:p>
            <w:pPr>
              <w:snapToGrid w:val="0"/>
              <w:spacing w:line="360" w:lineRule="auto"/>
              <w:jc w:val="center"/>
              <w:rPr>
                <w:rFonts w:ascii="新宋体" w:hAnsi="新宋体" w:eastAsia="新宋体" w:cs="新宋体"/>
                <w:sz w:val="24"/>
                <w:szCs w:val="24"/>
              </w:rPr>
            </w:pPr>
            <w:r>
              <w:rPr>
                <w:rFonts w:hint="eastAsia" w:ascii="新宋体" w:hAnsi="新宋体" w:eastAsia="新宋体" w:cs="新宋体"/>
                <w:sz w:val="24"/>
                <w:szCs w:val="24"/>
              </w:rPr>
              <w:t>1个</w:t>
            </w:r>
          </w:p>
        </w:tc>
        <w:tc>
          <w:tcPr>
            <w:tcW w:w="2443" w:type="dxa"/>
            <w:tcBorders>
              <w:top w:val="single" w:color="auto" w:sz="6" w:space="0"/>
              <w:left w:val="single" w:color="auto" w:sz="6" w:space="0"/>
              <w:bottom w:val="single" w:color="auto" w:sz="12" w:space="0"/>
              <w:right w:val="single" w:color="auto" w:sz="6" w:space="0"/>
            </w:tcBorders>
            <w:noWrap w:val="0"/>
            <w:vAlign w:val="center"/>
          </w:tcPr>
          <w:p>
            <w:pPr>
              <w:snapToGrid w:val="0"/>
              <w:spacing w:line="360" w:lineRule="auto"/>
              <w:jc w:val="center"/>
              <w:rPr>
                <w:rFonts w:ascii="新宋体" w:hAnsi="新宋体" w:eastAsia="新宋体" w:cs="新宋体"/>
                <w:sz w:val="24"/>
                <w:szCs w:val="24"/>
              </w:rPr>
            </w:pPr>
            <w:r>
              <w:rPr>
                <w:rFonts w:hint="eastAsia" w:ascii="新宋体" w:hAnsi="新宋体" w:eastAsia="新宋体" w:cs="新宋体"/>
                <w:sz w:val="24"/>
                <w:szCs w:val="24"/>
              </w:rPr>
              <w:t>1磅</w:t>
            </w:r>
          </w:p>
        </w:tc>
        <w:tc>
          <w:tcPr>
            <w:tcW w:w="2502" w:type="dxa"/>
            <w:tcBorders>
              <w:top w:val="single" w:color="auto" w:sz="6" w:space="0"/>
              <w:left w:val="single" w:color="auto" w:sz="6" w:space="0"/>
              <w:bottom w:val="single" w:color="auto" w:sz="12" w:space="0"/>
              <w:right w:val="single" w:color="auto" w:sz="12" w:space="0"/>
            </w:tcBorders>
            <w:noWrap w:val="0"/>
            <w:vAlign w:val="center"/>
          </w:tcPr>
          <w:p>
            <w:pPr>
              <w:snapToGrid w:val="0"/>
              <w:spacing w:line="360" w:lineRule="auto"/>
              <w:jc w:val="center"/>
              <w:rPr>
                <w:rFonts w:ascii="新宋体" w:hAnsi="新宋体" w:eastAsia="新宋体" w:cs="新宋体"/>
                <w:sz w:val="24"/>
                <w:szCs w:val="24"/>
              </w:rPr>
            </w:pPr>
            <w:r>
              <w:rPr>
                <w:rFonts w:hint="eastAsia" w:ascii="新宋体" w:hAnsi="新宋体" w:eastAsia="新宋体" w:cs="新宋体"/>
                <w:sz w:val="24"/>
                <w:szCs w:val="24"/>
              </w:rPr>
              <w:t>搭配刀叉碟</w:t>
            </w:r>
          </w:p>
        </w:tc>
      </w:tr>
    </w:tbl>
    <w:p>
      <w:pPr>
        <w:tabs>
          <w:tab w:val="left" w:pos="900"/>
        </w:tabs>
        <w:snapToGrid w:val="0"/>
        <w:spacing w:line="360" w:lineRule="auto"/>
        <w:rPr>
          <w:rFonts w:ascii="新宋体" w:hAnsi="新宋体" w:eastAsia="新宋体" w:cs="新宋体"/>
          <w:sz w:val="24"/>
          <w:szCs w:val="24"/>
        </w:rPr>
      </w:pPr>
    </w:p>
    <w:p>
      <w:pPr>
        <w:tabs>
          <w:tab w:val="left" w:pos="900"/>
        </w:tabs>
        <w:snapToGrid w:val="0"/>
        <w:spacing w:line="360" w:lineRule="auto"/>
        <w:ind w:firstLine="484" w:firstLineChars="202"/>
        <w:rPr>
          <w:rFonts w:ascii="新宋体" w:hAnsi="新宋体" w:eastAsia="新宋体" w:cs="新宋体"/>
          <w:sz w:val="24"/>
          <w:szCs w:val="24"/>
        </w:rPr>
      </w:pPr>
      <w:r>
        <w:rPr>
          <w:rFonts w:hint="eastAsia" w:ascii="新宋体" w:hAnsi="新宋体" w:eastAsia="新宋体" w:cs="新宋体"/>
          <w:sz w:val="24"/>
          <w:szCs w:val="24"/>
        </w:rPr>
        <w:t>6.2.样品必须与投标文件分</w:t>
      </w:r>
      <w:bookmarkStart w:id="5" w:name="_GoBack"/>
      <w:r>
        <w:rPr>
          <w:rFonts w:hint="eastAsia" w:ascii="新宋体" w:hAnsi="新宋体" w:eastAsia="新宋体" w:cs="新宋体"/>
          <w:sz w:val="24"/>
          <w:szCs w:val="24"/>
        </w:rPr>
        <w:t>开，每个样品必须标识清楚。</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6.3.投标样品上必须标注“项目名称及项目编号、样品编号、样品名称”等信息，但不得显示指向任何投标人的信息、生产厂家的商标，或者其他的标记标识。</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6.4.样品的递交和签到：</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样品需提供详细的食品配料标签，投标人或授权人需在本项目投标文件提交时间前</w:t>
      </w:r>
      <w:r>
        <w:rPr>
          <w:rFonts w:hint="eastAsia" w:ascii="新宋体" w:hAnsi="新宋体" w:eastAsia="新宋体" w:cs="新宋体"/>
          <w:color w:val="auto"/>
          <w:sz w:val="24"/>
          <w:szCs w:val="24"/>
          <w:highlight w:val="none"/>
        </w:rPr>
        <w:t>（即2023年</w:t>
      </w:r>
      <w:r>
        <w:rPr>
          <w:rFonts w:hint="eastAsia" w:ascii="新宋体" w:hAnsi="新宋体" w:eastAsia="新宋体" w:cs="新宋体"/>
          <w:color w:val="auto"/>
          <w:sz w:val="24"/>
          <w:szCs w:val="24"/>
          <w:highlight w:val="none"/>
          <w:lang w:val="en-US" w:eastAsia="zh-CN"/>
        </w:rPr>
        <w:t>09</w:t>
      </w:r>
      <w:r>
        <w:rPr>
          <w:rFonts w:hint="eastAsia" w:ascii="新宋体" w:hAnsi="新宋体" w:eastAsia="新宋体" w:cs="新宋体"/>
          <w:color w:val="auto"/>
          <w:sz w:val="24"/>
          <w:szCs w:val="24"/>
          <w:highlight w:val="none"/>
        </w:rPr>
        <w:t>月</w:t>
      </w:r>
      <w:r>
        <w:rPr>
          <w:rFonts w:hint="eastAsia" w:ascii="新宋体" w:hAnsi="新宋体" w:eastAsia="新宋体" w:cs="新宋体"/>
          <w:color w:val="auto"/>
          <w:sz w:val="24"/>
          <w:szCs w:val="24"/>
          <w:highlight w:val="none"/>
          <w:lang w:val="en-US" w:eastAsia="zh-CN"/>
        </w:rPr>
        <w:t>06</w:t>
      </w:r>
      <w:r>
        <w:rPr>
          <w:rFonts w:hint="eastAsia" w:ascii="新宋体" w:hAnsi="新宋体" w:eastAsia="新宋体" w:cs="新宋体"/>
          <w:color w:val="auto"/>
          <w:sz w:val="24"/>
          <w:szCs w:val="24"/>
          <w:highlight w:val="none"/>
        </w:rPr>
        <w:t>日14:30:00前），提</w:t>
      </w:r>
      <w:r>
        <w:rPr>
          <w:rFonts w:hint="eastAsia" w:ascii="新宋体" w:hAnsi="新宋体" w:eastAsia="新宋体" w:cs="新宋体"/>
          <w:sz w:val="24"/>
          <w:szCs w:val="24"/>
        </w:rPr>
        <w:t>供法定代表人证明书（盖公章）、法定代表人授权委托书（盖公章）、授权委托人身份证原件和复印件、样品清单（盖公章），到深圳市瑞凝信招标咨询有限公司，按工作人员指引进行样品递交签到。</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特别注意事项：（1）上述资料提供不齐全的，不予签到；（2）本项目投标截止时间后，不再受理签到；（3）未进行签到的，样品不予接收。（4）样品未提供详细的食品配料标签的，样品不予接收。</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 xml:space="preserve">6.6.本项目投标截止时间后进行投标样品接收。投标样品接收必须进行身份核对、样品核对、登记确认、顺序编号。 </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6.6.1.身份核对。采购代理机构工作人员将核对投标人授权委托人提供的“法定代表人证明书（盖公章）、法定代表人授权委托书（盖公章）、授权委托人身份证原件和复印件”。资料不齐全的，不得接收投标样品。（法人代表参与投标的则无需提供授权委托书）。</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6.6.2.样品核对。采购代理机构工作人员将投标样品与投标人提供的《样品清单》（盖公章）进行一一核对。有不一致的或损坏情况的，将要求投标人授权委托人在《样品清单》上注明。</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6.6.3.登记确认。在完成身份核对及样品核对后，投标人授权委托人必须在《样品接收登记表》上登记确认。</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6.6.4.顺序编号。采购代理机构工作人员按投标样品接收的先后顺序进行编号。</w:t>
      </w:r>
    </w:p>
    <w:p>
      <w:pPr>
        <w:pStyle w:val="2"/>
        <w:spacing w:line="360" w:lineRule="auto"/>
        <w:ind w:firstLine="482" w:firstLineChars="200"/>
        <w:rPr>
          <w:rFonts w:ascii="新宋体" w:hAnsi="新宋体" w:eastAsia="新宋体" w:cs="新宋体"/>
          <w:sz w:val="24"/>
          <w:szCs w:val="24"/>
        </w:rPr>
      </w:pPr>
      <w:r>
        <w:rPr>
          <w:rFonts w:hint="eastAsia" w:ascii="新宋体" w:hAnsi="新宋体" w:eastAsia="新宋体" w:cs="新宋体"/>
          <w:sz w:val="24"/>
          <w:szCs w:val="24"/>
        </w:rPr>
        <w:t>6.7.采购代理机构工作人员负责组织投标样品摆样，指引投标人授权委托人将投标样品搬运到指定地点摆放、拆除包装，按要求摆放整齐。</w:t>
      </w:r>
    </w:p>
    <w:bookmarkEnd w:id="5"/>
    <w:p>
      <w:pPr>
        <w:tabs>
          <w:tab w:val="left" w:pos="900"/>
        </w:tabs>
        <w:snapToGrid w:val="0"/>
        <w:spacing w:line="360" w:lineRule="auto"/>
        <w:ind w:firstLine="484" w:firstLineChars="202"/>
      </w:pPr>
      <w:r>
        <w:rPr>
          <w:rFonts w:hint="eastAsia" w:ascii="新宋体" w:hAnsi="新宋体" w:eastAsia="新宋体" w:cs="新宋体"/>
          <w:sz w:val="24"/>
          <w:szCs w:val="24"/>
        </w:rPr>
        <w:t>6.8.在采购任务完结之后，考虑到样品的实际情况，本样品不予退还，因样品涉及到的有关的费用需投标人自行承担。招标人及招标代理机构对投标人所递交样品的破损或质量不负任何责任。</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7.报价要求</w:t>
      </w:r>
    </w:p>
    <w:p>
      <w:pPr>
        <w:tabs>
          <w:tab w:val="left" w:pos="900"/>
        </w:tabs>
        <w:snapToGrid w:val="0"/>
        <w:spacing w:line="360" w:lineRule="auto"/>
        <w:ind w:firstLine="484" w:firstLineChars="202"/>
        <w:rPr>
          <w:rFonts w:hint="eastAsia" w:ascii="新宋体" w:hAnsi="新宋体" w:eastAsia="新宋体" w:cs="新宋体"/>
          <w:sz w:val="24"/>
          <w:szCs w:val="24"/>
        </w:rPr>
      </w:pP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本次投标为一次性报价，招标人实付400元/人购买生日蛋糕券，投标人报价为生日蛋糕券券面值。</w:t>
      </w:r>
    </w:p>
    <w:p>
      <w:pPr>
        <w:pStyle w:val="2"/>
        <w:ind w:firstLine="482" w:firstLineChars="200"/>
        <w:rPr>
          <w:rFonts w:hint="eastAsia" w:eastAsia="新宋体"/>
          <w:lang w:eastAsia="zh-CN"/>
        </w:rPr>
      </w:pP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lang w:eastAsia="zh-CN"/>
        </w:rPr>
        <w:t>）本项目投报价标以配赠率形式进行；以生日蛋糕券的配赠率报价为准，0</w:t>
      </w:r>
      <w:r>
        <w:rPr>
          <w:rFonts w:hint="eastAsia" w:ascii="新宋体" w:hAnsi="新宋体" w:eastAsia="新宋体" w:cs="新宋体"/>
          <w:sz w:val="24"/>
          <w:szCs w:val="24"/>
          <w:lang w:val="en-US" w:eastAsia="zh-CN"/>
        </w:rPr>
        <w:t>≤</w:t>
      </w:r>
      <w:r>
        <w:rPr>
          <w:rFonts w:hint="eastAsia" w:ascii="新宋体" w:hAnsi="新宋体" w:eastAsia="新宋体" w:cs="新宋体"/>
          <w:sz w:val="24"/>
          <w:szCs w:val="24"/>
          <w:lang w:eastAsia="zh-CN"/>
        </w:rPr>
        <w:t>配赠率，否则将导致废标（配赠率为生日蛋糕券的实际购买额度，例如</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lang w:eastAsia="zh-CN"/>
        </w:rPr>
        <w:t>0%配赠率的生日蛋糕券实际购买额度为</w:t>
      </w:r>
      <w:r>
        <w:rPr>
          <w:rFonts w:hint="eastAsia" w:ascii="新宋体" w:hAnsi="新宋体" w:eastAsia="新宋体" w:cs="新宋体"/>
          <w:sz w:val="24"/>
          <w:szCs w:val="24"/>
          <w:lang w:val="en-US" w:eastAsia="zh-CN"/>
        </w:rPr>
        <w:t>40</w:t>
      </w:r>
      <w:r>
        <w:rPr>
          <w:rFonts w:hint="eastAsia" w:ascii="新宋体" w:hAnsi="新宋体" w:eastAsia="新宋体" w:cs="新宋体"/>
          <w:sz w:val="24"/>
          <w:szCs w:val="24"/>
          <w:lang w:eastAsia="zh-CN"/>
        </w:rPr>
        <w:t>0*（1+</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lang w:eastAsia="zh-CN"/>
        </w:rPr>
        <w:t>0%）=4</w:t>
      </w:r>
      <w:r>
        <w:rPr>
          <w:rFonts w:hint="eastAsia" w:ascii="新宋体" w:hAnsi="新宋体" w:eastAsia="新宋体" w:cs="新宋体"/>
          <w:sz w:val="24"/>
          <w:szCs w:val="24"/>
          <w:lang w:val="en-US" w:eastAsia="zh-CN"/>
        </w:rPr>
        <w:t>80</w:t>
      </w:r>
      <w:r>
        <w:rPr>
          <w:rFonts w:hint="eastAsia" w:ascii="新宋体" w:hAnsi="新宋体" w:eastAsia="新宋体" w:cs="新宋体"/>
          <w:sz w:val="24"/>
          <w:szCs w:val="24"/>
          <w:lang w:eastAsia="zh-CN"/>
        </w:rPr>
        <w:t>元）。采购人实付</w:t>
      </w:r>
      <w:r>
        <w:rPr>
          <w:rFonts w:hint="eastAsia" w:ascii="新宋体" w:hAnsi="新宋体" w:eastAsia="新宋体" w:cs="新宋体"/>
          <w:sz w:val="24"/>
          <w:szCs w:val="24"/>
          <w:lang w:val="en-US" w:eastAsia="zh-CN"/>
        </w:rPr>
        <w:t>40</w:t>
      </w:r>
      <w:r>
        <w:rPr>
          <w:rFonts w:hint="eastAsia" w:ascii="新宋体" w:hAnsi="新宋体" w:eastAsia="新宋体" w:cs="新宋体"/>
          <w:sz w:val="24"/>
          <w:szCs w:val="24"/>
          <w:lang w:eastAsia="zh-CN"/>
        </w:rPr>
        <w:t>0元/人购买生日蛋糕券。</w:t>
      </w:r>
    </w:p>
    <w:p>
      <w:pPr>
        <w:pStyle w:val="6"/>
        <w:spacing w:line="360" w:lineRule="auto"/>
        <w:rPr>
          <w:rFonts w:ascii="新宋体" w:hAnsi="新宋体" w:eastAsia="新宋体" w:cs="新宋体"/>
          <w:sz w:val="24"/>
          <w:szCs w:val="24"/>
        </w:rPr>
      </w:pPr>
      <w:r>
        <w:rPr>
          <w:rFonts w:hint="eastAsia" w:ascii="新宋体" w:hAnsi="新宋体" w:eastAsia="新宋体" w:cs="新宋体"/>
          <w:sz w:val="24"/>
          <w:szCs w:val="24"/>
        </w:rPr>
        <w:t>B包（电影入场券）:</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皇岗海关工会向该关工会会员发放每张价值300元的电影入场券用以开展观影文体活动。</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 xml:space="preserve">招标人在2023年为工会会员采购电影入场券并发放给会员使用，本次采购预计金额上限不超过240300元。具体采购数量以该关工会按实际需求进行采购，甲方不承诺在服务期内的实际采购数量。 </w:t>
      </w:r>
    </w:p>
    <w:p>
      <w:pPr>
        <w:pStyle w:val="11"/>
        <w:tabs>
          <w:tab w:val="left" w:pos="420"/>
          <w:tab w:val="left" w:pos="540"/>
        </w:tabs>
        <w:adjustRightInd w:val="0"/>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1.投标人资质：</w:t>
      </w:r>
    </w:p>
    <w:p>
      <w:pPr>
        <w:pStyle w:val="11"/>
        <w:tabs>
          <w:tab w:val="left" w:pos="420"/>
          <w:tab w:val="left" w:pos="540"/>
        </w:tabs>
        <w:adjustRightInd w:val="0"/>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1.1.投标人必须是在中华人民共和国境内注册的独立法人或其他组织（证明文件：须提供营业执照或法人证书等证明材料复印件加盖投标人公章）；</w:t>
      </w:r>
    </w:p>
    <w:p>
      <w:pPr>
        <w:pStyle w:val="11"/>
        <w:tabs>
          <w:tab w:val="left" w:pos="420"/>
          <w:tab w:val="left" w:pos="540"/>
        </w:tabs>
        <w:adjustRightInd w:val="0"/>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1.2.需满足《中华人民共和国政府采购法》第二十二条规定；参加本次招标前三年内在经营活动中没有重大违法记录；</w:t>
      </w:r>
    </w:p>
    <w:p>
      <w:pPr>
        <w:pStyle w:val="11"/>
        <w:tabs>
          <w:tab w:val="left" w:pos="420"/>
          <w:tab w:val="left" w:pos="540"/>
        </w:tabs>
        <w:adjustRightInd w:val="0"/>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1.3.截至开标时间为止，未被深圳市各级政府采购主管部门行政处罚（指禁止参与政府采购活动且在有效期内）；</w:t>
      </w:r>
    </w:p>
    <w:p>
      <w:pPr>
        <w:pStyle w:val="11"/>
        <w:tabs>
          <w:tab w:val="left" w:pos="420"/>
          <w:tab w:val="left" w:pos="540"/>
        </w:tabs>
        <w:adjustRightInd w:val="0"/>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1.4.通过“信用中国”网站（</w:t>
      </w:r>
      <w:r>
        <w:fldChar w:fldCharType="begin"/>
      </w:r>
      <w:r>
        <w:instrText xml:space="preserve"> HYPERLINK "file:///C:\\Program%20Files%20(x86)\\eSpace_Desktop\\eSpaceIM_IE\\100dpi\\pages\\www.creditchina.gov.cn" </w:instrText>
      </w:r>
      <w:r>
        <w:fldChar w:fldCharType="separate"/>
      </w:r>
      <w:r>
        <w:rPr>
          <w:rFonts w:hint="eastAsia" w:ascii="新宋体" w:hAnsi="新宋体" w:eastAsia="新宋体" w:cs="新宋体"/>
          <w:sz w:val="24"/>
          <w:szCs w:val="24"/>
        </w:rPr>
        <w:t>www.creditchina.gov.cn</w:t>
      </w:r>
      <w:r>
        <w:rPr>
          <w:rFonts w:hint="eastAsia" w:ascii="新宋体" w:hAnsi="新宋体" w:eastAsia="新宋体" w:cs="新宋体"/>
          <w:sz w:val="24"/>
          <w:szCs w:val="24"/>
        </w:rPr>
        <w:fldChar w:fldCharType="end"/>
      </w:r>
      <w:r>
        <w:rPr>
          <w:rFonts w:hint="eastAsia" w:ascii="新宋体" w:hAnsi="新宋体" w:eastAsia="新宋体" w:cs="新宋体"/>
          <w:sz w:val="24"/>
          <w:szCs w:val="24"/>
        </w:rPr>
        <w:t>）和中国政府采购网（</w:t>
      </w:r>
      <w:r>
        <w:fldChar w:fldCharType="begin"/>
      </w:r>
      <w:r>
        <w:instrText xml:space="preserve"> HYPERLINK "file:///C:\\Program%20Files%20(x86)\\eSpace_Desktop\\eSpaceIM_IE\\100dpi\\pages\\www.ccgp.gov.cn" </w:instrText>
      </w:r>
      <w:r>
        <w:fldChar w:fldCharType="separate"/>
      </w:r>
      <w:r>
        <w:rPr>
          <w:rFonts w:hint="eastAsia" w:ascii="新宋体" w:hAnsi="新宋体" w:eastAsia="新宋体" w:cs="新宋体"/>
          <w:sz w:val="24"/>
          <w:szCs w:val="24"/>
        </w:rPr>
        <w:t>www.ccgp.gov.cn</w:t>
      </w:r>
      <w:r>
        <w:rPr>
          <w:rFonts w:hint="eastAsia" w:ascii="新宋体" w:hAnsi="新宋体" w:eastAsia="新宋体" w:cs="新宋体"/>
          <w:sz w:val="24"/>
          <w:szCs w:val="24"/>
        </w:rPr>
        <w:fldChar w:fldCharType="end"/>
      </w:r>
      <w:r>
        <w:rPr>
          <w:rFonts w:hint="eastAsia" w:ascii="新宋体" w:hAnsi="新宋体" w:eastAsia="新宋体" w:cs="新宋体"/>
          <w:sz w:val="24"/>
          <w:szCs w:val="24"/>
        </w:rPr>
        <w:t>）查询信用记录（相关信息以中标通知书发出前的查询结果为准），被列入失信被执行人、重大税收违法案件当事人名单或政府采购严重违法失信行为记录名单的供应商，拒绝参与本项目的采购活动；</w:t>
      </w:r>
    </w:p>
    <w:p>
      <w:pPr>
        <w:pStyle w:val="11"/>
        <w:tabs>
          <w:tab w:val="left" w:pos="420"/>
          <w:tab w:val="left" w:pos="540"/>
        </w:tabs>
        <w:adjustRightInd w:val="0"/>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1.5.投标人必须获得由国家电影事业发展专项资金管理委员会办公室审查通过的电影票网络代售平台资质，需提供证书复印件（加盖公章）；</w:t>
      </w:r>
    </w:p>
    <w:p>
      <w:pPr>
        <w:pStyle w:val="11"/>
        <w:tabs>
          <w:tab w:val="left" w:pos="420"/>
          <w:tab w:val="left" w:pos="540"/>
        </w:tabs>
        <w:snapToGrid w:val="0"/>
        <w:spacing w:line="360" w:lineRule="auto"/>
        <w:ind w:firstLine="470" w:firstLineChars="196"/>
        <w:rPr>
          <w:rFonts w:ascii="新宋体" w:hAnsi="新宋体" w:eastAsia="新宋体" w:cs="新宋体"/>
          <w:sz w:val="24"/>
          <w:szCs w:val="24"/>
        </w:rPr>
      </w:pPr>
      <w:r>
        <w:rPr>
          <w:rFonts w:hint="eastAsia" w:ascii="新宋体" w:hAnsi="新宋体" w:eastAsia="新宋体" w:cs="新宋体"/>
          <w:sz w:val="24"/>
          <w:szCs w:val="24"/>
        </w:rPr>
        <w:t>1.6.如投标人为分公司报价的，必须提供总公司有效授权书原件；</w:t>
      </w:r>
    </w:p>
    <w:p>
      <w:pPr>
        <w:pStyle w:val="11"/>
        <w:tabs>
          <w:tab w:val="left" w:pos="420"/>
          <w:tab w:val="left" w:pos="540"/>
        </w:tabs>
        <w:adjustRightInd w:val="0"/>
        <w:snapToGrid w:val="0"/>
        <w:spacing w:line="360" w:lineRule="auto"/>
        <w:ind w:firstLine="470" w:firstLineChars="196"/>
        <w:rPr>
          <w:rFonts w:ascii="新宋体" w:hAnsi="新宋体" w:eastAsia="新宋体" w:cs="新宋体"/>
          <w:sz w:val="24"/>
          <w:szCs w:val="24"/>
        </w:rPr>
      </w:pPr>
      <w:r>
        <w:rPr>
          <w:rFonts w:hint="eastAsia" w:ascii="新宋体" w:hAnsi="新宋体" w:eastAsia="新宋体" w:cs="新宋体"/>
          <w:sz w:val="24"/>
          <w:szCs w:val="24"/>
        </w:rPr>
        <w:t>1.7.要求投标人具有良好的商业信誉和健全的财务会计制度，提供近三年财务报告或报表；</w:t>
      </w:r>
    </w:p>
    <w:p>
      <w:pPr>
        <w:pStyle w:val="11"/>
        <w:tabs>
          <w:tab w:val="left" w:pos="420"/>
          <w:tab w:val="left" w:pos="540"/>
        </w:tabs>
        <w:adjustRightInd w:val="0"/>
        <w:snapToGrid w:val="0"/>
        <w:spacing w:line="360" w:lineRule="auto"/>
        <w:ind w:firstLine="470" w:firstLineChars="196"/>
        <w:rPr>
          <w:rFonts w:ascii="新宋体" w:hAnsi="新宋体" w:eastAsia="新宋体" w:cs="新宋体"/>
          <w:sz w:val="24"/>
          <w:szCs w:val="24"/>
        </w:rPr>
      </w:pPr>
      <w:r>
        <w:rPr>
          <w:rFonts w:hint="eastAsia" w:ascii="新宋体" w:hAnsi="新宋体" w:eastAsia="新宋体" w:cs="新宋体"/>
          <w:sz w:val="24"/>
          <w:szCs w:val="24"/>
        </w:rPr>
        <w:t>1.8.本项目不接受联合体投标；</w:t>
      </w:r>
    </w:p>
    <w:p>
      <w:pPr>
        <w:pStyle w:val="11"/>
        <w:tabs>
          <w:tab w:val="left" w:pos="420"/>
          <w:tab w:val="left" w:pos="540"/>
        </w:tabs>
        <w:adjustRightInd w:val="0"/>
        <w:snapToGrid w:val="0"/>
        <w:spacing w:line="360" w:lineRule="auto"/>
        <w:ind w:firstLine="470" w:firstLineChars="196"/>
        <w:rPr>
          <w:rFonts w:ascii="新宋体" w:hAnsi="新宋体" w:eastAsia="新宋体" w:cs="新宋体"/>
          <w:sz w:val="24"/>
          <w:szCs w:val="24"/>
        </w:rPr>
      </w:pPr>
      <w:r>
        <w:rPr>
          <w:rFonts w:hint="eastAsia" w:ascii="新宋体" w:hAnsi="新宋体" w:eastAsia="新宋体" w:cs="新宋体"/>
          <w:sz w:val="24"/>
          <w:szCs w:val="24"/>
        </w:rPr>
        <w:t>1.9.本项目不允许进口产品（成品）参与投标。 </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2.服务内容：</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2.1.每份电影券实际价值为300元人民币；券面面值与中标人各实体店、网站等的现金交易行为享受同等待遇和优惠服务。</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2.2.具有较为完善的销售服务渠道，在深圳市各区有实体电影院经营的投标人（有电影院股份的也算）优先考虑，能提供电影票采购预订、选座等服务。</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2.3.电影券形式包括电子券和卡券，可以采购投标人线上、线下所有产品。</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3.项目履约时间、地点</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3.1.履约时间：自收到电影入场券货物之日下发之日起两年有效，可免费延期。</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3.2.中标人收到采购通知后，按照招标人要求在10个工作日内将实体卡券送交到指定地点。</w:t>
      </w:r>
    </w:p>
    <w:p>
      <w:pPr>
        <w:tabs>
          <w:tab w:val="left" w:pos="900"/>
        </w:tabs>
        <w:snapToGrid w:val="0"/>
        <w:spacing w:line="360" w:lineRule="auto"/>
        <w:ind w:left="111" w:leftChars="53" w:firstLine="360" w:firstLineChars="150"/>
        <w:rPr>
          <w:rFonts w:ascii="新宋体" w:hAnsi="新宋体" w:eastAsia="新宋体" w:cs="新宋体"/>
          <w:sz w:val="24"/>
          <w:szCs w:val="24"/>
        </w:rPr>
      </w:pPr>
      <w:r>
        <w:rPr>
          <w:rFonts w:hint="eastAsia" w:ascii="新宋体" w:hAnsi="新宋体" w:eastAsia="新宋体" w:cs="新宋体"/>
          <w:sz w:val="24"/>
          <w:szCs w:val="24"/>
        </w:rPr>
        <w:t>3.3.招标人将实体卡券发至会员手中，由持券人在中标人指定的公众号或网站或实体店上进行充值、订购、选座，中标人应当按照订购要求提供观影服务及其他服务。</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3.4.履约地点：深圳市各个行政区（但不局限于）。</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4.质量标准：</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符合中华人民共和国国家标准、行业标准及企业标准；中标人需保证产品品质符合国家各项相关标准；若发现质量问题，中标人无条件为职工退货或换货，发生因观看电影导致的意外事件，中标人承担职工由此造成全部责任，并赔偿全部损失。</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5.质量要求：</w:t>
      </w:r>
    </w:p>
    <w:p>
      <w:pPr>
        <w:tabs>
          <w:tab w:val="left" w:pos="900"/>
        </w:tabs>
        <w:snapToGrid w:val="0"/>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电影入场券如发生系统问题等情况导致无法正常使用的，中标人应立即提供解决方案，予以更换可正常兑换的同等面值的电影入场券；电影入场券如发生因企业结业、资金断裂等情况导致无法正常履约的，中标人须提前通知招标人，提供免费的退券服务或退款及相应赔偿。如发生上述问题经协商未能解决的，招标人有权单方面终止合同并按照法律途径维护自身权益。</w:t>
      </w:r>
    </w:p>
    <w:p>
      <w:pPr>
        <w:tabs>
          <w:tab w:val="left" w:pos="900"/>
        </w:tabs>
        <w:snapToGrid w:val="0"/>
        <w:spacing w:line="360" w:lineRule="auto"/>
        <w:rPr>
          <w:rFonts w:ascii="新宋体" w:hAnsi="新宋体" w:eastAsia="新宋体" w:cs="新宋体"/>
          <w:b/>
          <w:bCs/>
          <w:sz w:val="24"/>
          <w:szCs w:val="24"/>
        </w:rPr>
      </w:pPr>
      <w:r>
        <w:rPr>
          <w:rFonts w:hint="eastAsia" w:ascii="新宋体" w:hAnsi="新宋体" w:eastAsia="新宋体" w:cs="新宋体"/>
          <w:b/>
          <w:bCs/>
          <w:sz w:val="24"/>
          <w:szCs w:val="24"/>
        </w:rPr>
        <w:t>6.报价要求</w:t>
      </w:r>
    </w:p>
    <w:p>
      <w:pPr>
        <w:tabs>
          <w:tab w:val="left" w:pos="900"/>
        </w:tabs>
        <w:snapToGrid w:val="0"/>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本次投标为一次性报价，招标人实付300元/人购买电影入场券，投标人报价为电影券券面值。</w:t>
      </w:r>
    </w:p>
    <w:p>
      <w:pPr>
        <w:pStyle w:val="2"/>
        <w:ind w:firstLine="482" w:firstLineChars="200"/>
        <w:rPr>
          <w:rFonts w:hint="eastAsia" w:eastAsia="新宋体"/>
          <w:lang w:eastAsia="zh-CN"/>
        </w:rPr>
      </w:pP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lang w:eastAsia="zh-CN"/>
        </w:rPr>
        <w:t>）本项目投报价标以配赠率形式进行；以</w:t>
      </w:r>
      <w:r>
        <w:rPr>
          <w:rFonts w:hint="eastAsia" w:ascii="新宋体" w:hAnsi="新宋体" w:eastAsia="新宋体" w:cs="新宋体"/>
          <w:sz w:val="24"/>
          <w:szCs w:val="24"/>
        </w:rPr>
        <w:t>电影</w:t>
      </w:r>
      <w:r>
        <w:rPr>
          <w:rFonts w:hint="eastAsia" w:ascii="新宋体" w:hAnsi="新宋体" w:eastAsia="新宋体" w:cs="新宋体"/>
          <w:sz w:val="24"/>
          <w:szCs w:val="24"/>
          <w:lang w:val="en-US" w:eastAsia="zh-CN"/>
        </w:rPr>
        <w:t>入场</w:t>
      </w:r>
      <w:r>
        <w:rPr>
          <w:rFonts w:hint="eastAsia" w:ascii="新宋体" w:hAnsi="新宋体" w:eastAsia="新宋体" w:cs="新宋体"/>
          <w:sz w:val="24"/>
          <w:szCs w:val="24"/>
        </w:rPr>
        <w:t>券</w:t>
      </w:r>
      <w:r>
        <w:rPr>
          <w:rFonts w:hint="eastAsia" w:ascii="新宋体" w:hAnsi="新宋体" w:eastAsia="新宋体" w:cs="新宋体"/>
          <w:sz w:val="24"/>
          <w:szCs w:val="24"/>
          <w:lang w:eastAsia="zh-CN"/>
        </w:rPr>
        <w:t>的配赠率报价为准，0</w:t>
      </w:r>
      <w:r>
        <w:rPr>
          <w:rFonts w:hint="eastAsia" w:ascii="新宋体" w:hAnsi="新宋体" w:eastAsia="新宋体" w:cs="新宋体"/>
          <w:sz w:val="24"/>
          <w:szCs w:val="24"/>
          <w:lang w:val="en-US" w:eastAsia="zh-CN"/>
        </w:rPr>
        <w:t>≤</w:t>
      </w:r>
      <w:r>
        <w:rPr>
          <w:rFonts w:hint="eastAsia" w:ascii="新宋体" w:hAnsi="新宋体" w:eastAsia="新宋体" w:cs="新宋体"/>
          <w:sz w:val="24"/>
          <w:szCs w:val="24"/>
          <w:lang w:eastAsia="zh-CN"/>
        </w:rPr>
        <w:t>配赠率，否则将导致废标（配赠率为</w:t>
      </w:r>
      <w:r>
        <w:rPr>
          <w:rFonts w:hint="eastAsia" w:ascii="新宋体" w:hAnsi="新宋体" w:eastAsia="新宋体" w:cs="新宋体"/>
          <w:sz w:val="24"/>
          <w:szCs w:val="24"/>
        </w:rPr>
        <w:t>电影</w:t>
      </w:r>
      <w:r>
        <w:rPr>
          <w:rFonts w:hint="eastAsia" w:ascii="新宋体" w:hAnsi="新宋体" w:eastAsia="新宋体" w:cs="新宋体"/>
          <w:sz w:val="24"/>
          <w:szCs w:val="24"/>
          <w:lang w:val="en-US" w:eastAsia="zh-CN"/>
        </w:rPr>
        <w:t>入场</w:t>
      </w:r>
      <w:r>
        <w:rPr>
          <w:rFonts w:hint="eastAsia" w:ascii="新宋体" w:hAnsi="新宋体" w:eastAsia="新宋体" w:cs="新宋体"/>
          <w:sz w:val="24"/>
          <w:szCs w:val="24"/>
          <w:lang w:eastAsia="zh-CN"/>
        </w:rPr>
        <w:t>券的实际购买额度，例如</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lang w:eastAsia="zh-CN"/>
        </w:rPr>
        <w:t>0%配赠率的</w:t>
      </w:r>
      <w:r>
        <w:rPr>
          <w:rFonts w:hint="eastAsia" w:ascii="新宋体" w:hAnsi="新宋体" w:eastAsia="新宋体" w:cs="新宋体"/>
          <w:sz w:val="24"/>
          <w:szCs w:val="24"/>
        </w:rPr>
        <w:t>电影入场券</w:t>
      </w:r>
      <w:r>
        <w:rPr>
          <w:rFonts w:hint="eastAsia" w:ascii="新宋体" w:hAnsi="新宋体" w:eastAsia="新宋体" w:cs="新宋体"/>
          <w:sz w:val="24"/>
          <w:szCs w:val="24"/>
          <w:lang w:eastAsia="zh-CN"/>
        </w:rPr>
        <w:t>实际购买额度为</w:t>
      </w:r>
      <w:r>
        <w:rPr>
          <w:rFonts w:hint="eastAsia" w:ascii="新宋体" w:hAnsi="新宋体" w:eastAsia="新宋体" w:cs="新宋体"/>
          <w:sz w:val="24"/>
          <w:szCs w:val="24"/>
          <w:lang w:val="en-US" w:eastAsia="zh-CN"/>
        </w:rPr>
        <w:t>30</w:t>
      </w:r>
      <w:r>
        <w:rPr>
          <w:rFonts w:hint="eastAsia" w:ascii="新宋体" w:hAnsi="新宋体" w:eastAsia="新宋体" w:cs="新宋体"/>
          <w:sz w:val="24"/>
          <w:szCs w:val="24"/>
          <w:lang w:eastAsia="zh-CN"/>
        </w:rPr>
        <w:t>0*（1+</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lang w:eastAsia="zh-CN"/>
        </w:rPr>
        <w:t>0%）=</w:t>
      </w:r>
      <w:r>
        <w:rPr>
          <w:rFonts w:hint="eastAsia" w:ascii="新宋体" w:hAnsi="新宋体" w:eastAsia="新宋体" w:cs="新宋体"/>
          <w:sz w:val="24"/>
          <w:szCs w:val="24"/>
          <w:lang w:val="en-US" w:eastAsia="zh-CN"/>
        </w:rPr>
        <w:t>360</w:t>
      </w:r>
      <w:r>
        <w:rPr>
          <w:rFonts w:hint="eastAsia" w:ascii="新宋体" w:hAnsi="新宋体" w:eastAsia="新宋体" w:cs="新宋体"/>
          <w:sz w:val="24"/>
          <w:szCs w:val="24"/>
          <w:lang w:eastAsia="zh-CN"/>
        </w:rPr>
        <w:t>元）。采购人实付</w:t>
      </w:r>
      <w:r>
        <w:rPr>
          <w:rFonts w:hint="eastAsia" w:ascii="新宋体" w:hAnsi="新宋体" w:eastAsia="新宋体" w:cs="新宋体"/>
          <w:sz w:val="24"/>
          <w:szCs w:val="24"/>
          <w:lang w:val="en-US" w:eastAsia="zh-CN"/>
        </w:rPr>
        <w:t>30</w:t>
      </w:r>
      <w:r>
        <w:rPr>
          <w:rFonts w:hint="eastAsia" w:ascii="新宋体" w:hAnsi="新宋体" w:eastAsia="新宋体" w:cs="新宋体"/>
          <w:sz w:val="24"/>
          <w:szCs w:val="24"/>
          <w:lang w:eastAsia="zh-CN"/>
        </w:rPr>
        <w:t>0元/人购买电影入场券。</w:t>
      </w:r>
    </w:p>
    <w:p>
      <w:pPr>
        <w:pStyle w:val="6"/>
        <w:spacing w:line="360" w:lineRule="auto"/>
        <w:rPr>
          <w:rFonts w:ascii="新宋体" w:hAnsi="新宋体" w:eastAsia="新宋体"/>
          <w:sz w:val="24"/>
          <w:szCs w:val="24"/>
        </w:rPr>
      </w:pPr>
      <w:r>
        <w:rPr>
          <w:rFonts w:hint="eastAsia" w:ascii="新宋体" w:hAnsi="新宋体" w:eastAsia="新宋体"/>
          <w:sz w:val="24"/>
          <w:szCs w:val="24"/>
        </w:rPr>
        <w:t>二、风险管理措施</w:t>
      </w:r>
    </w:p>
    <w:p>
      <w:pPr>
        <w:spacing w:line="360" w:lineRule="auto"/>
        <w:ind w:firstLine="480" w:firstLineChars="200"/>
        <w:rPr>
          <w:rFonts w:ascii="新宋体" w:hAnsi="新宋体" w:eastAsia="新宋体"/>
          <w:sz w:val="24"/>
        </w:rPr>
      </w:pPr>
      <w:r>
        <w:rPr>
          <w:rFonts w:hint="eastAsia" w:ascii="新宋体" w:hAnsi="新宋体" w:eastAsia="新宋体"/>
          <w:sz w:val="24"/>
        </w:rPr>
        <w:t>如因国家相关政策发生变化，应以最新的国家相关政策为准并进行执行，如因国家相关政策发生变化而导致本次项目的合同无法继续执行，采购人不承担任何责任，投标人自行承担由此带来的任何风险及后果。</w:t>
      </w:r>
    </w:p>
    <w:p>
      <w:pPr>
        <w:pStyle w:val="5"/>
        <w:spacing w:line="360" w:lineRule="auto"/>
        <w:jc w:val="center"/>
        <w:rPr>
          <w:rFonts w:ascii="新宋体" w:hAnsi="新宋体" w:eastAsia="新宋体"/>
          <w:sz w:val="24"/>
          <w:szCs w:val="24"/>
        </w:rPr>
      </w:pPr>
      <w:bookmarkStart w:id="4" w:name="_Toc76031645"/>
      <w:r>
        <w:rPr>
          <w:rFonts w:hint="eastAsia" w:ascii="新宋体" w:hAnsi="新宋体" w:eastAsia="新宋体"/>
          <w:sz w:val="24"/>
          <w:szCs w:val="24"/>
        </w:rPr>
        <w:t>第三节 技术需求</w:t>
      </w:r>
      <w:bookmarkEnd w:id="4"/>
    </w:p>
    <w:p>
      <w:pPr>
        <w:pStyle w:val="11"/>
        <w:tabs>
          <w:tab w:val="left" w:pos="540"/>
        </w:tabs>
        <w:adjustRightInd w:val="0"/>
        <w:snapToGrid w:val="0"/>
        <w:spacing w:line="360" w:lineRule="auto"/>
        <w:rPr>
          <w:rFonts w:ascii="新宋体" w:hAnsi="新宋体" w:eastAsia="新宋体" w:cs="新宋体"/>
          <w:b/>
          <w:sz w:val="24"/>
          <w:szCs w:val="24"/>
        </w:rPr>
      </w:pPr>
      <w:r>
        <w:rPr>
          <w:rFonts w:hint="eastAsia" w:ascii="新宋体" w:hAnsi="新宋体" w:eastAsia="新宋体" w:cs="新宋体"/>
          <w:b/>
          <w:sz w:val="24"/>
          <w:szCs w:val="24"/>
        </w:rPr>
        <w:t>一、付款方式</w:t>
      </w:r>
    </w:p>
    <w:p>
      <w:pPr>
        <w:snapToGrid w:val="0"/>
        <w:spacing w:line="360" w:lineRule="auto"/>
        <w:rPr>
          <w:rFonts w:ascii="新宋体" w:hAnsi="新宋体" w:eastAsia="新宋体" w:cs="新宋体"/>
          <w:sz w:val="24"/>
          <w:szCs w:val="24"/>
        </w:rPr>
      </w:pPr>
      <w:r>
        <w:rPr>
          <w:rFonts w:hint="eastAsia" w:ascii="新宋体" w:hAnsi="新宋体" w:eastAsia="新宋体" w:cs="新宋体"/>
          <w:sz w:val="24"/>
          <w:szCs w:val="24"/>
        </w:rPr>
        <w:t>由招标人按下列程序付款：</w:t>
      </w:r>
    </w:p>
    <w:p>
      <w:pPr>
        <w:snapToGrid w:val="0"/>
        <w:spacing w:line="360" w:lineRule="auto"/>
        <w:rPr>
          <w:rFonts w:ascii="新宋体" w:hAnsi="新宋体" w:eastAsia="新宋体" w:cs="新宋体"/>
          <w:bCs/>
          <w:sz w:val="24"/>
          <w:szCs w:val="24"/>
        </w:rPr>
      </w:pPr>
      <w:r>
        <w:rPr>
          <w:rFonts w:hint="eastAsia" w:ascii="新宋体" w:hAnsi="新宋体" w:eastAsia="新宋体" w:cs="新宋体"/>
          <w:bCs/>
          <w:sz w:val="24"/>
          <w:szCs w:val="24"/>
        </w:rPr>
        <w:t>1.分期付款。</w:t>
      </w:r>
    </w:p>
    <w:p>
      <w:pPr>
        <w:snapToGrid w:val="0"/>
        <w:spacing w:line="360" w:lineRule="auto"/>
        <w:ind w:firstLine="480" w:firstLineChars="200"/>
        <w:rPr>
          <w:rFonts w:ascii="新宋体" w:hAnsi="新宋体" w:eastAsia="新宋体" w:cs="新宋体"/>
          <w:bCs/>
          <w:sz w:val="24"/>
          <w:szCs w:val="24"/>
        </w:rPr>
      </w:pPr>
      <w:r>
        <w:rPr>
          <w:rFonts w:hint="eastAsia" w:ascii="新宋体" w:hAnsi="新宋体" w:eastAsia="新宋体" w:cs="新宋体"/>
          <w:bCs/>
          <w:sz w:val="24"/>
          <w:szCs w:val="24"/>
        </w:rPr>
        <w:t>说明如下：本次采购设定采购金额上限，具体采购数量以招标人按实际需求进行分期采购、分期付款，不承诺在服务期内的实际采购数量。中标人收到订货通知后，在10个工作日内将兑换卡券送交到指定地点；招标人在收到货后立即安排发放至会员个人，会员确认实际使用无问题且收到发票后30个工作日内落实第一次付款（支付交易额50%），半年内实行第二次付款（支付交易额30%），一年内实行第三次付款（支付交易额20%），全部款项在一年内完成付款。在付款完成前，如蛋糕券或电影入场券出现任何无法正常使用的问题且在5个工作日内未能解决的，招标人有权暂停或延期付款。</w:t>
      </w:r>
    </w:p>
    <w:p>
      <w:pPr>
        <w:snapToGrid w:val="0"/>
        <w:spacing w:line="360" w:lineRule="auto"/>
        <w:rPr>
          <w:rFonts w:ascii="新宋体" w:hAnsi="新宋体" w:eastAsia="新宋体" w:cs="新宋体"/>
          <w:bCs/>
          <w:sz w:val="24"/>
          <w:szCs w:val="24"/>
        </w:rPr>
      </w:pPr>
      <w:r>
        <w:rPr>
          <w:rFonts w:hint="eastAsia" w:ascii="新宋体" w:hAnsi="新宋体" w:eastAsia="新宋体" w:cs="新宋体"/>
          <w:bCs/>
          <w:sz w:val="24"/>
          <w:szCs w:val="24"/>
        </w:rPr>
        <w:t>2.招标人因财政预算及制度等原因导致的延误支付不属于违约，但需知会中标人。</w:t>
      </w:r>
    </w:p>
    <w:p>
      <w:pPr>
        <w:snapToGrid w:val="0"/>
        <w:spacing w:line="360" w:lineRule="auto"/>
        <w:rPr>
          <w:rFonts w:ascii="新宋体" w:hAnsi="新宋体" w:eastAsia="新宋体" w:cs="新宋体"/>
          <w:bCs/>
          <w:sz w:val="24"/>
          <w:szCs w:val="24"/>
        </w:rPr>
      </w:pPr>
      <w:r>
        <w:rPr>
          <w:rFonts w:hint="eastAsia" w:ascii="新宋体" w:hAnsi="新宋体" w:eastAsia="新宋体" w:cs="新宋体"/>
          <w:bCs/>
          <w:kern w:val="21"/>
          <w:sz w:val="24"/>
          <w:szCs w:val="24"/>
        </w:rPr>
        <w:t>3.中标人凭以下有效文件与招标人结算：</w:t>
      </w:r>
    </w:p>
    <w:p>
      <w:pPr>
        <w:snapToGrid w:val="0"/>
        <w:spacing w:line="360" w:lineRule="auto"/>
        <w:rPr>
          <w:rFonts w:ascii="新宋体" w:hAnsi="新宋体" w:eastAsia="新宋体" w:cs="新宋体"/>
          <w:bCs/>
          <w:sz w:val="24"/>
          <w:szCs w:val="24"/>
        </w:rPr>
      </w:pPr>
      <w:r>
        <w:rPr>
          <w:rFonts w:hint="eastAsia" w:ascii="新宋体" w:hAnsi="新宋体" w:eastAsia="新宋体" w:cs="新宋体"/>
          <w:bCs/>
          <w:sz w:val="24"/>
          <w:szCs w:val="24"/>
        </w:rPr>
        <w:t>（1）合同；</w:t>
      </w:r>
    </w:p>
    <w:p>
      <w:pPr>
        <w:snapToGrid w:val="0"/>
        <w:spacing w:line="360" w:lineRule="auto"/>
        <w:rPr>
          <w:rFonts w:ascii="新宋体" w:hAnsi="新宋体" w:eastAsia="新宋体" w:cs="新宋体"/>
          <w:bCs/>
          <w:sz w:val="24"/>
          <w:szCs w:val="24"/>
        </w:rPr>
      </w:pPr>
      <w:r>
        <w:rPr>
          <w:rFonts w:hint="eastAsia" w:ascii="新宋体" w:hAnsi="新宋体" w:eastAsia="新宋体" w:cs="新宋体"/>
          <w:bCs/>
          <w:sz w:val="24"/>
          <w:szCs w:val="24"/>
        </w:rPr>
        <w:t>（2）中标人开具的正式发票；</w:t>
      </w:r>
    </w:p>
    <w:p>
      <w:pPr>
        <w:snapToGrid w:val="0"/>
        <w:spacing w:line="360" w:lineRule="auto"/>
        <w:rPr>
          <w:rFonts w:ascii="新宋体" w:hAnsi="新宋体" w:eastAsia="新宋体" w:cs="新宋体"/>
          <w:bCs/>
          <w:sz w:val="24"/>
          <w:szCs w:val="24"/>
        </w:rPr>
      </w:pPr>
      <w:r>
        <w:rPr>
          <w:rFonts w:hint="eastAsia" w:ascii="新宋体" w:hAnsi="新宋体" w:eastAsia="新宋体" w:cs="新宋体"/>
          <w:bCs/>
          <w:sz w:val="24"/>
          <w:szCs w:val="24"/>
        </w:rPr>
        <w:t>（3）成交通知书。</w:t>
      </w:r>
    </w:p>
    <w:p>
      <w:pPr>
        <w:pStyle w:val="11"/>
        <w:tabs>
          <w:tab w:val="left" w:pos="540"/>
        </w:tabs>
        <w:adjustRightInd w:val="0"/>
        <w:snapToGrid w:val="0"/>
        <w:spacing w:line="360" w:lineRule="auto"/>
        <w:rPr>
          <w:rFonts w:ascii="新宋体" w:hAnsi="新宋体" w:eastAsia="新宋体"/>
          <w:sz w:val="24"/>
          <w:szCs w:val="24"/>
        </w:rPr>
      </w:pPr>
      <w:r>
        <w:rPr>
          <w:rFonts w:hint="eastAsia" w:ascii="新宋体" w:hAnsi="新宋体" w:eastAsia="新宋体" w:cs="新宋体"/>
          <w:b/>
          <w:sz w:val="24"/>
          <w:szCs w:val="24"/>
        </w:rPr>
        <w:t>二、</w:t>
      </w:r>
      <w:r>
        <w:rPr>
          <w:rFonts w:hint="eastAsia" w:ascii="新宋体" w:hAnsi="新宋体" w:eastAsia="新宋体"/>
          <w:sz w:val="24"/>
          <w:szCs w:val="24"/>
        </w:rPr>
        <w:t>合同履行（服务）期限：从合同生效之日起至2024年12月31日内（或合同金额使用完毕）。</w:t>
      </w:r>
    </w:p>
    <w:p>
      <w:pPr>
        <w:pStyle w:val="11"/>
        <w:tabs>
          <w:tab w:val="left" w:pos="540"/>
        </w:tabs>
        <w:adjustRightInd w:val="0"/>
        <w:snapToGrid w:val="0"/>
        <w:spacing w:line="360" w:lineRule="auto"/>
        <w:rPr>
          <w:rFonts w:ascii="新宋体" w:hAnsi="新宋体" w:eastAsia="新宋体" w:cs="新宋体"/>
          <w:b/>
          <w:sz w:val="24"/>
          <w:szCs w:val="24"/>
        </w:rPr>
      </w:pPr>
      <w:r>
        <w:rPr>
          <w:rFonts w:hint="eastAsia" w:ascii="新宋体" w:hAnsi="新宋体" w:eastAsia="新宋体"/>
          <w:sz w:val="24"/>
          <w:szCs w:val="24"/>
        </w:rPr>
        <w:t>三、</w:t>
      </w:r>
      <w:r>
        <w:rPr>
          <w:rFonts w:hint="eastAsia" w:ascii="新宋体" w:hAnsi="新宋体" w:eastAsia="新宋体" w:cs="新宋体"/>
          <w:b/>
          <w:sz w:val="24"/>
          <w:szCs w:val="24"/>
        </w:rPr>
        <w:t>其他方面</w:t>
      </w:r>
    </w:p>
    <w:p>
      <w:r>
        <w:rPr>
          <w:rFonts w:hint="eastAsia" w:ascii="新宋体" w:hAnsi="新宋体" w:eastAsia="新宋体" w:cs="新宋体"/>
          <w:bCs/>
          <w:sz w:val="24"/>
          <w:szCs w:val="24"/>
        </w:rPr>
        <w:t>执行采购人及代理招标公司发现中标人有任何可能影响正常履约的因素（如未如期支付招标费用，中标后发现存在严重质量问题或有诉讼、仲裁等不良事件，或受到行政处罚等），应当立即告知招标人并采取相应保全措施</w:t>
      </w:r>
      <w:r>
        <w:rPr>
          <w:rFonts w:hint="eastAsia" w:ascii="新宋体" w:hAnsi="新宋体" w:eastAsia="新宋体" w:cs="新宋体"/>
          <w:bCs/>
          <w:sz w:val="24"/>
          <w:szCs w:val="24"/>
          <w:lang w:eastAsia="zh-CN"/>
        </w:rPr>
        <w:t>。</w:t>
      </w:r>
    </w:p>
    <w:sectPr>
      <w:headerReference r:id="rId3" w:type="default"/>
      <w:pgSz w:w="11907" w:h="16840"/>
      <w:pgMar w:top="1474" w:right="1418" w:bottom="1247" w:left="1418" w:header="737" w:footer="567" w:gutter="17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F07B67"/>
    <w:rsid w:val="0000002E"/>
    <w:rsid w:val="00035FDC"/>
    <w:rsid w:val="000E0AD6"/>
    <w:rsid w:val="000E24B2"/>
    <w:rsid w:val="001E13C0"/>
    <w:rsid w:val="00263955"/>
    <w:rsid w:val="00374611"/>
    <w:rsid w:val="00391D2A"/>
    <w:rsid w:val="003A08F0"/>
    <w:rsid w:val="00584311"/>
    <w:rsid w:val="00634E4A"/>
    <w:rsid w:val="00677542"/>
    <w:rsid w:val="00720994"/>
    <w:rsid w:val="00794215"/>
    <w:rsid w:val="0087030C"/>
    <w:rsid w:val="008C6162"/>
    <w:rsid w:val="00914F23"/>
    <w:rsid w:val="00972346"/>
    <w:rsid w:val="00AC2812"/>
    <w:rsid w:val="00AE721F"/>
    <w:rsid w:val="00B25542"/>
    <w:rsid w:val="00B52D07"/>
    <w:rsid w:val="00BD3F95"/>
    <w:rsid w:val="00BE7455"/>
    <w:rsid w:val="00D71CF8"/>
    <w:rsid w:val="00DF745D"/>
    <w:rsid w:val="00E1055D"/>
    <w:rsid w:val="00E34658"/>
    <w:rsid w:val="00E34D08"/>
    <w:rsid w:val="00F07B67"/>
    <w:rsid w:val="00F5791C"/>
    <w:rsid w:val="00FC0479"/>
    <w:rsid w:val="107339C9"/>
    <w:rsid w:val="1BAC04D2"/>
    <w:rsid w:val="272C2AAA"/>
    <w:rsid w:val="28725B94"/>
    <w:rsid w:val="34285B3B"/>
    <w:rsid w:val="3A43493D"/>
    <w:rsid w:val="45E740A7"/>
    <w:rsid w:val="634728BF"/>
    <w:rsid w:val="6CB54E48"/>
    <w:rsid w:val="7CA32F54"/>
    <w:rsid w:val="7D8F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spacing w:before="340" w:after="330" w:line="578" w:lineRule="auto"/>
      <w:outlineLvl w:val="0"/>
    </w:pPr>
    <w:rPr>
      <w:kern w:val="44"/>
      <w:sz w:val="44"/>
      <w:szCs w:val="44"/>
    </w:rPr>
  </w:style>
  <w:style w:type="paragraph" w:styleId="4">
    <w:name w:val="heading 2"/>
    <w:basedOn w:val="1"/>
    <w:next w:val="1"/>
    <w:qFormat/>
    <w:uiPriority w:val="99"/>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99"/>
    <w:pPr>
      <w:spacing w:before="260" w:after="260" w:line="413" w:lineRule="auto"/>
      <w:outlineLvl w:val="2"/>
    </w:pPr>
    <w:rPr>
      <w:sz w:val="32"/>
    </w:rPr>
  </w:style>
  <w:style w:type="paragraph" w:styleId="6">
    <w:name w:val="heading 4"/>
    <w:basedOn w:val="1"/>
    <w:next w:val="1"/>
    <w:qFormat/>
    <w:uiPriority w:val="99"/>
    <w:pPr>
      <w:keepNext/>
      <w:keepLines/>
      <w:spacing w:before="280" w:after="290" w:line="376" w:lineRule="auto"/>
      <w:outlineLvl w:val="3"/>
    </w:pPr>
    <w:rPr>
      <w:rFonts w:ascii="Calibri Light" w:hAnsi="Calibri Light"/>
      <w:b/>
      <w:bCs/>
      <w:sz w:val="28"/>
      <w:szCs w:val="28"/>
    </w:rPr>
  </w:style>
  <w:style w:type="paragraph" w:styleId="7">
    <w:name w:val="heading 5"/>
    <w:basedOn w:val="1"/>
    <w:next w:val="1"/>
    <w:qFormat/>
    <w:uiPriority w:val="99"/>
    <w:pPr>
      <w:keepNext/>
      <w:keepLines/>
      <w:spacing w:before="280" w:after="290" w:line="376" w:lineRule="auto"/>
      <w:outlineLvl w:val="4"/>
    </w:pPr>
    <w:rPr>
      <w:b/>
      <w:bCs/>
      <w:sz w:val="28"/>
      <w:szCs w:val="28"/>
    </w:rPr>
  </w:style>
  <w:style w:type="paragraph" w:styleId="8">
    <w:name w:val="heading 6"/>
    <w:basedOn w:val="1"/>
    <w:next w:val="1"/>
    <w:qFormat/>
    <w:uiPriority w:val="99"/>
    <w:pPr>
      <w:keepNext/>
      <w:keepLines/>
      <w:spacing w:before="240" w:after="64" w:line="320" w:lineRule="auto"/>
      <w:outlineLvl w:val="5"/>
    </w:pPr>
    <w:rPr>
      <w:rFonts w:ascii="Calibri Light" w:hAnsi="Calibri Light"/>
      <w:b/>
      <w:bCs/>
      <w:sz w:val="24"/>
      <w:szCs w:val="24"/>
    </w:rPr>
  </w:style>
  <w:style w:type="paragraph" w:styleId="9">
    <w:name w:val="heading 7"/>
    <w:basedOn w:val="1"/>
    <w:next w:val="1"/>
    <w:qFormat/>
    <w:uiPriority w:val="9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b/>
      <w:bCs/>
      <w:sz w:val="24"/>
    </w:rPr>
  </w:style>
  <w:style w:type="paragraph" w:styleId="10">
    <w:name w:val="annotation text"/>
    <w:basedOn w:val="1"/>
    <w:link w:val="22"/>
    <w:unhideWhenUsed/>
    <w:qFormat/>
    <w:uiPriority w:val="0"/>
    <w:pPr>
      <w:jc w:val="left"/>
    </w:pPr>
  </w:style>
  <w:style w:type="paragraph" w:styleId="11">
    <w:name w:val="Plain Text"/>
    <w:basedOn w:val="1"/>
    <w:qFormat/>
    <w:uiPriority w:val="99"/>
    <w:rPr>
      <w:rFonts w:ascii="宋体" w:hAnsi="Courier New"/>
      <w:kern w:val="0"/>
      <w:sz w:val="20"/>
      <w:szCs w:val="21"/>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Char"/>
    <w:basedOn w:val="15"/>
    <w:link w:val="13"/>
    <w:qFormat/>
    <w:uiPriority w:val="99"/>
    <w:rPr>
      <w:sz w:val="18"/>
      <w:szCs w:val="18"/>
    </w:rPr>
  </w:style>
  <w:style w:type="character" w:customStyle="1" w:styleId="17">
    <w:name w:val="页脚 Char"/>
    <w:basedOn w:val="15"/>
    <w:link w:val="12"/>
    <w:qFormat/>
    <w:uiPriority w:val="99"/>
    <w:rPr>
      <w:sz w:val="18"/>
      <w:szCs w:val="18"/>
    </w:rPr>
  </w:style>
  <w:style w:type="character" w:customStyle="1" w:styleId="18">
    <w:name w:val="列出段落 Char"/>
    <w:link w:val="19"/>
    <w:qFormat/>
    <w:locked/>
    <w:uiPriority w:val="34"/>
  </w:style>
  <w:style w:type="paragraph" w:styleId="19">
    <w:name w:val="List Paragraph"/>
    <w:basedOn w:val="1"/>
    <w:link w:val="18"/>
    <w:qFormat/>
    <w:uiPriority w:val="34"/>
    <w:pPr>
      <w:ind w:firstLine="420"/>
    </w:pPr>
  </w:style>
  <w:style w:type="paragraph" w:customStyle="1" w:styleId="20">
    <w:name w:val="正文 首行缩进:  2 字符"/>
    <w:basedOn w:val="1"/>
    <w:link w:val="21"/>
    <w:qFormat/>
    <w:uiPriority w:val="0"/>
    <w:pPr>
      <w:spacing w:line="360" w:lineRule="auto"/>
      <w:ind w:firstLine="480" w:firstLineChars="200"/>
    </w:pPr>
    <w:rPr>
      <w:rFonts w:ascii="Times New Roman" w:hAnsi="Times New Roman"/>
      <w:sz w:val="24"/>
      <w:szCs w:val="20"/>
      <w:lang w:val="zh-CN"/>
    </w:rPr>
  </w:style>
  <w:style w:type="character" w:customStyle="1" w:styleId="21">
    <w:name w:val="正文 首行缩进:  2 字符 Char"/>
    <w:link w:val="20"/>
    <w:qFormat/>
    <w:uiPriority w:val="0"/>
    <w:rPr>
      <w:rFonts w:ascii="Times New Roman" w:hAnsi="Times New Roman" w:eastAsia="宋体" w:cs="Times New Roman"/>
      <w:sz w:val="24"/>
      <w:szCs w:val="20"/>
      <w:lang w:val="zh-CN" w:eastAsia="zh-CN"/>
    </w:rPr>
  </w:style>
  <w:style w:type="character" w:customStyle="1" w:styleId="22">
    <w:name w:val="批注文字 Char"/>
    <w:link w:val="10"/>
    <w:qFormat/>
    <w:uiPriority w:val="0"/>
    <w:rPr>
      <w:rFonts w:ascii="Calibri" w:hAnsi="Calibri" w:eastAsia="宋体"/>
      <w:kern w:val="2"/>
      <w:sz w:val="21"/>
      <w:szCs w:val="22"/>
    </w:rPr>
  </w:style>
  <w:style w:type="character" w:customStyle="1" w:styleId="23">
    <w:name w:val="批注文字 字符"/>
    <w:basedOn w:val="15"/>
    <w:semiHidden/>
    <w:qFormat/>
    <w:uiPriority w:val="99"/>
    <w:rPr>
      <w:rFonts w:ascii="Calibri" w:hAnsi="Calibri" w:eastAsia="宋体"/>
      <w:kern w:val="2"/>
      <w:sz w:val="21"/>
      <w:szCs w:val="22"/>
    </w:rPr>
  </w:style>
  <w:style w:type="paragraph" w:customStyle="1" w:styleId="24">
    <w:name w:val="正文（绿盟科技）"/>
    <w:qFormat/>
    <w:uiPriority w:val="0"/>
    <w:pPr>
      <w:spacing w:line="300" w:lineRule="auto"/>
    </w:pPr>
    <w:rPr>
      <w:rFonts w:ascii="Arial" w:hAnsi="Arial" w:eastAsia="宋体" w:cs="Times New Roman"/>
      <w:sz w:val="24"/>
      <w:szCs w:val="21"/>
      <w:lang w:val="en-US" w:eastAsia="zh-CN" w:bidi="ar-SA"/>
    </w:rPr>
  </w:style>
  <w:style w:type="paragraph" w:customStyle="1" w:styleId="25">
    <w:name w:val="_Style 22"/>
    <w:basedOn w:val="1"/>
    <w:next w:val="19"/>
    <w:qFormat/>
    <w:uiPriority w:val="34"/>
    <w:pPr>
      <w:ind w:firstLine="420" w:firstLineChars="200"/>
    </w:pPr>
  </w:style>
  <w:style w:type="paragraph" w:customStyle="1" w:styleId="26">
    <w:name w:val="样式 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7">
    <w:name w:val="样式 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8">
    <w:name w:val="样式 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29">
    <w:name w:val="样式 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0">
    <w:name w:val="样式 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1">
    <w:name w:val="样式 1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2">
    <w:name w:val="样式 1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3">
    <w:name w:val="样式 小四"/>
    <w:qFormat/>
    <w:uiPriority w:val="0"/>
    <w:pPr>
      <w:widowControl w:val="0"/>
    </w:pPr>
    <w:rPr>
      <w:rFonts w:ascii="宋体" w:hAnsi="Times New Roman" w:eastAsia="宋体" w:cs="Times New Roman"/>
      <w:kern w:val="2"/>
      <w:sz w:val="24"/>
      <w:szCs w:val="21"/>
      <w:lang w:val="en-US" w:eastAsia="zh-CN" w:bidi="ar-SA"/>
    </w:rPr>
  </w:style>
  <w:style w:type="paragraph" w:customStyle="1" w:styleId="34">
    <w:name w:val="样式 1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5">
    <w:name w:val="样式 1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6">
    <w:name w:val="样式 1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7">
    <w:name w:val="样式 20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8">
    <w:name w:val="样式 2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39">
    <w:name w:val="样式 2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0">
    <w:name w:val="样式 2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1">
    <w:name w:val="样式 2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2">
    <w:name w:val="样式 2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3">
    <w:name w:val="样式 1 小四"/>
    <w:qFormat/>
    <w:uiPriority w:val="0"/>
    <w:pPr>
      <w:widowControl w:val="0"/>
    </w:pPr>
    <w:rPr>
      <w:rFonts w:ascii="宋体" w:hAnsi="Times New Roman" w:eastAsia="宋体" w:cs="Times New Roman"/>
      <w:kern w:val="2"/>
      <w:sz w:val="24"/>
      <w:szCs w:val="21"/>
      <w:lang w:val="en-US" w:eastAsia="zh-CN" w:bidi="ar-SA"/>
    </w:rPr>
  </w:style>
  <w:style w:type="paragraph" w:customStyle="1" w:styleId="44">
    <w:name w:val="样式 2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5">
    <w:name w:val="样式 2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6">
    <w:name w:val="样式 3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7">
    <w:name w:val="样式 3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8">
    <w:name w:val="样式 3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49">
    <w:name w:val="样式 3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0">
    <w:name w:val="样式 3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1">
    <w:name w:val="样式 3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2">
    <w:name w:val="样式 40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3">
    <w:name w:val="样式 4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4">
    <w:name w:val="样式 4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5">
    <w:name w:val="样式 4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6">
    <w:name w:val="样式 46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7">
    <w:name w:val="样式 47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8">
    <w:name w:val="样式 48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59">
    <w:name w:val="样式 49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0">
    <w:name w:val="样式 52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1">
    <w:name w:val="样式 53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2">
    <w:name w:val="样式 54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63">
    <w:name w:val="样式 55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0</Words>
  <Characters>0</Characters>
  <Lines>7</Lines>
  <Paragraphs>18</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2018-07-14T05:06:00Z</dcterms:created>
  <dc:creator>瑞凝信</dc:creator>
  <cp:lastModifiedBy>WF</cp:lastModifiedBy>
  <dcterms:modified xsi:type="dcterms:W3CDTF">2023-08-16T07:44:17Z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commondata">
    <vt:lpwstr>eyJoZGlkIjoiZGU2ZWE1MzJlYzhlMzYwM2NlNjg2NGE5OWUzY2ZhZTgifQ==</vt:lpwstr>
  </property>
  <property fmtid="{D5CDD505-2E9C-101B-9397-08002B2CF9AE}" pid="4" name="ICV">
    <vt:lpwstr>67A707AABC8E43BCBB6AAF145DD7BD28</vt:lpwstr>
  </property>
</Properties>
</file>