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08B" w:rsidRDefault="009F608B" w:rsidP="009F608B">
      <w:pPr>
        <w:pStyle w:val="3"/>
        <w:rPr>
          <w:rFonts w:ascii="新宋体" w:eastAsia="新宋体" w:hAnsi="新宋体"/>
          <w:kern w:val="44"/>
          <w:szCs w:val="28"/>
        </w:rPr>
      </w:pPr>
      <w:r>
        <w:rPr>
          <w:rFonts w:ascii="新宋体" w:eastAsia="新宋体" w:hAnsi="新宋体" w:hint="eastAsia"/>
          <w:kern w:val="44"/>
          <w:szCs w:val="28"/>
        </w:rPr>
        <w:t>三、项目概况</w:t>
      </w:r>
    </w:p>
    <w:p w:rsidR="009F608B" w:rsidRDefault="009F608B" w:rsidP="009F608B">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D22B95">
        <w:rPr>
          <w:rFonts w:ascii="新宋体" w:eastAsia="新宋体" w:hAnsi="新宋体" w:cs="宋体" w:hint="eastAsia"/>
          <w:szCs w:val="21"/>
        </w:rPr>
        <w:t>人民币玖拾陆万贰仟伍佰元（962,500.00）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D22B95">
        <w:rPr>
          <w:rFonts w:ascii="新宋体" w:eastAsia="新宋体" w:hAnsi="新宋体" w:cs="宋体" w:hint="eastAsia"/>
          <w:szCs w:val="21"/>
        </w:rPr>
        <w:t>人民币玖拾陆万贰仟伍佰元（962,500.00）</w:t>
      </w:r>
    </w:p>
    <w:p w:rsidR="009F608B" w:rsidRDefault="009F608B" w:rsidP="009F608B">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Pr="00D22B95">
        <w:rPr>
          <w:rFonts w:ascii="新宋体" w:eastAsia="新宋体" w:hAnsi="新宋体" w:cs="宋体" w:hint="eastAsia"/>
          <w:szCs w:val="21"/>
        </w:rPr>
        <w:t>行政应诉系统迭代升级项目</w:t>
      </w:r>
    </w:p>
    <w:p w:rsidR="009F608B" w:rsidRDefault="009F608B" w:rsidP="009F608B">
      <w:pPr>
        <w:rPr>
          <w:rFonts w:ascii="新宋体" w:eastAsia="新宋体" w:hAnsi="新宋体"/>
          <w:b/>
          <w:bCs/>
          <w:szCs w:val="21"/>
        </w:rPr>
      </w:pPr>
    </w:p>
    <w:p w:rsidR="009F608B" w:rsidRDefault="009F608B" w:rsidP="009F608B">
      <w:pPr>
        <w:pStyle w:val="3"/>
        <w:rPr>
          <w:rFonts w:ascii="新宋体" w:eastAsia="新宋体" w:hAnsi="新宋体"/>
          <w:kern w:val="44"/>
          <w:szCs w:val="28"/>
        </w:rPr>
      </w:pPr>
      <w:r>
        <w:rPr>
          <w:rFonts w:ascii="新宋体" w:eastAsia="新宋体" w:hAnsi="新宋体" w:hint="eastAsia"/>
          <w:kern w:val="44"/>
          <w:szCs w:val="28"/>
        </w:rPr>
        <w:t>四、项目技术要求</w:t>
      </w:r>
    </w:p>
    <w:p w:rsidR="009F608B" w:rsidRDefault="009F608B" w:rsidP="009F608B">
      <w:pPr>
        <w:spacing w:line="360" w:lineRule="auto"/>
        <w:ind w:firstLine="420"/>
        <w:rPr>
          <w:rFonts w:ascii="新宋体" w:eastAsia="新宋体" w:hAnsi="新宋体"/>
          <w:b/>
          <w:color w:val="000000"/>
          <w:kern w:val="0"/>
          <w:szCs w:val="21"/>
          <w:lang w:val="en"/>
        </w:rPr>
      </w:pPr>
      <w:r>
        <w:rPr>
          <w:rFonts w:ascii="新宋体" w:eastAsia="新宋体" w:hAnsi="新宋体" w:hint="eastAsia"/>
          <w:b/>
          <w:color w:val="000000"/>
          <w:kern w:val="0"/>
          <w:szCs w:val="21"/>
        </w:rPr>
        <w:t>1. 现有行政应诉系统基本功能</w:t>
      </w:r>
    </w:p>
    <w:p w:rsidR="009F608B" w:rsidRDefault="009F608B" w:rsidP="009F608B">
      <w:pPr>
        <w:spacing w:line="360" w:lineRule="auto"/>
        <w:ind w:firstLine="420"/>
        <w:rPr>
          <w:rFonts w:ascii="新宋体" w:eastAsia="新宋体" w:hAnsi="新宋体"/>
          <w:b/>
          <w:bCs/>
          <w:color w:val="000000"/>
          <w:kern w:val="0"/>
          <w:szCs w:val="21"/>
        </w:rPr>
      </w:pPr>
      <w:bookmarkStart w:id="0" w:name="_Toc22138"/>
      <w:bookmarkStart w:id="1" w:name="_Toc8736903"/>
      <w:bookmarkStart w:id="2" w:name="_Toc25676156"/>
      <w:r>
        <w:rPr>
          <w:rFonts w:ascii="新宋体" w:eastAsia="新宋体" w:hAnsi="新宋体" w:hint="eastAsia"/>
          <w:b/>
          <w:bCs/>
          <w:color w:val="000000"/>
          <w:kern w:val="0"/>
          <w:szCs w:val="21"/>
        </w:rPr>
        <w:t>1.1</w:t>
      </w:r>
      <w:bookmarkEnd w:id="0"/>
      <w:bookmarkEnd w:id="1"/>
      <w:bookmarkEnd w:id="2"/>
      <w:r>
        <w:rPr>
          <w:rFonts w:ascii="新宋体" w:eastAsia="新宋体" w:hAnsi="新宋体" w:hint="eastAsia"/>
          <w:b/>
          <w:bCs/>
          <w:color w:val="000000"/>
          <w:kern w:val="0"/>
          <w:szCs w:val="21"/>
        </w:rPr>
        <w:t>基础管理</w:t>
      </w:r>
    </w:p>
    <w:p w:rsidR="009F608B" w:rsidRDefault="009F608B" w:rsidP="009F608B">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1.1.1应诉机关管理：对全市应诉机关的管理,包括新增、修改、删除、分配账号、回收账号、重置密码。</w:t>
      </w:r>
    </w:p>
    <w:p w:rsidR="009F608B" w:rsidRDefault="009F608B" w:rsidP="009F608B">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1.1.2 机关信息管理：用于维护本单位的基本信息。应诉机关信息项包括:机关全称、法定代表人、机关级别、联系人、联系电话、地址等。</w:t>
      </w:r>
    </w:p>
    <w:p w:rsidR="009F608B" w:rsidRDefault="009F608B" w:rsidP="009F608B">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1.1.3 应诉人员管理：各应诉机关对应诉人员进行管理,包括新增、修改、删除、分配账号、回收账号、重置密码。应诉人员信息项包括:所属机关、职务、姓名、身份证号、性别、出生日期、民族、政治面貌、联系电话、电子邮箱等</w:t>
      </w:r>
    </w:p>
    <w:p w:rsidR="009F608B" w:rsidRDefault="009F608B" w:rsidP="009F608B">
      <w:pPr>
        <w:spacing w:line="360" w:lineRule="auto"/>
        <w:ind w:firstLine="420"/>
        <w:rPr>
          <w:rFonts w:ascii="新宋体" w:eastAsia="新宋体" w:hAnsi="新宋体"/>
          <w:b/>
          <w:bCs/>
          <w:color w:val="000000"/>
          <w:kern w:val="0"/>
          <w:szCs w:val="21"/>
        </w:rPr>
      </w:pPr>
      <w:r>
        <w:rPr>
          <w:rFonts w:ascii="新宋体" w:eastAsia="新宋体" w:hAnsi="新宋体" w:hint="eastAsia"/>
          <w:b/>
          <w:bCs/>
          <w:color w:val="000000"/>
          <w:kern w:val="0"/>
          <w:szCs w:val="21"/>
        </w:rPr>
        <w:t>1.2 系统设置</w:t>
      </w:r>
    </w:p>
    <w:p w:rsidR="009F608B" w:rsidRDefault="009F608B" w:rsidP="009F608B">
      <w:pPr>
        <w:spacing w:line="360" w:lineRule="auto"/>
        <w:ind w:firstLine="420"/>
        <w:rPr>
          <w:rFonts w:ascii="新宋体" w:eastAsia="新宋体" w:hAnsi="新宋体"/>
        </w:rPr>
      </w:pPr>
      <w:r>
        <w:rPr>
          <w:rFonts w:ascii="新宋体" w:eastAsia="新宋体" w:hAnsi="新宋体" w:hint="eastAsia"/>
        </w:rPr>
        <w:t>1.2.1 时限设置：提供对自动归档时限,举证答辩期限等时间期限的设置。包括修改、开启、关闭、查看。</w:t>
      </w:r>
    </w:p>
    <w:p w:rsidR="009F608B" w:rsidRDefault="009F608B" w:rsidP="009F608B">
      <w:pPr>
        <w:spacing w:line="360" w:lineRule="auto"/>
        <w:ind w:firstLine="420"/>
        <w:rPr>
          <w:rFonts w:ascii="新宋体" w:eastAsia="新宋体" w:hAnsi="新宋体"/>
        </w:rPr>
      </w:pPr>
      <w:r>
        <w:rPr>
          <w:rFonts w:ascii="新宋体" w:eastAsia="新宋体" w:hAnsi="新宋体" w:hint="eastAsia"/>
        </w:rPr>
        <w:t>1.2.2 归档设置：对案件资料归档规则的管理,包括新增、修改、删除,上移、下移等功能。信息项包括文书类型、环节、备注等。</w:t>
      </w:r>
    </w:p>
    <w:p w:rsidR="009F608B" w:rsidRDefault="009F608B" w:rsidP="009F608B">
      <w:pPr>
        <w:spacing w:line="360" w:lineRule="auto"/>
        <w:ind w:firstLine="420"/>
        <w:rPr>
          <w:rFonts w:ascii="新宋体" w:eastAsia="新宋体" w:hAnsi="新宋体"/>
        </w:rPr>
      </w:pPr>
      <w:r>
        <w:rPr>
          <w:rFonts w:ascii="新宋体" w:eastAsia="新宋体" w:hAnsi="新宋体" w:hint="eastAsia"/>
        </w:rPr>
        <w:t>1.2.3 法院设置：对常用法院的管理,便捷应诉人员工作,包括常用文书的新增、修改、删除和下载。</w:t>
      </w:r>
    </w:p>
    <w:p w:rsidR="009F608B" w:rsidRDefault="009F608B" w:rsidP="009F608B">
      <w:pPr>
        <w:spacing w:line="360" w:lineRule="auto"/>
        <w:ind w:firstLine="420"/>
        <w:rPr>
          <w:rFonts w:ascii="新宋体" w:eastAsia="新宋体" w:hAnsi="新宋体"/>
          <w:b/>
          <w:bCs/>
          <w:color w:val="000000"/>
          <w:kern w:val="0"/>
          <w:szCs w:val="21"/>
        </w:rPr>
      </w:pPr>
      <w:r>
        <w:rPr>
          <w:rFonts w:ascii="新宋体" w:eastAsia="新宋体" w:hAnsi="新宋体" w:hint="eastAsia"/>
          <w:b/>
          <w:bCs/>
          <w:color w:val="000000"/>
          <w:kern w:val="0"/>
          <w:szCs w:val="21"/>
        </w:rPr>
        <w:t>1.3 案件办理</w:t>
      </w:r>
    </w:p>
    <w:p w:rsidR="009F608B" w:rsidRDefault="009F608B" w:rsidP="009F608B">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1.3.1 案件办理</w:t>
      </w:r>
    </w:p>
    <w:p w:rsidR="009F608B" w:rsidRDefault="009F608B" w:rsidP="009F608B">
      <w:pPr>
        <w:spacing w:line="360" w:lineRule="auto"/>
        <w:ind w:firstLineChars="300" w:firstLine="630"/>
        <w:rPr>
          <w:rFonts w:ascii="新宋体" w:eastAsia="新宋体" w:hAnsi="新宋体"/>
          <w:color w:val="000000"/>
          <w:kern w:val="0"/>
          <w:szCs w:val="21"/>
        </w:rPr>
      </w:pPr>
      <w:r>
        <w:rPr>
          <w:rFonts w:ascii="新宋体" w:eastAsia="新宋体" w:hAnsi="新宋体" w:hint="eastAsia"/>
          <w:color w:val="000000"/>
          <w:kern w:val="0"/>
          <w:szCs w:val="21"/>
        </w:rPr>
        <w:t>1.3.1.1 登记：应诉人员收到案件后,首先录入案件登记信息,包括案件基本信息、原告信息、被告信息、第三人等信息。</w:t>
      </w:r>
    </w:p>
    <w:p w:rsidR="009F608B" w:rsidRDefault="009F608B" w:rsidP="009F608B">
      <w:pPr>
        <w:spacing w:line="360" w:lineRule="auto"/>
        <w:ind w:firstLineChars="300" w:firstLine="630"/>
        <w:rPr>
          <w:rFonts w:ascii="新宋体" w:eastAsia="新宋体" w:hAnsi="新宋体"/>
          <w:color w:val="000000"/>
          <w:kern w:val="0"/>
          <w:szCs w:val="21"/>
        </w:rPr>
      </w:pPr>
      <w:r>
        <w:rPr>
          <w:rFonts w:ascii="新宋体" w:eastAsia="新宋体" w:hAnsi="新宋体" w:hint="eastAsia"/>
          <w:color w:val="000000"/>
          <w:kern w:val="0"/>
          <w:szCs w:val="21"/>
        </w:rPr>
        <w:t>1.3.1.2 举证答辩：应诉人员收集案件相关的证据材料,上传到系统中。</w:t>
      </w:r>
    </w:p>
    <w:p w:rsidR="009F608B" w:rsidRDefault="009F608B" w:rsidP="009F608B">
      <w:pPr>
        <w:spacing w:line="360" w:lineRule="auto"/>
        <w:ind w:firstLineChars="300" w:firstLine="630"/>
        <w:rPr>
          <w:rFonts w:ascii="新宋体" w:eastAsia="新宋体" w:hAnsi="新宋体"/>
          <w:color w:val="000000"/>
          <w:kern w:val="0"/>
          <w:szCs w:val="21"/>
        </w:rPr>
      </w:pPr>
      <w:r>
        <w:rPr>
          <w:rFonts w:ascii="新宋体" w:eastAsia="新宋体" w:hAnsi="新宋体" w:hint="eastAsia"/>
          <w:color w:val="000000"/>
          <w:kern w:val="0"/>
          <w:szCs w:val="21"/>
        </w:rPr>
        <w:lastRenderedPageBreak/>
        <w:t>1.3.1.3 庭审管理：庭审阶段,应诉人员可以维护历次庭审记录、庭审结果、承办人意见,上传相关的庭审资料。法院作出庭审结果后,应诉人员需说明主张上诉或不上诉。</w:t>
      </w:r>
    </w:p>
    <w:p w:rsidR="009F608B" w:rsidRDefault="009F608B" w:rsidP="009F608B">
      <w:pPr>
        <w:spacing w:line="360" w:lineRule="auto"/>
        <w:ind w:firstLineChars="300" w:firstLine="630"/>
        <w:rPr>
          <w:rFonts w:ascii="新宋体" w:eastAsia="新宋体" w:hAnsi="新宋体"/>
          <w:color w:val="000000"/>
          <w:kern w:val="0"/>
          <w:szCs w:val="21"/>
        </w:rPr>
      </w:pPr>
      <w:r>
        <w:rPr>
          <w:rFonts w:ascii="新宋体" w:eastAsia="新宋体" w:hAnsi="新宋体" w:hint="eastAsia"/>
          <w:color w:val="000000"/>
          <w:kern w:val="0"/>
          <w:szCs w:val="21"/>
        </w:rPr>
        <w:t>1.3.1.4 案件执行：申请执行的案件,承办人需要维护执行记录,执行完成后,可进行结案。</w:t>
      </w:r>
    </w:p>
    <w:p w:rsidR="009F608B" w:rsidRDefault="009F608B" w:rsidP="009F608B">
      <w:pPr>
        <w:spacing w:line="360" w:lineRule="auto"/>
        <w:ind w:firstLineChars="300" w:firstLine="630"/>
        <w:rPr>
          <w:rFonts w:ascii="新宋体" w:eastAsia="新宋体" w:hAnsi="新宋体"/>
          <w:color w:val="000000"/>
          <w:kern w:val="0"/>
          <w:szCs w:val="21"/>
        </w:rPr>
      </w:pPr>
      <w:r>
        <w:rPr>
          <w:rFonts w:ascii="新宋体" w:eastAsia="新宋体" w:hAnsi="新宋体" w:hint="eastAsia"/>
          <w:color w:val="000000"/>
          <w:kern w:val="0"/>
          <w:szCs w:val="21"/>
        </w:rPr>
        <w:t>1.3.1.5 结案：应诉人员维护结案信息,包括结案时间、是否行政赔偿、赔偿金额、是否典型案例、关键字、结案说明。</w:t>
      </w:r>
    </w:p>
    <w:p w:rsidR="009F608B" w:rsidRDefault="009F608B" w:rsidP="009F608B">
      <w:pPr>
        <w:spacing w:line="360" w:lineRule="auto"/>
        <w:ind w:firstLineChars="300" w:firstLine="630"/>
        <w:rPr>
          <w:rFonts w:ascii="新宋体" w:eastAsia="新宋体" w:hAnsi="新宋体"/>
          <w:color w:val="000000"/>
          <w:kern w:val="0"/>
          <w:szCs w:val="21"/>
        </w:rPr>
      </w:pPr>
      <w:r>
        <w:rPr>
          <w:rFonts w:ascii="新宋体" w:eastAsia="新宋体" w:hAnsi="新宋体" w:hint="eastAsia"/>
          <w:color w:val="000000"/>
          <w:kern w:val="0"/>
          <w:szCs w:val="21"/>
        </w:rPr>
        <w:t>1.3.1.6 案件归档：案件结案后,应诉人员需要上传归档所需附件,对案件进行归档。</w:t>
      </w:r>
    </w:p>
    <w:p w:rsidR="009F608B" w:rsidRDefault="009F608B" w:rsidP="009F608B">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1.3.2 司法建议管理：此功能用来管理本单位收到的司法建议信息,包括新增、修改、删除、查看。</w:t>
      </w:r>
    </w:p>
    <w:p w:rsidR="009F608B" w:rsidRDefault="009F608B" w:rsidP="009F608B">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1.3.3司法建议查询：此功能用来查询本单位收到的司法建议信息。</w:t>
      </w:r>
    </w:p>
    <w:p w:rsidR="009F608B" w:rsidRDefault="009F608B" w:rsidP="009F608B">
      <w:pPr>
        <w:spacing w:line="360" w:lineRule="auto"/>
        <w:ind w:firstLine="420"/>
        <w:rPr>
          <w:rFonts w:ascii="新宋体" w:eastAsia="新宋体" w:hAnsi="新宋体"/>
          <w:b/>
          <w:bCs/>
          <w:color w:val="000000"/>
          <w:kern w:val="0"/>
          <w:szCs w:val="21"/>
        </w:rPr>
      </w:pPr>
      <w:r>
        <w:rPr>
          <w:rFonts w:ascii="新宋体" w:eastAsia="新宋体" w:hAnsi="新宋体" w:hint="eastAsia"/>
          <w:b/>
          <w:bCs/>
          <w:color w:val="000000"/>
          <w:kern w:val="0"/>
          <w:szCs w:val="21"/>
        </w:rPr>
        <w:t>1.4 资料管理</w:t>
      </w:r>
    </w:p>
    <w:p w:rsidR="009F608B" w:rsidRDefault="009F608B" w:rsidP="009F608B">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1.4.1 通用文书模板：对常用文书的管理,辅助应诉人员工作,包括常用文书的新增、修改、删除和下载。</w:t>
      </w:r>
    </w:p>
    <w:p w:rsidR="009F608B" w:rsidRDefault="009F608B" w:rsidP="009F608B">
      <w:pPr>
        <w:spacing w:line="360" w:lineRule="auto"/>
        <w:ind w:firstLine="420"/>
        <w:rPr>
          <w:rFonts w:ascii="新宋体" w:eastAsia="新宋体" w:hAnsi="新宋体"/>
          <w:b/>
          <w:bCs/>
          <w:color w:val="000000"/>
          <w:kern w:val="0"/>
          <w:szCs w:val="21"/>
        </w:rPr>
      </w:pPr>
      <w:r>
        <w:rPr>
          <w:rFonts w:ascii="新宋体" w:eastAsia="新宋体" w:hAnsi="新宋体" w:hint="eastAsia"/>
          <w:b/>
          <w:bCs/>
          <w:color w:val="000000"/>
          <w:kern w:val="0"/>
          <w:szCs w:val="21"/>
        </w:rPr>
        <w:t>1.5 数据报送</w:t>
      </w:r>
    </w:p>
    <w:p w:rsidR="009F608B" w:rsidRDefault="009F608B" w:rsidP="009F608B">
      <w:pPr>
        <w:spacing w:line="360" w:lineRule="auto"/>
        <w:ind w:firstLineChars="200" w:firstLine="420"/>
        <w:rPr>
          <w:rFonts w:ascii="新宋体" w:eastAsia="新宋体" w:hAnsi="新宋体"/>
          <w:color w:val="000000"/>
          <w:kern w:val="0"/>
          <w:szCs w:val="21"/>
        </w:rPr>
      </w:pPr>
      <w:r>
        <w:rPr>
          <w:rFonts w:ascii="新宋体" w:eastAsia="新宋体" w:hAnsi="新宋体" w:hint="eastAsia"/>
          <w:color w:val="000000"/>
          <w:kern w:val="0"/>
          <w:szCs w:val="21"/>
        </w:rPr>
        <w:t>实现应诉人员和行政应诉案件办理数据的层层上报、汇总。市司法局数据进行最终的汇总,形成汇总报表,可对报表中的数据进行反查。</w:t>
      </w:r>
    </w:p>
    <w:p w:rsidR="009F608B" w:rsidRDefault="009F608B" w:rsidP="009F608B">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1.5.1 案件填报：各应诉机关填报本单位的案件信息,案件信息仅包含统计所需的最基本的信息项。已在【案件办理】中办理完成或正在办理的案件不需要再进行填报。</w:t>
      </w:r>
    </w:p>
    <w:p w:rsidR="009F608B" w:rsidRDefault="009F608B" w:rsidP="009F608B">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1.5.2 数据统计：根据各应诉机关填报本单位的案件信息,统计本年度的案件数据,并上报给上级。可以导出 Excel 格式的报表。</w:t>
      </w:r>
    </w:p>
    <w:p w:rsidR="009F608B" w:rsidRDefault="009F608B" w:rsidP="009F608B">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1.5.3 数据汇总：市政府和各区政府汇总下级上报的案件数据。各区政府汇总数据后,还需要上报给市政府。下级单位上报后,上级单位可以看到下级单位上报的数据,所有下级都上报后,才可以进行汇总上报操作。上级单位可以查看下级单位上报情况。</w:t>
      </w:r>
    </w:p>
    <w:p w:rsidR="009F608B" w:rsidRDefault="009F608B" w:rsidP="009F608B">
      <w:pPr>
        <w:spacing w:line="360" w:lineRule="auto"/>
        <w:ind w:firstLine="420"/>
        <w:rPr>
          <w:rFonts w:ascii="新宋体" w:eastAsia="新宋体" w:hAnsi="新宋体"/>
          <w:b/>
          <w:bCs/>
          <w:color w:val="000000"/>
          <w:kern w:val="0"/>
          <w:szCs w:val="21"/>
        </w:rPr>
      </w:pPr>
      <w:r>
        <w:rPr>
          <w:rFonts w:ascii="新宋体" w:eastAsia="新宋体" w:hAnsi="新宋体" w:hint="eastAsia"/>
          <w:b/>
          <w:bCs/>
          <w:color w:val="000000"/>
          <w:kern w:val="0"/>
          <w:szCs w:val="21"/>
        </w:rPr>
        <w:t>1.6 综合分析</w:t>
      </w:r>
    </w:p>
    <w:p w:rsidR="009F608B" w:rsidRDefault="009F608B" w:rsidP="009F608B">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1.6.1 应诉案件统计：案件填报功能对应诉案件进行统计,包括涉及事项、行政管理类别、案件办理进展、一审结案情况、二审结案情况和再审结案情况六个维度。涉及事项、行政管理类别和案件办理进展统计全部状态的案件,包括已结案和未结案的案件。一审结案情况、二审结案情况和再审结案情况统计已结案的案件,按照结案时的审级统计在对应的维度下。</w:t>
      </w:r>
    </w:p>
    <w:p w:rsidR="009F608B" w:rsidRDefault="009F608B" w:rsidP="009F608B">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1.6.2 应诉机关统计：统计各应诉机关的行政应诉案件数量,包括原行政行为机关单独</w:t>
      </w:r>
      <w:r>
        <w:rPr>
          <w:rFonts w:ascii="新宋体" w:eastAsia="新宋体" w:hAnsi="新宋体" w:hint="eastAsia"/>
          <w:color w:val="000000"/>
          <w:kern w:val="0"/>
          <w:szCs w:val="21"/>
        </w:rPr>
        <w:lastRenderedPageBreak/>
        <w:t>应诉、复议机关单独应诉和共同应诉三个维度。共同应诉的案件,统计在原行政行为机关名下。</w:t>
      </w:r>
    </w:p>
    <w:p w:rsidR="009F608B" w:rsidRDefault="009F608B" w:rsidP="009F608B">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1.6.3 应诉人员统计：统计各应诉机关应诉人员的案件办理情况和人员基本情况。包括已办案件数量、在办案件数量、学历、政治面貌、民族、年龄、性别情况。</w:t>
      </w:r>
    </w:p>
    <w:p w:rsidR="009F608B" w:rsidRDefault="009F608B" w:rsidP="009F608B">
      <w:pPr>
        <w:spacing w:line="360" w:lineRule="auto"/>
        <w:ind w:firstLine="420"/>
        <w:rPr>
          <w:rFonts w:ascii="新宋体" w:eastAsia="新宋体" w:hAnsi="新宋体"/>
          <w:b/>
          <w:bCs/>
          <w:color w:val="000000"/>
          <w:kern w:val="0"/>
          <w:szCs w:val="21"/>
        </w:rPr>
      </w:pPr>
      <w:r>
        <w:rPr>
          <w:rFonts w:ascii="新宋体" w:eastAsia="新宋体" w:hAnsi="新宋体" w:hint="eastAsia"/>
          <w:b/>
          <w:bCs/>
          <w:color w:val="000000"/>
          <w:kern w:val="0"/>
          <w:szCs w:val="21"/>
        </w:rPr>
        <w:t>1.7 工作台</w:t>
      </w:r>
    </w:p>
    <w:p w:rsidR="009F608B" w:rsidRDefault="009F608B" w:rsidP="009F608B">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1.7.1 预警提醒：在案件办理过程中,对于答辩举证期及应诉人员设置的待办事项,提供提醒功能。</w:t>
      </w:r>
    </w:p>
    <w:p w:rsidR="009F608B" w:rsidRDefault="009F608B" w:rsidP="009F608B">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1.7.2 快捷入口：提供系统常用功能的快捷入口,用户可以添加、删除常用功能入口。</w:t>
      </w:r>
    </w:p>
    <w:p w:rsidR="009F608B" w:rsidRDefault="009F608B" w:rsidP="009F608B">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1.7.3 案件办理情况：用户可以查看自己的主办案件和协办案件,点击【更多】,可以进入案件办理页面,点击案件对应的【办理】按钮,进入该案件的办理页面。</w:t>
      </w:r>
    </w:p>
    <w:p w:rsidR="009F608B" w:rsidRDefault="009F608B" w:rsidP="009F608B">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1.7.4 办理进展统计：提供案件办理进展统计功能,统计处在各阶段的案件。</w:t>
      </w:r>
    </w:p>
    <w:p w:rsidR="009F608B" w:rsidRDefault="009F608B" w:rsidP="009F608B">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1.7.5 本年度结案情况统计：统计案件的结案情况,包括在哪个审级结案,裁判结果是什么。</w:t>
      </w:r>
    </w:p>
    <w:p w:rsidR="009F608B" w:rsidRDefault="009F608B" w:rsidP="009F608B">
      <w:pPr>
        <w:spacing w:line="360" w:lineRule="auto"/>
        <w:ind w:firstLine="420"/>
        <w:rPr>
          <w:rFonts w:ascii="新宋体" w:eastAsia="新宋体" w:hAnsi="新宋体"/>
          <w:b/>
          <w:bCs/>
          <w:color w:val="000000"/>
          <w:kern w:val="0"/>
          <w:szCs w:val="21"/>
        </w:rPr>
      </w:pPr>
      <w:r>
        <w:rPr>
          <w:rFonts w:ascii="新宋体" w:eastAsia="新宋体" w:hAnsi="新宋体" w:hint="eastAsia"/>
          <w:b/>
          <w:bCs/>
          <w:color w:val="000000"/>
          <w:kern w:val="0"/>
          <w:szCs w:val="21"/>
        </w:rPr>
        <w:t>1.8 综合查询</w:t>
      </w:r>
    </w:p>
    <w:p w:rsidR="009F608B" w:rsidRDefault="009F608B" w:rsidP="009F608B">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可以通过模糊查询和精确查询,查询全市已办理和正在办理的行政案件,支持导出查询结果。</w:t>
      </w:r>
    </w:p>
    <w:p w:rsidR="009F608B" w:rsidRDefault="009F608B" w:rsidP="009F608B">
      <w:pPr>
        <w:spacing w:line="360" w:lineRule="auto"/>
        <w:ind w:firstLine="420"/>
        <w:rPr>
          <w:rFonts w:ascii="新宋体" w:eastAsia="新宋体" w:hAnsi="新宋体"/>
          <w:b/>
          <w:bCs/>
          <w:color w:val="000000"/>
          <w:kern w:val="0"/>
          <w:szCs w:val="21"/>
        </w:rPr>
      </w:pPr>
      <w:r>
        <w:rPr>
          <w:rFonts w:ascii="新宋体" w:eastAsia="新宋体" w:hAnsi="新宋体" w:hint="eastAsia"/>
          <w:b/>
          <w:bCs/>
          <w:color w:val="000000"/>
          <w:kern w:val="0"/>
          <w:szCs w:val="21"/>
        </w:rPr>
        <w:t>1.9 典型案例库</w:t>
      </w:r>
    </w:p>
    <w:p w:rsidR="009F608B" w:rsidRDefault="009F608B" w:rsidP="009F608B">
      <w:pPr>
        <w:spacing w:line="360" w:lineRule="auto"/>
        <w:ind w:firstLine="420"/>
        <w:rPr>
          <w:rFonts w:ascii="新宋体" w:eastAsia="新宋体" w:hAnsi="新宋体"/>
          <w:color w:val="000000"/>
          <w:kern w:val="0"/>
          <w:szCs w:val="21"/>
        </w:rPr>
      </w:pPr>
      <w:r>
        <w:rPr>
          <w:rFonts w:ascii="新宋体" w:eastAsia="新宋体" w:hAnsi="新宋体" w:hint="eastAsia"/>
          <w:color w:val="000000"/>
          <w:kern w:val="0"/>
          <w:szCs w:val="21"/>
        </w:rPr>
        <w:t>标记为典型案例的案件,在归档后收录进典型案例库,典型案例可在全市应诉人员中共享。可以查看案件办理信息及案件相关的文书、案卷。</w:t>
      </w:r>
    </w:p>
    <w:p w:rsidR="009F608B" w:rsidRDefault="009F608B" w:rsidP="009F608B">
      <w:pPr>
        <w:spacing w:line="360" w:lineRule="auto"/>
        <w:ind w:firstLine="420"/>
        <w:rPr>
          <w:rFonts w:ascii="新宋体" w:eastAsia="新宋体" w:hAnsi="新宋体"/>
          <w:b/>
          <w:bCs/>
          <w:color w:val="000000"/>
          <w:kern w:val="0"/>
          <w:szCs w:val="21"/>
        </w:rPr>
      </w:pPr>
      <w:r>
        <w:rPr>
          <w:rFonts w:ascii="新宋体" w:eastAsia="新宋体" w:hAnsi="新宋体" w:hint="eastAsia"/>
          <w:b/>
          <w:bCs/>
          <w:color w:val="000000"/>
          <w:kern w:val="0"/>
          <w:szCs w:val="21"/>
        </w:rPr>
        <w:t>2.本项目迭代升级后行政应诉系统功能列表</w:t>
      </w:r>
    </w:p>
    <w:tbl>
      <w:tblPr>
        <w:tblStyle w:val="a5"/>
        <w:tblW w:w="5000" w:type="pct"/>
        <w:tblLook w:val="04A0" w:firstRow="1" w:lastRow="0" w:firstColumn="1" w:lastColumn="0" w:noHBand="0" w:noVBand="1"/>
      </w:tblPr>
      <w:tblGrid>
        <w:gridCol w:w="830"/>
        <w:gridCol w:w="1999"/>
        <w:gridCol w:w="3755"/>
        <w:gridCol w:w="1938"/>
      </w:tblGrid>
      <w:tr w:rsidR="009F608B" w:rsidTr="00A9516B">
        <w:tc>
          <w:tcPr>
            <w:tcW w:w="487" w:type="pct"/>
            <w:shd w:val="clear" w:color="auto" w:fill="EEECE1" w:themeFill="background2"/>
          </w:tcPr>
          <w:p w:rsidR="009F608B" w:rsidRDefault="009F608B" w:rsidP="00A9516B">
            <w:pPr>
              <w:widowControl/>
              <w:jc w:val="center"/>
              <w:textAlignment w:val="top"/>
              <w:rPr>
                <w:rFonts w:ascii="新宋体" w:eastAsia="新宋体" w:hAnsi="新宋体" w:cs="宋体"/>
                <w:b/>
                <w:bCs/>
                <w:szCs w:val="21"/>
              </w:rPr>
            </w:pPr>
            <w:r>
              <w:rPr>
                <w:rFonts w:ascii="新宋体" w:eastAsia="新宋体" w:hAnsi="新宋体" w:cs="新宋体"/>
                <w:b/>
                <w:color w:val="000000"/>
                <w:szCs w:val="21"/>
                <w:lang w:bidi="ar"/>
              </w:rPr>
              <w:t>序号</w:t>
            </w:r>
          </w:p>
        </w:tc>
        <w:tc>
          <w:tcPr>
            <w:tcW w:w="1173" w:type="pct"/>
            <w:shd w:val="clear" w:color="auto" w:fill="EEECE1" w:themeFill="background2"/>
          </w:tcPr>
          <w:p w:rsidR="009F608B" w:rsidRDefault="009F608B" w:rsidP="00A9516B">
            <w:pPr>
              <w:widowControl/>
              <w:jc w:val="center"/>
              <w:textAlignment w:val="top"/>
              <w:rPr>
                <w:rFonts w:ascii="新宋体" w:eastAsia="新宋体" w:hAnsi="新宋体" w:cs="宋体"/>
                <w:b/>
                <w:bCs/>
                <w:szCs w:val="21"/>
              </w:rPr>
            </w:pPr>
            <w:r>
              <w:rPr>
                <w:rFonts w:ascii="新宋体" w:eastAsia="新宋体" w:hAnsi="新宋体" w:cs="新宋体"/>
                <w:b/>
                <w:color w:val="000000"/>
                <w:szCs w:val="21"/>
                <w:lang w:bidi="ar"/>
              </w:rPr>
              <w:t>模块</w:t>
            </w:r>
          </w:p>
        </w:tc>
        <w:tc>
          <w:tcPr>
            <w:tcW w:w="2203" w:type="pct"/>
            <w:shd w:val="clear" w:color="auto" w:fill="EEECE1" w:themeFill="background2"/>
          </w:tcPr>
          <w:p w:rsidR="009F608B" w:rsidRDefault="009F608B" w:rsidP="00A9516B">
            <w:pPr>
              <w:widowControl/>
              <w:jc w:val="center"/>
              <w:textAlignment w:val="top"/>
              <w:rPr>
                <w:rFonts w:ascii="新宋体" w:eastAsia="新宋体" w:hAnsi="新宋体" w:cs="宋体"/>
                <w:b/>
                <w:bCs/>
                <w:szCs w:val="21"/>
              </w:rPr>
            </w:pPr>
            <w:r>
              <w:rPr>
                <w:rFonts w:ascii="新宋体" w:eastAsia="新宋体" w:hAnsi="新宋体" w:cs="新宋体"/>
                <w:b/>
                <w:color w:val="000000"/>
                <w:szCs w:val="21"/>
                <w:lang w:bidi="ar"/>
              </w:rPr>
              <w:t>子模块</w:t>
            </w:r>
          </w:p>
        </w:tc>
        <w:tc>
          <w:tcPr>
            <w:tcW w:w="1137" w:type="pct"/>
            <w:shd w:val="clear" w:color="auto" w:fill="EEECE1" w:themeFill="background2"/>
          </w:tcPr>
          <w:p w:rsidR="009F608B" w:rsidRDefault="009F608B" w:rsidP="00A9516B">
            <w:pPr>
              <w:widowControl/>
              <w:jc w:val="center"/>
              <w:textAlignment w:val="top"/>
              <w:rPr>
                <w:rFonts w:ascii="新宋体" w:eastAsia="新宋体" w:hAnsi="新宋体" w:cs="宋体"/>
                <w:b/>
                <w:bCs/>
                <w:szCs w:val="21"/>
              </w:rPr>
            </w:pPr>
            <w:r>
              <w:rPr>
                <w:rFonts w:ascii="新宋体" w:eastAsia="新宋体" w:hAnsi="新宋体" w:cs="新宋体"/>
                <w:b/>
                <w:color w:val="000000"/>
                <w:szCs w:val="21"/>
                <w:lang w:bidi="ar"/>
              </w:rPr>
              <w:t>备注</w:t>
            </w:r>
          </w:p>
        </w:tc>
      </w:tr>
      <w:tr w:rsidR="009F608B" w:rsidTr="00A9516B">
        <w:trPr>
          <w:trHeight w:val="90"/>
        </w:trPr>
        <w:tc>
          <w:tcPr>
            <w:tcW w:w="487" w:type="pct"/>
            <w:vMerge w:val="restar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1</w:t>
            </w:r>
          </w:p>
        </w:tc>
        <w:tc>
          <w:tcPr>
            <w:tcW w:w="1173" w:type="pct"/>
            <w:vMerge w:val="restar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首页</w:t>
            </w:r>
          </w:p>
        </w:tc>
        <w:tc>
          <w:tcPr>
            <w:tcW w:w="2203" w:type="pct"/>
            <w:vAlign w:val="center"/>
          </w:tcPr>
          <w:p w:rsidR="009F608B" w:rsidRDefault="009F608B" w:rsidP="00A9516B">
            <w:pPr>
              <w:widowControl/>
              <w:textAlignment w:val="center"/>
              <w:rPr>
                <w:rFonts w:ascii="新宋体" w:eastAsia="新宋体" w:hAnsi="新宋体"/>
                <w:color w:val="000000"/>
                <w:szCs w:val="21"/>
              </w:rPr>
            </w:pPr>
            <w:r>
              <w:rPr>
                <w:rFonts w:ascii="新宋体" w:eastAsia="新宋体" w:hAnsi="新宋体" w:cs="新宋体"/>
                <w:color w:val="000000"/>
                <w:szCs w:val="21"/>
                <w:lang w:bidi="ar"/>
              </w:rPr>
              <w:t>应诉机关管理</w:t>
            </w:r>
          </w:p>
        </w:tc>
        <w:tc>
          <w:tcPr>
            <w:tcW w:w="1137"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利旧</w:t>
            </w:r>
          </w:p>
        </w:tc>
      </w:tr>
      <w:tr w:rsidR="009F608B" w:rsidTr="00A9516B">
        <w:trPr>
          <w:trHeight w:val="90"/>
        </w:trPr>
        <w:tc>
          <w:tcPr>
            <w:tcW w:w="487" w:type="pct"/>
            <w:vMerge/>
            <w:vAlign w:val="center"/>
          </w:tcPr>
          <w:p w:rsidR="009F608B" w:rsidRDefault="009F608B" w:rsidP="00A9516B">
            <w:pPr>
              <w:jc w:val="center"/>
              <w:rPr>
                <w:rFonts w:ascii="新宋体" w:eastAsia="新宋体" w:hAnsi="新宋体"/>
                <w:color w:val="000000"/>
                <w:szCs w:val="21"/>
              </w:rPr>
            </w:pPr>
          </w:p>
        </w:tc>
        <w:tc>
          <w:tcPr>
            <w:tcW w:w="1173" w:type="pct"/>
            <w:vMerge/>
            <w:vAlign w:val="center"/>
          </w:tcPr>
          <w:p w:rsidR="009F608B" w:rsidRDefault="009F608B" w:rsidP="00A9516B">
            <w:pPr>
              <w:jc w:val="center"/>
              <w:rPr>
                <w:rFonts w:ascii="新宋体" w:eastAsia="新宋体" w:hAnsi="新宋体"/>
                <w:color w:val="000000"/>
                <w:szCs w:val="21"/>
              </w:rPr>
            </w:pPr>
          </w:p>
        </w:tc>
        <w:tc>
          <w:tcPr>
            <w:tcW w:w="2203" w:type="pct"/>
            <w:vAlign w:val="center"/>
          </w:tcPr>
          <w:p w:rsidR="009F608B" w:rsidRDefault="009F608B" w:rsidP="00A9516B">
            <w:pPr>
              <w:widowControl/>
              <w:textAlignment w:val="center"/>
              <w:rPr>
                <w:rFonts w:ascii="新宋体" w:eastAsia="新宋体" w:hAnsi="新宋体"/>
                <w:color w:val="000000"/>
                <w:szCs w:val="21"/>
              </w:rPr>
            </w:pPr>
            <w:r>
              <w:rPr>
                <w:rFonts w:ascii="新宋体" w:eastAsia="新宋体" w:hAnsi="新宋体" w:cs="新宋体"/>
                <w:color w:val="000000"/>
                <w:szCs w:val="21"/>
                <w:lang w:bidi="ar"/>
              </w:rPr>
              <w:t>机关信息管理</w:t>
            </w:r>
          </w:p>
        </w:tc>
        <w:tc>
          <w:tcPr>
            <w:tcW w:w="1137"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利旧</w:t>
            </w:r>
          </w:p>
        </w:tc>
      </w:tr>
      <w:tr w:rsidR="009F608B" w:rsidTr="00A9516B">
        <w:trPr>
          <w:trHeight w:val="90"/>
        </w:trPr>
        <w:tc>
          <w:tcPr>
            <w:tcW w:w="487" w:type="pct"/>
            <w:vMerge/>
            <w:vAlign w:val="center"/>
          </w:tcPr>
          <w:p w:rsidR="009F608B" w:rsidRDefault="009F608B" w:rsidP="00A9516B">
            <w:pPr>
              <w:jc w:val="center"/>
              <w:rPr>
                <w:rFonts w:ascii="新宋体" w:eastAsia="新宋体" w:hAnsi="新宋体"/>
                <w:color w:val="000000"/>
                <w:szCs w:val="21"/>
              </w:rPr>
            </w:pPr>
          </w:p>
        </w:tc>
        <w:tc>
          <w:tcPr>
            <w:tcW w:w="1173" w:type="pct"/>
            <w:vMerge/>
            <w:vAlign w:val="center"/>
          </w:tcPr>
          <w:p w:rsidR="009F608B" w:rsidRDefault="009F608B" w:rsidP="00A9516B">
            <w:pPr>
              <w:jc w:val="center"/>
              <w:rPr>
                <w:rFonts w:ascii="新宋体" w:eastAsia="新宋体" w:hAnsi="新宋体"/>
                <w:color w:val="000000"/>
                <w:szCs w:val="21"/>
              </w:rPr>
            </w:pPr>
          </w:p>
        </w:tc>
        <w:tc>
          <w:tcPr>
            <w:tcW w:w="2203" w:type="pct"/>
            <w:vAlign w:val="center"/>
          </w:tcPr>
          <w:p w:rsidR="009F608B" w:rsidRDefault="009F608B" w:rsidP="00A9516B">
            <w:pPr>
              <w:widowControl/>
              <w:textAlignment w:val="center"/>
              <w:rPr>
                <w:rFonts w:ascii="新宋体" w:eastAsia="新宋体" w:hAnsi="新宋体"/>
                <w:color w:val="000000"/>
                <w:szCs w:val="21"/>
              </w:rPr>
            </w:pPr>
            <w:r>
              <w:rPr>
                <w:rFonts w:ascii="新宋体" w:eastAsia="新宋体" w:hAnsi="新宋体" w:cs="新宋体"/>
                <w:color w:val="000000"/>
                <w:szCs w:val="21"/>
                <w:lang w:bidi="ar"/>
              </w:rPr>
              <w:t>应诉人员管理</w:t>
            </w:r>
          </w:p>
        </w:tc>
        <w:tc>
          <w:tcPr>
            <w:tcW w:w="1137"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利旧</w:t>
            </w:r>
          </w:p>
        </w:tc>
      </w:tr>
      <w:tr w:rsidR="009F608B" w:rsidTr="00A9516B">
        <w:tc>
          <w:tcPr>
            <w:tcW w:w="487" w:type="pct"/>
            <w:vMerge w:val="restar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2</w:t>
            </w:r>
          </w:p>
        </w:tc>
        <w:tc>
          <w:tcPr>
            <w:tcW w:w="1173" w:type="pct"/>
            <w:vMerge w:val="restar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系统设置</w:t>
            </w:r>
          </w:p>
        </w:tc>
        <w:tc>
          <w:tcPr>
            <w:tcW w:w="2203" w:type="pct"/>
          </w:tcPr>
          <w:p w:rsidR="009F608B" w:rsidRDefault="009F608B" w:rsidP="00A9516B">
            <w:pPr>
              <w:widowControl/>
              <w:jc w:val="left"/>
              <w:textAlignment w:val="top"/>
              <w:rPr>
                <w:rFonts w:ascii="新宋体" w:eastAsia="新宋体" w:hAnsi="新宋体"/>
                <w:color w:val="000000"/>
                <w:szCs w:val="21"/>
              </w:rPr>
            </w:pPr>
            <w:r>
              <w:rPr>
                <w:rFonts w:ascii="新宋体" w:eastAsia="新宋体" w:hAnsi="新宋体" w:cs="新宋体"/>
                <w:color w:val="000000"/>
                <w:szCs w:val="21"/>
                <w:lang w:bidi="ar"/>
              </w:rPr>
              <w:t>时限设置</w:t>
            </w:r>
          </w:p>
        </w:tc>
        <w:tc>
          <w:tcPr>
            <w:tcW w:w="1137"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利旧</w:t>
            </w:r>
          </w:p>
        </w:tc>
      </w:tr>
      <w:tr w:rsidR="009F608B" w:rsidTr="00A9516B">
        <w:tc>
          <w:tcPr>
            <w:tcW w:w="487" w:type="pct"/>
            <w:vMerge/>
            <w:vAlign w:val="center"/>
          </w:tcPr>
          <w:p w:rsidR="009F608B" w:rsidRDefault="009F608B" w:rsidP="00A9516B">
            <w:pPr>
              <w:jc w:val="center"/>
              <w:rPr>
                <w:rFonts w:ascii="新宋体" w:eastAsia="新宋体" w:hAnsi="新宋体"/>
                <w:color w:val="000000"/>
                <w:szCs w:val="21"/>
              </w:rPr>
            </w:pPr>
          </w:p>
        </w:tc>
        <w:tc>
          <w:tcPr>
            <w:tcW w:w="1173" w:type="pct"/>
            <w:vMerge/>
            <w:vAlign w:val="center"/>
          </w:tcPr>
          <w:p w:rsidR="009F608B" w:rsidRDefault="009F608B" w:rsidP="00A9516B">
            <w:pPr>
              <w:jc w:val="center"/>
              <w:rPr>
                <w:rFonts w:ascii="新宋体" w:eastAsia="新宋体" w:hAnsi="新宋体"/>
                <w:b/>
                <w:bCs/>
                <w:color w:val="000000"/>
                <w:szCs w:val="21"/>
              </w:rPr>
            </w:pPr>
          </w:p>
        </w:tc>
        <w:tc>
          <w:tcPr>
            <w:tcW w:w="2203" w:type="pct"/>
          </w:tcPr>
          <w:p w:rsidR="009F608B" w:rsidRDefault="009F608B" w:rsidP="00A9516B">
            <w:pPr>
              <w:widowControl/>
              <w:jc w:val="left"/>
              <w:textAlignment w:val="top"/>
              <w:rPr>
                <w:rFonts w:ascii="新宋体" w:eastAsia="新宋体" w:hAnsi="新宋体"/>
                <w:color w:val="000000"/>
                <w:szCs w:val="21"/>
              </w:rPr>
            </w:pPr>
            <w:r>
              <w:rPr>
                <w:rFonts w:ascii="新宋体" w:eastAsia="新宋体" w:hAnsi="新宋体" w:cs="新宋体"/>
                <w:color w:val="000000"/>
                <w:szCs w:val="21"/>
                <w:lang w:bidi="ar"/>
              </w:rPr>
              <w:t>归档设置</w:t>
            </w:r>
          </w:p>
        </w:tc>
        <w:tc>
          <w:tcPr>
            <w:tcW w:w="1137"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利旧</w:t>
            </w:r>
          </w:p>
        </w:tc>
      </w:tr>
      <w:tr w:rsidR="009F608B" w:rsidTr="00A9516B">
        <w:trPr>
          <w:trHeight w:val="90"/>
        </w:trPr>
        <w:tc>
          <w:tcPr>
            <w:tcW w:w="487" w:type="pct"/>
            <w:vMerge/>
            <w:vAlign w:val="center"/>
          </w:tcPr>
          <w:p w:rsidR="009F608B" w:rsidRDefault="009F608B" w:rsidP="00A9516B">
            <w:pPr>
              <w:jc w:val="center"/>
              <w:rPr>
                <w:rFonts w:ascii="新宋体" w:eastAsia="新宋体" w:hAnsi="新宋体"/>
                <w:color w:val="000000"/>
                <w:szCs w:val="21"/>
              </w:rPr>
            </w:pPr>
          </w:p>
        </w:tc>
        <w:tc>
          <w:tcPr>
            <w:tcW w:w="1173" w:type="pct"/>
            <w:vMerge/>
            <w:vAlign w:val="center"/>
          </w:tcPr>
          <w:p w:rsidR="009F608B" w:rsidRDefault="009F608B" w:rsidP="00A9516B">
            <w:pPr>
              <w:jc w:val="center"/>
              <w:rPr>
                <w:rFonts w:ascii="新宋体" w:eastAsia="新宋体" w:hAnsi="新宋体"/>
                <w:color w:val="000000"/>
                <w:szCs w:val="21"/>
              </w:rPr>
            </w:pPr>
          </w:p>
        </w:tc>
        <w:tc>
          <w:tcPr>
            <w:tcW w:w="2203" w:type="pct"/>
          </w:tcPr>
          <w:p w:rsidR="009F608B" w:rsidRDefault="009F608B" w:rsidP="00A9516B">
            <w:pPr>
              <w:widowControl/>
              <w:jc w:val="left"/>
              <w:textAlignment w:val="top"/>
              <w:rPr>
                <w:rFonts w:ascii="新宋体" w:eastAsia="新宋体" w:hAnsi="新宋体"/>
                <w:color w:val="000000"/>
                <w:szCs w:val="21"/>
              </w:rPr>
            </w:pPr>
            <w:r>
              <w:rPr>
                <w:rFonts w:ascii="新宋体" w:eastAsia="新宋体" w:hAnsi="新宋体" w:cs="新宋体"/>
                <w:color w:val="000000"/>
                <w:szCs w:val="21"/>
                <w:lang w:bidi="ar"/>
              </w:rPr>
              <w:t>法院设置</w:t>
            </w:r>
          </w:p>
        </w:tc>
        <w:tc>
          <w:tcPr>
            <w:tcW w:w="1137"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利旧</w:t>
            </w:r>
          </w:p>
        </w:tc>
      </w:tr>
      <w:tr w:rsidR="009F608B" w:rsidTr="00A9516B">
        <w:tc>
          <w:tcPr>
            <w:tcW w:w="487" w:type="pct"/>
            <w:vMerge w:val="restar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3</w:t>
            </w:r>
          </w:p>
        </w:tc>
        <w:tc>
          <w:tcPr>
            <w:tcW w:w="1173" w:type="pct"/>
            <w:vMerge w:val="restar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案件办理</w:t>
            </w:r>
          </w:p>
        </w:tc>
        <w:tc>
          <w:tcPr>
            <w:tcW w:w="2203" w:type="pct"/>
          </w:tcPr>
          <w:p w:rsidR="009F608B" w:rsidRDefault="009F608B" w:rsidP="00A9516B">
            <w:pPr>
              <w:widowControl/>
              <w:jc w:val="left"/>
              <w:textAlignment w:val="top"/>
              <w:rPr>
                <w:rFonts w:ascii="新宋体" w:eastAsia="新宋体" w:hAnsi="新宋体"/>
                <w:color w:val="000000"/>
                <w:szCs w:val="21"/>
              </w:rPr>
            </w:pPr>
            <w:r>
              <w:rPr>
                <w:rFonts w:ascii="新宋体" w:eastAsia="新宋体" w:hAnsi="新宋体" w:cs="新宋体"/>
                <w:color w:val="000000"/>
                <w:szCs w:val="21"/>
                <w:lang w:bidi="ar"/>
              </w:rPr>
              <w:t>案件办理</w:t>
            </w:r>
          </w:p>
        </w:tc>
        <w:tc>
          <w:tcPr>
            <w:tcW w:w="1137"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本期升级</w:t>
            </w:r>
          </w:p>
        </w:tc>
      </w:tr>
      <w:tr w:rsidR="009F608B" w:rsidTr="00A9516B">
        <w:tc>
          <w:tcPr>
            <w:tcW w:w="487" w:type="pct"/>
            <w:vMerge/>
            <w:vAlign w:val="center"/>
          </w:tcPr>
          <w:p w:rsidR="009F608B" w:rsidRDefault="009F608B" w:rsidP="00A9516B">
            <w:pPr>
              <w:jc w:val="center"/>
              <w:rPr>
                <w:rFonts w:ascii="新宋体" w:eastAsia="新宋体" w:hAnsi="新宋体"/>
                <w:color w:val="000000"/>
                <w:szCs w:val="21"/>
              </w:rPr>
            </w:pPr>
          </w:p>
        </w:tc>
        <w:tc>
          <w:tcPr>
            <w:tcW w:w="1173" w:type="pct"/>
            <w:vMerge/>
            <w:vAlign w:val="center"/>
          </w:tcPr>
          <w:p w:rsidR="009F608B" w:rsidRDefault="009F608B" w:rsidP="00A9516B">
            <w:pPr>
              <w:jc w:val="center"/>
              <w:rPr>
                <w:rFonts w:ascii="新宋体" w:eastAsia="新宋体" w:hAnsi="新宋体"/>
                <w:color w:val="000000"/>
                <w:szCs w:val="21"/>
              </w:rPr>
            </w:pPr>
          </w:p>
        </w:tc>
        <w:tc>
          <w:tcPr>
            <w:tcW w:w="2203" w:type="pct"/>
          </w:tcPr>
          <w:p w:rsidR="009F608B" w:rsidRDefault="009F608B" w:rsidP="00A9516B">
            <w:pPr>
              <w:widowControl/>
              <w:jc w:val="left"/>
              <w:textAlignment w:val="top"/>
              <w:rPr>
                <w:rFonts w:ascii="新宋体" w:eastAsia="新宋体" w:hAnsi="新宋体"/>
                <w:color w:val="000000"/>
                <w:szCs w:val="21"/>
              </w:rPr>
            </w:pPr>
            <w:r>
              <w:rPr>
                <w:rFonts w:ascii="新宋体" w:eastAsia="新宋体" w:hAnsi="新宋体" w:cs="新宋体"/>
                <w:color w:val="000000"/>
                <w:szCs w:val="21"/>
                <w:lang w:bidi="ar"/>
              </w:rPr>
              <w:t>司法建议管理</w:t>
            </w:r>
          </w:p>
        </w:tc>
        <w:tc>
          <w:tcPr>
            <w:tcW w:w="1137"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利旧</w:t>
            </w:r>
          </w:p>
        </w:tc>
      </w:tr>
      <w:tr w:rsidR="009F608B" w:rsidTr="00A9516B">
        <w:tc>
          <w:tcPr>
            <w:tcW w:w="487" w:type="pct"/>
            <w:vMerge/>
            <w:vAlign w:val="center"/>
          </w:tcPr>
          <w:p w:rsidR="009F608B" w:rsidRDefault="009F608B" w:rsidP="00A9516B">
            <w:pPr>
              <w:jc w:val="center"/>
              <w:rPr>
                <w:rFonts w:ascii="新宋体" w:eastAsia="新宋体" w:hAnsi="新宋体"/>
                <w:color w:val="000000"/>
                <w:szCs w:val="21"/>
              </w:rPr>
            </w:pPr>
          </w:p>
        </w:tc>
        <w:tc>
          <w:tcPr>
            <w:tcW w:w="1173" w:type="pct"/>
            <w:vMerge/>
            <w:vAlign w:val="center"/>
          </w:tcPr>
          <w:p w:rsidR="009F608B" w:rsidRDefault="009F608B" w:rsidP="00A9516B">
            <w:pPr>
              <w:jc w:val="center"/>
              <w:rPr>
                <w:rFonts w:ascii="新宋体" w:eastAsia="新宋体" w:hAnsi="新宋体"/>
                <w:color w:val="000000"/>
                <w:szCs w:val="21"/>
              </w:rPr>
            </w:pPr>
          </w:p>
        </w:tc>
        <w:tc>
          <w:tcPr>
            <w:tcW w:w="2203" w:type="pct"/>
          </w:tcPr>
          <w:p w:rsidR="009F608B" w:rsidRDefault="009F608B" w:rsidP="00A9516B">
            <w:pPr>
              <w:widowControl/>
              <w:jc w:val="left"/>
              <w:textAlignment w:val="top"/>
              <w:rPr>
                <w:rFonts w:ascii="新宋体" w:eastAsia="新宋体" w:hAnsi="新宋体"/>
                <w:szCs w:val="21"/>
              </w:rPr>
            </w:pPr>
            <w:r>
              <w:rPr>
                <w:rFonts w:ascii="新宋体" w:eastAsia="新宋体" w:hAnsi="新宋体" w:cs="新宋体"/>
                <w:color w:val="000000"/>
                <w:szCs w:val="21"/>
                <w:lang w:bidi="ar"/>
              </w:rPr>
              <w:t>案件自动查重</w:t>
            </w:r>
          </w:p>
        </w:tc>
        <w:tc>
          <w:tcPr>
            <w:tcW w:w="1137" w:type="pct"/>
            <w:vAlign w:val="center"/>
          </w:tcPr>
          <w:p w:rsidR="009F608B" w:rsidRDefault="009F608B" w:rsidP="00A9516B">
            <w:pPr>
              <w:widowControl/>
              <w:jc w:val="center"/>
              <w:textAlignment w:val="center"/>
              <w:rPr>
                <w:rFonts w:ascii="新宋体" w:eastAsia="新宋体" w:hAnsi="新宋体"/>
                <w:szCs w:val="21"/>
              </w:rPr>
            </w:pPr>
            <w:r>
              <w:rPr>
                <w:rFonts w:ascii="新宋体" w:eastAsia="新宋体" w:hAnsi="新宋体" w:cs="新宋体"/>
                <w:color w:val="000000"/>
                <w:szCs w:val="21"/>
                <w:lang w:bidi="ar"/>
              </w:rPr>
              <w:t>利旧</w:t>
            </w:r>
          </w:p>
        </w:tc>
      </w:tr>
      <w:tr w:rsidR="009F608B" w:rsidTr="00A9516B">
        <w:tc>
          <w:tcPr>
            <w:tcW w:w="487" w:type="pct"/>
            <w:vMerge/>
            <w:vAlign w:val="center"/>
          </w:tcPr>
          <w:p w:rsidR="009F608B" w:rsidRDefault="009F608B" w:rsidP="00A9516B">
            <w:pPr>
              <w:jc w:val="center"/>
              <w:rPr>
                <w:rFonts w:ascii="新宋体" w:eastAsia="新宋体" w:hAnsi="新宋体"/>
                <w:color w:val="000000"/>
                <w:szCs w:val="21"/>
              </w:rPr>
            </w:pPr>
          </w:p>
        </w:tc>
        <w:tc>
          <w:tcPr>
            <w:tcW w:w="1173" w:type="pct"/>
            <w:vMerge/>
            <w:vAlign w:val="center"/>
          </w:tcPr>
          <w:p w:rsidR="009F608B" w:rsidRDefault="009F608B" w:rsidP="00A9516B">
            <w:pPr>
              <w:jc w:val="center"/>
              <w:rPr>
                <w:rFonts w:ascii="新宋体" w:eastAsia="新宋体" w:hAnsi="新宋体"/>
                <w:color w:val="000000"/>
                <w:szCs w:val="21"/>
              </w:rPr>
            </w:pPr>
          </w:p>
        </w:tc>
        <w:tc>
          <w:tcPr>
            <w:tcW w:w="2203" w:type="pct"/>
          </w:tcPr>
          <w:p w:rsidR="009F608B" w:rsidRDefault="009F608B" w:rsidP="00A9516B">
            <w:pPr>
              <w:widowControl/>
              <w:jc w:val="left"/>
              <w:textAlignment w:val="top"/>
              <w:rPr>
                <w:rFonts w:ascii="新宋体" w:eastAsia="新宋体" w:hAnsi="新宋体"/>
                <w:color w:val="000000"/>
                <w:szCs w:val="21"/>
              </w:rPr>
            </w:pPr>
            <w:r>
              <w:rPr>
                <w:rFonts w:ascii="新宋体" w:eastAsia="新宋体" w:hAnsi="新宋体" w:cs="新宋体"/>
                <w:color w:val="000000"/>
                <w:szCs w:val="21"/>
                <w:lang w:bidi="ar"/>
              </w:rPr>
              <w:t>司法建议查询</w:t>
            </w:r>
          </w:p>
        </w:tc>
        <w:tc>
          <w:tcPr>
            <w:tcW w:w="1137"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利旧</w:t>
            </w:r>
          </w:p>
        </w:tc>
      </w:tr>
      <w:tr w:rsidR="009F608B" w:rsidTr="00A9516B">
        <w:tc>
          <w:tcPr>
            <w:tcW w:w="487"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4</w:t>
            </w:r>
          </w:p>
        </w:tc>
        <w:tc>
          <w:tcPr>
            <w:tcW w:w="1173"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资料管理</w:t>
            </w:r>
          </w:p>
        </w:tc>
        <w:tc>
          <w:tcPr>
            <w:tcW w:w="2203" w:type="pct"/>
          </w:tcPr>
          <w:p w:rsidR="009F608B" w:rsidRDefault="009F608B" w:rsidP="00A9516B">
            <w:pPr>
              <w:widowControl/>
              <w:jc w:val="left"/>
              <w:textAlignment w:val="top"/>
              <w:rPr>
                <w:rFonts w:ascii="新宋体" w:eastAsia="新宋体" w:hAnsi="新宋体"/>
                <w:color w:val="000000"/>
                <w:szCs w:val="21"/>
              </w:rPr>
            </w:pPr>
            <w:r>
              <w:rPr>
                <w:rFonts w:ascii="新宋体" w:eastAsia="新宋体" w:hAnsi="新宋体" w:cs="新宋体"/>
                <w:color w:val="000000"/>
                <w:szCs w:val="21"/>
                <w:lang w:bidi="ar"/>
              </w:rPr>
              <w:t>通用文书模板</w:t>
            </w:r>
          </w:p>
        </w:tc>
        <w:tc>
          <w:tcPr>
            <w:tcW w:w="1137"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利旧</w:t>
            </w:r>
          </w:p>
        </w:tc>
      </w:tr>
      <w:tr w:rsidR="009F608B" w:rsidTr="00A9516B">
        <w:tc>
          <w:tcPr>
            <w:tcW w:w="487" w:type="pct"/>
            <w:vMerge w:val="restar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5</w:t>
            </w:r>
          </w:p>
        </w:tc>
        <w:tc>
          <w:tcPr>
            <w:tcW w:w="1173" w:type="pct"/>
            <w:vMerge w:val="restar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数据报送</w:t>
            </w:r>
          </w:p>
        </w:tc>
        <w:tc>
          <w:tcPr>
            <w:tcW w:w="2203" w:type="pct"/>
          </w:tcPr>
          <w:p w:rsidR="009F608B" w:rsidRDefault="009F608B" w:rsidP="00A9516B">
            <w:pPr>
              <w:widowControl/>
              <w:jc w:val="left"/>
              <w:textAlignment w:val="top"/>
              <w:rPr>
                <w:rFonts w:ascii="新宋体" w:eastAsia="新宋体" w:hAnsi="新宋体"/>
                <w:color w:val="000000"/>
                <w:szCs w:val="21"/>
              </w:rPr>
            </w:pPr>
            <w:r>
              <w:rPr>
                <w:rFonts w:ascii="新宋体" w:eastAsia="新宋体" w:hAnsi="新宋体" w:cs="新宋体"/>
                <w:color w:val="000000"/>
                <w:szCs w:val="21"/>
                <w:lang w:bidi="ar"/>
              </w:rPr>
              <w:t>案件填报</w:t>
            </w:r>
          </w:p>
        </w:tc>
        <w:tc>
          <w:tcPr>
            <w:tcW w:w="1137"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利旧</w:t>
            </w:r>
          </w:p>
        </w:tc>
      </w:tr>
      <w:tr w:rsidR="009F608B" w:rsidTr="00A9516B">
        <w:tc>
          <w:tcPr>
            <w:tcW w:w="487" w:type="pct"/>
            <w:vMerge/>
            <w:vAlign w:val="center"/>
          </w:tcPr>
          <w:p w:rsidR="009F608B" w:rsidRDefault="009F608B" w:rsidP="00A9516B">
            <w:pPr>
              <w:jc w:val="center"/>
              <w:rPr>
                <w:rFonts w:ascii="新宋体" w:eastAsia="新宋体" w:hAnsi="新宋体"/>
                <w:color w:val="000000"/>
                <w:szCs w:val="21"/>
              </w:rPr>
            </w:pPr>
          </w:p>
        </w:tc>
        <w:tc>
          <w:tcPr>
            <w:tcW w:w="1173" w:type="pct"/>
            <w:vMerge/>
            <w:vAlign w:val="center"/>
          </w:tcPr>
          <w:p w:rsidR="009F608B" w:rsidRDefault="009F608B" w:rsidP="00A9516B">
            <w:pPr>
              <w:jc w:val="center"/>
              <w:rPr>
                <w:rFonts w:ascii="新宋体" w:eastAsia="新宋体" w:hAnsi="新宋体"/>
                <w:color w:val="000000"/>
                <w:szCs w:val="21"/>
              </w:rPr>
            </w:pPr>
          </w:p>
        </w:tc>
        <w:tc>
          <w:tcPr>
            <w:tcW w:w="2203" w:type="pct"/>
          </w:tcPr>
          <w:p w:rsidR="009F608B" w:rsidRDefault="009F608B" w:rsidP="00A9516B">
            <w:pPr>
              <w:widowControl/>
              <w:jc w:val="left"/>
              <w:textAlignment w:val="top"/>
              <w:rPr>
                <w:rFonts w:ascii="新宋体" w:eastAsia="新宋体" w:hAnsi="新宋体"/>
                <w:color w:val="000000"/>
                <w:szCs w:val="21"/>
              </w:rPr>
            </w:pPr>
            <w:r>
              <w:rPr>
                <w:rFonts w:ascii="新宋体" w:eastAsia="新宋体" w:hAnsi="新宋体" w:cs="新宋体"/>
                <w:color w:val="000000"/>
                <w:szCs w:val="21"/>
                <w:lang w:bidi="ar"/>
              </w:rPr>
              <w:t>数据统计</w:t>
            </w:r>
          </w:p>
        </w:tc>
        <w:tc>
          <w:tcPr>
            <w:tcW w:w="1137"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本期升级</w:t>
            </w:r>
          </w:p>
        </w:tc>
      </w:tr>
      <w:tr w:rsidR="009F608B" w:rsidTr="00A9516B">
        <w:tc>
          <w:tcPr>
            <w:tcW w:w="487" w:type="pct"/>
            <w:vMerge/>
            <w:vAlign w:val="center"/>
          </w:tcPr>
          <w:p w:rsidR="009F608B" w:rsidRDefault="009F608B" w:rsidP="00A9516B">
            <w:pPr>
              <w:jc w:val="center"/>
              <w:rPr>
                <w:rFonts w:ascii="新宋体" w:eastAsia="新宋体" w:hAnsi="新宋体"/>
                <w:color w:val="000000"/>
                <w:szCs w:val="21"/>
              </w:rPr>
            </w:pPr>
          </w:p>
        </w:tc>
        <w:tc>
          <w:tcPr>
            <w:tcW w:w="1173" w:type="pct"/>
            <w:vMerge/>
            <w:vAlign w:val="center"/>
          </w:tcPr>
          <w:p w:rsidR="009F608B" w:rsidRDefault="009F608B" w:rsidP="00A9516B">
            <w:pPr>
              <w:jc w:val="center"/>
              <w:rPr>
                <w:rFonts w:ascii="新宋体" w:eastAsia="新宋体" w:hAnsi="新宋体"/>
                <w:color w:val="000000"/>
                <w:szCs w:val="21"/>
              </w:rPr>
            </w:pPr>
          </w:p>
        </w:tc>
        <w:tc>
          <w:tcPr>
            <w:tcW w:w="2203" w:type="pct"/>
          </w:tcPr>
          <w:p w:rsidR="009F608B" w:rsidRDefault="009F608B" w:rsidP="00A9516B">
            <w:pPr>
              <w:widowControl/>
              <w:jc w:val="left"/>
              <w:textAlignment w:val="top"/>
              <w:rPr>
                <w:rFonts w:ascii="新宋体" w:eastAsia="新宋体" w:hAnsi="新宋体"/>
                <w:color w:val="000000"/>
                <w:szCs w:val="21"/>
              </w:rPr>
            </w:pPr>
            <w:r>
              <w:rPr>
                <w:rFonts w:ascii="新宋体" w:eastAsia="新宋体" w:hAnsi="新宋体" w:cs="新宋体"/>
                <w:color w:val="000000"/>
                <w:szCs w:val="21"/>
                <w:lang w:bidi="ar"/>
              </w:rPr>
              <w:t>数据汇总</w:t>
            </w:r>
          </w:p>
        </w:tc>
        <w:tc>
          <w:tcPr>
            <w:tcW w:w="1137"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本期升级</w:t>
            </w:r>
          </w:p>
        </w:tc>
      </w:tr>
      <w:tr w:rsidR="009F608B" w:rsidTr="00A9516B">
        <w:tc>
          <w:tcPr>
            <w:tcW w:w="487" w:type="pct"/>
            <w:vMerge w:val="restar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6</w:t>
            </w:r>
          </w:p>
        </w:tc>
        <w:tc>
          <w:tcPr>
            <w:tcW w:w="1173" w:type="pct"/>
            <w:vMerge w:val="restar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综合分析</w:t>
            </w:r>
          </w:p>
        </w:tc>
        <w:tc>
          <w:tcPr>
            <w:tcW w:w="2203" w:type="pct"/>
          </w:tcPr>
          <w:p w:rsidR="009F608B" w:rsidRDefault="009F608B" w:rsidP="00A9516B">
            <w:pPr>
              <w:widowControl/>
              <w:jc w:val="left"/>
              <w:textAlignment w:val="top"/>
              <w:rPr>
                <w:rFonts w:ascii="新宋体" w:eastAsia="新宋体" w:hAnsi="新宋体"/>
                <w:color w:val="000000"/>
                <w:szCs w:val="21"/>
              </w:rPr>
            </w:pPr>
            <w:r>
              <w:rPr>
                <w:rFonts w:ascii="新宋体" w:eastAsia="新宋体" w:hAnsi="新宋体" w:cs="新宋体"/>
                <w:color w:val="000000"/>
                <w:szCs w:val="21"/>
                <w:lang w:bidi="ar"/>
              </w:rPr>
              <w:t>应诉案件统计</w:t>
            </w:r>
          </w:p>
        </w:tc>
        <w:tc>
          <w:tcPr>
            <w:tcW w:w="1137"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利旧</w:t>
            </w:r>
          </w:p>
        </w:tc>
      </w:tr>
      <w:tr w:rsidR="009F608B" w:rsidTr="00A9516B">
        <w:tc>
          <w:tcPr>
            <w:tcW w:w="487" w:type="pct"/>
            <w:vMerge/>
            <w:vAlign w:val="center"/>
          </w:tcPr>
          <w:p w:rsidR="009F608B" w:rsidRDefault="009F608B" w:rsidP="00A9516B">
            <w:pPr>
              <w:jc w:val="center"/>
              <w:rPr>
                <w:rFonts w:ascii="新宋体" w:eastAsia="新宋体" w:hAnsi="新宋体"/>
                <w:color w:val="000000"/>
                <w:szCs w:val="21"/>
              </w:rPr>
            </w:pPr>
          </w:p>
        </w:tc>
        <w:tc>
          <w:tcPr>
            <w:tcW w:w="1173" w:type="pct"/>
            <w:vMerge/>
            <w:vAlign w:val="center"/>
          </w:tcPr>
          <w:p w:rsidR="009F608B" w:rsidRDefault="009F608B" w:rsidP="00A9516B">
            <w:pPr>
              <w:jc w:val="center"/>
              <w:rPr>
                <w:rFonts w:ascii="新宋体" w:eastAsia="新宋体" w:hAnsi="新宋体"/>
                <w:color w:val="000000"/>
                <w:szCs w:val="21"/>
              </w:rPr>
            </w:pPr>
          </w:p>
        </w:tc>
        <w:tc>
          <w:tcPr>
            <w:tcW w:w="2203" w:type="pct"/>
          </w:tcPr>
          <w:p w:rsidR="009F608B" w:rsidRDefault="009F608B" w:rsidP="00A9516B">
            <w:pPr>
              <w:widowControl/>
              <w:jc w:val="left"/>
              <w:textAlignment w:val="top"/>
              <w:rPr>
                <w:rFonts w:ascii="新宋体" w:eastAsia="新宋体" w:hAnsi="新宋体"/>
                <w:color w:val="000000"/>
                <w:szCs w:val="21"/>
              </w:rPr>
            </w:pPr>
            <w:r>
              <w:rPr>
                <w:rFonts w:ascii="新宋体" w:eastAsia="新宋体" w:hAnsi="新宋体" w:cs="新宋体"/>
                <w:color w:val="000000"/>
                <w:szCs w:val="21"/>
                <w:lang w:bidi="ar"/>
              </w:rPr>
              <w:t>应诉机关统计</w:t>
            </w:r>
          </w:p>
        </w:tc>
        <w:tc>
          <w:tcPr>
            <w:tcW w:w="1137"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利旧</w:t>
            </w:r>
          </w:p>
        </w:tc>
      </w:tr>
      <w:tr w:rsidR="009F608B" w:rsidTr="00A9516B">
        <w:tc>
          <w:tcPr>
            <w:tcW w:w="487" w:type="pct"/>
            <w:vMerge/>
            <w:vAlign w:val="center"/>
          </w:tcPr>
          <w:p w:rsidR="009F608B" w:rsidRDefault="009F608B" w:rsidP="00A9516B">
            <w:pPr>
              <w:jc w:val="center"/>
              <w:rPr>
                <w:rFonts w:ascii="新宋体" w:eastAsia="新宋体" w:hAnsi="新宋体"/>
                <w:color w:val="000000"/>
                <w:szCs w:val="21"/>
              </w:rPr>
            </w:pPr>
          </w:p>
        </w:tc>
        <w:tc>
          <w:tcPr>
            <w:tcW w:w="1173" w:type="pct"/>
            <w:vMerge/>
            <w:vAlign w:val="center"/>
          </w:tcPr>
          <w:p w:rsidR="009F608B" w:rsidRDefault="009F608B" w:rsidP="00A9516B">
            <w:pPr>
              <w:jc w:val="center"/>
              <w:rPr>
                <w:rFonts w:ascii="新宋体" w:eastAsia="新宋体" w:hAnsi="新宋体"/>
                <w:color w:val="000000"/>
                <w:szCs w:val="21"/>
              </w:rPr>
            </w:pPr>
          </w:p>
        </w:tc>
        <w:tc>
          <w:tcPr>
            <w:tcW w:w="2203" w:type="pct"/>
          </w:tcPr>
          <w:p w:rsidR="009F608B" w:rsidRDefault="009F608B" w:rsidP="00A9516B">
            <w:pPr>
              <w:widowControl/>
              <w:jc w:val="left"/>
              <w:textAlignment w:val="top"/>
              <w:rPr>
                <w:rFonts w:ascii="新宋体" w:eastAsia="新宋体" w:hAnsi="新宋体"/>
                <w:color w:val="000000"/>
                <w:szCs w:val="21"/>
              </w:rPr>
            </w:pPr>
            <w:r>
              <w:rPr>
                <w:rFonts w:ascii="新宋体" w:eastAsia="新宋体" w:hAnsi="新宋体" w:cs="新宋体"/>
                <w:color w:val="000000"/>
                <w:szCs w:val="21"/>
                <w:lang w:bidi="ar"/>
              </w:rPr>
              <w:t>应诉人员统计</w:t>
            </w:r>
          </w:p>
        </w:tc>
        <w:tc>
          <w:tcPr>
            <w:tcW w:w="1137"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利旧</w:t>
            </w:r>
          </w:p>
        </w:tc>
      </w:tr>
      <w:tr w:rsidR="009F608B" w:rsidTr="00A9516B">
        <w:tc>
          <w:tcPr>
            <w:tcW w:w="487" w:type="pct"/>
            <w:vMerge w:val="restar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7</w:t>
            </w:r>
          </w:p>
        </w:tc>
        <w:tc>
          <w:tcPr>
            <w:tcW w:w="1173" w:type="pct"/>
            <w:vMerge w:val="restar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工作台</w:t>
            </w:r>
          </w:p>
        </w:tc>
        <w:tc>
          <w:tcPr>
            <w:tcW w:w="2203" w:type="pct"/>
          </w:tcPr>
          <w:p w:rsidR="009F608B" w:rsidRDefault="009F608B" w:rsidP="00A9516B">
            <w:pPr>
              <w:widowControl/>
              <w:jc w:val="left"/>
              <w:textAlignment w:val="top"/>
              <w:rPr>
                <w:rFonts w:ascii="新宋体" w:eastAsia="新宋体" w:hAnsi="新宋体"/>
                <w:color w:val="000000"/>
                <w:szCs w:val="21"/>
              </w:rPr>
            </w:pPr>
            <w:r>
              <w:rPr>
                <w:rFonts w:ascii="新宋体" w:eastAsia="新宋体" w:hAnsi="新宋体" w:cs="新宋体"/>
                <w:color w:val="000000"/>
                <w:szCs w:val="21"/>
                <w:lang w:bidi="ar"/>
              </w:rPr>
              <w:t>预警提醒</w:t>
            </w:r>
          </w:p>
        </w:tc>
        <w:tc>
          <w:tcPr>
            <w:tcW w:w="1137"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利旧</w:t>
            </w:r>
          </w:p>
        </w:tc>
      </w:tr>
      <w:tr w:rsidR="009F608B" w:rsidTr="00A9516B">
        <w:tc>
          <w:tcPr>
            <w:tcW w:w="487" w:type="pct"/>
            <w:vMerge/>
            <w:vAlign w:val="center"/>
          </w:tcPr>
          <w:p w:rsidR="009F608B" w:rsidRDefault="009F608B" w:rsidP="00A9516B">
            <w:pPr>
              <w:jc w:val="center"/>
              <w:rPr>
                <w:rFonts w:ascii="新宋体" w:eastAsia="新宋体" w:hAnsi="新宋体"/>
                <w:color w:val="000000"/>
                <w:szCs w:val="21"/>
              </w:rPr>
            </w:pPr>
          </w:p>
        </w:tc>
        <w:tc>
          <w:tcPr>
            <w:tcW w:w="1173" w:type="pct"/>
            <w:vMerge/>
            <w:vAlign w:val="center"/>
          </w:tcPr>
          <w:p w:rsidR="009F608B" w:rsidRDefault="009F608B" w:rsidP="00A9516B">
            <w:pPr>
              <w:jc w:val="center"/>
              <w:rPr>
                <w:rFonts w:ascii="新宋体" w:eastAsia="新宋体" w:hAnsi="新宋体"/>
                <w:color w:val="000000"/>
                <w:szCs w:val="21"/>
              </w:rPr>
            </w:pPr>
          </w:p>
        </w:tc>
        <w:tc>
          <w:tcPr>
            <w:tcW w:w="2203" w:type="pct"/>
          </w:tcPr>
          <w:p w:rsidR="009F608B" w:rsidRDefault="009F608B" w:rsidP="00A9516B">
            <w:pPr>
              <w:widowControl/>
              <w:jc w:val="left"/>
              <w:textAlignment w:val="top"/>
              <w:rPr>
                <w:rFonts w:ascii="新宋体" w:eastAsia="新宋体" w:hAnsi="新宋体"/>
                <w:color w:val="000000"/>
                <w:szCs w:val="21"/>
              </w:rPr>
            </w:pPr>
            <w:r>
              <w:rPr>
                <w:rFonts w:ascii="新宋体" w:eastAsia="新宋体" w:hAnsi="新宋体" w:cs="新宋体"/>
                <w:color w:val="000000"/>
                <w:szCs w:val="21"/>
                <w:lang w:bidi="ar"/>
              </w:rPr>
              <w:t>快捷入口</w:t>
            </w:r>
          </w:p>
        </w:tc>
        <w:tc>
          <w:tcPr>
            <w:tcW w:w="1137"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利旧</w:t>
            </w:r>
          </w:p>
        </w:tc>
      </w:tr>
      <w:tr w:rsidR="009F608B" w:rsidTr="00A9516B">
        <w:tc>
          <w:tcPr>
            <w:tcW w:w="487" w:type="pct"/>
            <w:vMerge/>
            <w:vAlign w:val="center"/>
          </w:tcPr>
          <w:p w:rsidR="009F608B" w:rsidRDefault="009F608B" w:rsidP="00A9516B">
            <w:pPr>
              <w:jc w:val="center"/>
              <w:rPr>
                <w:rFonts w:ascii="新宋体" w:eastAsia="新宋体" w:hAnsi="新宋体"/>
                <w:color w:val="000000"/>
                <w:szCs w:val="21"/>
              </w:rPr>
            </w:pPr>
          </w:p>
        </w:tc>
        <w:tc>
          <w:tcPr>
            <w:tcW w:w="1173" w:type="pct"/>
            <w:vMerge/>
            <w:vAlign w:val="center"/>
          </w:tcPr>
          <w:p w:rsidR="009F608B" w:rsidRDefault="009F608B" w:rsidP="00A9516B">
            <w:pPr>
              <w:jc w:val="center"/>
              <w:rPr>
                <w:rFonts w:ascii="新宋体" w:eastAsia="新宋体" w:hAnsi="新宋体"/>
                <w:color w:val="000000"/>
                <w:szCs w:val="21"/>
              </w:rPr>
            </w:pPr>
          </w:p>
        </w:tc>
        <w:tc>
          <w:tcPr>
            <w:tcW w:w="2203" w:type="pct"/>
          </w:tcPr>
          <w:p w:rsidR="009F608B" w:rsidRDefault="009F608B" w:rsidP="00A9516B">
            <w:pPr>
              <w:widowControl/>
              <w:jc w:val="left"/>
              <w:textAlignment w:val="top"/>
              <w:rPr>
                <w:rFonts w:ascii="新宋体" w:eastAsia="新宋体" w:hAnsi="新宋体"/>
                <w:color w:val="000000"/>
                <w:szCs w:val="21"/>
              </w:rPr>
            </w:pPr>
            <w:r>
              <w:rPr>
                <w:rFonts w:ascii="新宋体" w:eastAsia="新宋体" w:hAnsi="新宋体" w:cs="新宋体"/>
                <w:color w:val="000000"/>
                <w:szCs w:val="21"/>
                <w:lang w:bidi="ar"/>
              </w:rPr>
              <w:t>案件办理情况</w:t>
            </w:r>
          </w:p>
        </w:tc>
        <w:tc>
          <w:tcPr>
            <w:tcW w:w="1137"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利旧</w:t>
            </w:r>
          </w:p>
        </w:tc>
      </w:tr>
      <w:tr w:rsidR="009F608B" w:rsidTr="00A9516B">
        <w:tc>
          <w:tcPr>
            <w:tcW w:w="487" w:type="pct"/>
            <w:vMerge/>
            <w:vAlign w:val="center"/>
          </w:tcPr>
          <w:p w:rsidR="009F608B" w:rsidRDefault="009F608B" w:rsidP="00A9516B">
            <w:pPr>
              <w:jc w:val="center"/>
              <w:rPr>
                <w:rFonts w:ascii="新宋体" w:eastAsia="新宋体" w:hAnsi="新宋体"/>
                <w:color w:val="000000"/>
                <w:szCs w:val="21"/>
              </w:rPr>
            </w:pPr>
          </w:p>
        </w:tc>
        <w:tc>
          <w:tcPr>
            <w:tcW w:w="1173" w:type="pct"/>
            <w:vMerge/>
            <w:vAlign w:val="center"/>
          </w:tcPr>
          <w:p w:rsidR="009F608B" w:rsidRDefault="009F608B" w:rsidP="00A9516B">
            <w:pPr>
              <w:jc w:val="center"/>
              <w:rPr>
                <w:rFonts w:ascii="新宋体" w:eastAsia="新宋体" w:hAnsi="新宋体"/>
                <w:color w:val="000000"/>
                <w:szCs w:val="21"/>
              </w:rPr>
            </w:pPr>
          </w:p>
        </w:tc>
        <w:tc>
          <w:tcPr>
            <w:tcW w:w="2203" w:type="pct"/>
          </w:tcPr>
          <w:p w:rsidR="009F608B" w:rsidRDefault="009F608B" w:rsidP="00A9516B">
            <w:pPr>
              <w:widowControl/>
              <w:jc w:val="left"/>
              <w:textAlignment w:val="top"/>
              <w:rPr>
                <w:rFonts w:ascii="新宋体" w:eastAsia="新宋体" w:hAnsi="新宋体"/>
                <w:color w:val="000000"/>
                <w:szCs w:val="21"/>
              </w:rPr>
            </w:pPr>
            <w:r>
              <w:rPr>
                <w:rFonts w:ascii="新宋体" w:eastAsia="新宋体" w:hAnsi="新宋体" w:cs="新宋体"/>
                <w:color w:val="000000"/>
                <w:szCs w:val="21"/>
                <w:lang w:bidi="ar"/>
              </w:rPr>
              <w:t>办理进展统计</w:t>
            </w:r>
          </w:p>
        </w:tc>
        <w:tc>
          <w:tcPr>
            <w:tcW w:w="1137"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利旧</w:t>
            </w:r>
          </w:p>
        </w:tc>
      </w:tr>
      <w:tr w:rsidR="009F608B" w:rsidTr="00A9516B">
        <w:tc>
          <w:tcPr>
            <w:tcW w:w="487" w:type="pct"/>
            <w:vMerge/>
            <w:vAlign w:val="center"/>
          </w:tcPr>
          <w:p w:rsidR="009F608B" w:rsidRDefault="009F608B" w:rsidP="00A9516B">
            <w:pPr>
              <w:jc w:val="center"/>
              <w:rPr>
                <w:rFonts w:ascii="新宋体" w:eastAsia="新宋体" w:hAnsi="新宋体"/>
                <w:color w:val="000000"/>
                <w:szCs w:val="21"/>
              </w:rPr>
            </w:pPr>
          </w:p>
        </w:tc>
        <w:tc>
          <w:tcPr>
            <w:tcW w:w="1173" w:type="pct"/>
            <w:vMerge/>
            <w:vAlign w:val="center"/>
          </w:tcPr>
          <w:p w:rsidR="009F608B" w:rsidRDefault="009F608B" w:rsidP="00A9516B">
            <w:pPr>
              <w:jc w:val="center"/>
              <w:rPr>
                <w:rFonts w:ascii="新宋体" w:eastAsia="新宋体" w:hAnsi="新宋体"/>
                <w:color w:val="000000"/>
                <w:szCs w:val="21"/>
              </w:rPr>
            </w:pPr>
          </w:p>
        </w:tc>
        <w:tc>
          <w:tcPr>
            <w:tcW w:w="2203" w:type="pct"/>
          </w:tcPr>
          <w:p w:rsidR="009F608B" w:rsidRDefault="009F608B" w:rsidP="00A9516B">
            <w:pPr>
              <w:widowControl/>
              <w:jc w:val="left"/>
              <w:textAlignment w:val="top"/>
              <w:rPr>
                <w:rFonts w:ascii="新宋体" w:eastAsia="新宋体" w:hAnsi="新宋体"/>
                <w:color w:val="000000"/>
                <w:szCs w:val="21"/>
              </w:rPr>
            </w:pPr>
            <w:r>
              <w:rPr>
                <w:rFonts w:ascii="新宋体" w:eastAsia="新宋体" w:hAnsi="新宋体" w:cs="新宋体"/>
                <w:color w:val="000000"/>
                <w:szCs w:val="21"/>
                <w:lang w:bidi="ar"/>
              </w:rPr>
              <w:t>本年度结案情况统计</w:t>
            </w:r>
          </w:p>
        </w:tc>
        <w:tc>
          <w:tcPr>
            <w:tcW w:w="1137"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利旧</w:t>
            </w:r>
          </w:p>
        </w:tc>
      </w:tr>
      <w:tr w:rsidR="009F608B" w:rsidTr="00A9516B">
        <w:tc>
          <w:tcPr>
            <w:tcW w:w="487"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8</w:t>
            </w:r>
          </w:p>
        </w:tc>
        <w:tc>
          <w:tcPr>
            <w:tcW w:w="1173"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综合查询</w:t>
            </w:r>
          </w:p>
        </w:tc>
        <w:tc>
          <w:tcPr>
            <w:tcW w:w="2203" w:type="pct"/>
          </w:tcPr>
          <w:p w:rsidR="009F608B" w:rsidRDefault="009F608B" w:rsidP="00A9516B">
            <w:pPr>
              <w:widowControl/>
              <w:jc w:val="left"/>
              <w:textAlignment w:val="top"/>
              <w:rPr>
                <w:rFonts w:ascii="新宋体" w:eastAsia="新宋体" w:hAnsi="新宋体"/>
                <w:color w:val="000000"/>
                <w:szCs w:val="21"/>
              </w:rPr>
            </w:pPr>
            <w:r>
              <w:rPr>
                <w:rFonts w:ascii="新宋体" w:eastAsia="新宋体" w:hAnsi="新宋体" w:cs="新宋体"/>
                <w:color w:val="000000"/>
                <w:szCs w:val="21"/>
                <w:lang w:bidi="ar"/>
              </w:rPr>
              <w:t>综合查询</w:t>
            </w:r>
          </w:p>
        </w:tc>
        <w:tc>
          <w:tcPr>
            <w:tcW w:w="1137"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本期升级</w:t>
            </w:r>
          </w:p>
        </w:tc>
      </w:tr>
      <w:tr w:rsidR="009F608B" w:rsidTr="00A9516B">
        <w:tc>
          <w:tcPr>
            <w:tcW w:w="487"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9</w:t>
            </w:r>
          </w:p>
        </w:tc>
        <w:tc>
          <w:tcPr>
            <w:tcW w:w="1173"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典型案例库</w:t>
            </w:r>
          </w:p>
        </w:tc>
        <w:tc>
          <w:tcPr>
            <w:tcW w:w="2203" w:type="pct"/>
          </w:tcPr>
          <w:p w:rsidR="009F608B" w:rsidRDefault="009F608B" w:rsidP="00A9516B">
            <w:pPr>
              <w:widowControl/>
              <w:jc w:val="left"/>
              <w:textAlignment w:val="top"/>
              <w:rPr>
                <w:rFonts w:ascii="新宋体" w:eastAsia="新宋体" w:hAnsi="新宋体"/>
                <w:color w:val="000000"/>
                <w:szCs w:val="21"/>
              </w:rPr>
            </w:pPr>
            <w:r>
              <w:rPr>
                <w:rFonts w:ascii="新宋体" w:eastAsia="新宋体" w:hAnsi="新宋体" w:cs="新宋体"/>
                <w:color w:val="000000"/>
                <w:szCs w:val="21"/>
                <w:lang w:bidi="ar"/>
              </w:rPr>
              <w:t>典型案例库</w:t>
            </w:r>
          </w:p>
        </w:tc>
        <w:tc>
          <w:tcPr>
            <w:tcW w:w="1137"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利旧</w:t>
            </w:r>
          </w:p>
        </w:tc>
      </w:tr>
      <w:tr w:rsidR="009F608B" w:rsidTr="00A9516B">
        <w:tc>
          <w:tcPr>
            <w:tcW w:w="487" w:type="pct"/>
            <w:vMerge w:val="restar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10</w:t>
            </w:r>
          </w:p>
        </w:tc>
        <w:tc>
          <w:tcPr>
            <w:tcW w:w="1173" w:type="pct"/>
            <w:vMerge w:val="restar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双报告管理系统</w:t>
            </w:r>
          </w:p>
        </w:tc>
        <w:tc>
          <w:tcPr>
            <w:tcW w:w="2203" w:type="pct"/>
          </w:tcPr>
          <w:p w:rsidR="009F608B" w:rsidRDefault="009F608B" w:rsidP="00A9516B">
            <w:pPr>
              <w:widowControl/>
              <w:jc w:val="left"/>
              <w:textAlignment w:val="top"/>
              <w:rPr>
                <w:rFonts w:ascii="新宋体" w:eastAsia="新宋体" w:hAnsi="新宋体"/>
                <w:color w:val="000000"/>
                <w:szCs w:val="21"/>
              </w:rPr>
            </w:pPr>
            <w:r>
              <w:rPr>
                <w:rFonts w:ascii="新宋体" w:eastAsia="新宋体" w:hAnsi="新宋体" w:cs="新宋体"/>
                <w:color w:val="000000"/>
                <w:szCs w:val="21"/>
                <w:lang w:bidi="ar"/>
              </w:rPr>
              <w:t>负责人出庭应诉报告管理系统</w:t>
            </w:r>
          </w:p>
        </w:tc>
        <w:tc>
          <w:tcPr>
            <w:tcW w:w="1137"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新建</w:t>
            </w:r>
          </w:p>
        </w:tc>
      </w:tr>
      <w:tr w:rsidR="009F608B" w:rsidTr="00A9516B">
        <w:tc>
          <w:tcPr>
            <w:tcW w:w="487" w:type="pct"/>
            <w:vMerge/>
            <w:vAlign w:val="center"/>
          </w:tcPr>
          <w:p w:rsidR="009F608B" w:rsidRDefault="009F608B" w:rsidP="00A9516B">
            <w:pPr>
              <w:jc w:val="center"/>
              <w:rPr>
                <w:rFonts w:ascii="新宋体" w:eastAsia="新宋体" w:hAnsi="新宋体"/>
                <w:color w:val="000000"/>
                <w:szCs w:val="21"/>
              </w:rPr>
            </w:pPr>
          </w:p>
        </w:tc>
        <w:tc>
          <w:tcPr>
            <w:tcW w:w="1173" w:type="pct"/>
            <w:vMerge/>
            <w:vAlign w:val="center"/>
          </w:tcPr>
          <w:p w:rsidR="009F608B" w:rsidRDefault="009F608B" w:rsidP="00A9516B">
            <w:pPr>
              <w:jc w:val="center"/>
              <w:rPr>
                <w:rFonts w:ascii="新宋体" w:eastAsia="新宋体" w:hAnsi="新宋体"/>
                <w:color w:val="000000"/>
                <w:szCs w:val="21"/>
              </w:rPr>
            </w:pPr>
          </w:p>
        </w:tc>
        <w:tc>
          <w:tcPr>
            <w:tcW w:w="2203" w:type="pct"/>
          </w:tcPr>
          <w:p w:rsidR="009F608B" w:rsidRDefault="009F608B" w:rsidP="00A9516B">
            <w:pPr>
              <w:widowControl/>
              <w:jc w:val="left"/>
              <w:textAlignment w:val="top"/>
              <w:rPr>
                <w:rFonts w:ascii="新宋体" w:eastAsia="新宋体" w:hAnsi="新宋体"/>
                <w:szCs w:val="21"/>
              </w:rPr>
            </w:pPr>
            <w:r>
              <w:rPr>
                <w:rFonts w:ascii="新宋体" w:eastAsia="新宋体" w:hAnsi="新宋体" w:cs="新宋体"/>
                <w:color w:val="000000"/>
                <w:szCs w:val="21"/>
                <w:lang w:bidi="ar"/>
              </w:rPr>
              <w:t>败诉报告备案管理系统</w:t>
            </w:r>
          </w:p>
        </w:tc>
        <w:tc>
          <w:tcPr>
            <w:tcW w:w="1137"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新建</w:t>
            </w:r>
          </w:p>
        </w:tc>
      </w:tr>
      <w:tr w:rsidR="009F608B" w:rsidTr="00A9516B">
        <w:tc>
          <w:tcPr>
            <w:tcW w:w="487"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11</w:t>
            </w:r>
          </w:p>
        </w:tc>
        <w:tc>
          <w:tcPr>
            <w:tcW w:w="1173"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对接法智云端</w:t>
            </w:r>
          </w:p>
        </w:tc>
        <w:tc>
          <w:tcPr>
            <w:tcW w:w="2203" w:type="pct"/>
          </w:tcPr>
          <w:p w:rsidR="009F608B" w:rsidRDefault="009F608B" w:rsidP="00A9516B">
            <w:pPr>
              <w:widowControl/>
              <w:jc w:val="left"/>
              <w:textAlignment w:val="top"/>
              <w:rPr>
                <w:rFonts w:ascii="新宋体" w:eastAsia="新宋体" w:hAnsi="新宋体"/>
                <w:szCs w:val="21"/>
              </w:rPr>
            </w:pPr>
            <w:r>
              <w:rPr>
                <w:rFonts w:ascii="新宋体" w:eastAsia="新宋体" w:hAnsi="新宋体" w:cs="新宋体"/>
                <w:color w:val="000000"/>
                <w:szCs w:val="21"/>
                <w:lang w:bidi="ar"/>
              </w:rPr>
              <w:t>对接法智云端</w:t>
            </w:r>
          </w:p>
        </w:tc>
        <w:tc>
          <w:tcPr>
            <w:tcW w:w="1137" w:type="pct"/>
            <w:vAlign w:val="center"/>
          </w:tcPr>
          <w:p w:rsidR="009F608B" w:rsidRDefault="009F608B" w:rsidP="00A9516B">
            <w:pPr>
              <w:widowControl/>
              <w:jc w:val="center"/>
              <w:textAlignment w:val="center"/>
              <w:rPr>
                <w:rFonts w:ascii="新宋体" w:eastAsia="新宋体" w:hAnsi="新宋体"/>
                <w:color w:val="000000"/>
                <w:szCs w:val="21"/>
              </w:rPr>
            </w:pPr>
            <w:r>
              <w:rPr>
                <w:rFonts w:ascii="新宋体" w:eastAsia="新宋体" w:hAnsi="新宋体" w:cs="新宋体"/>
                <w:color w:val="000000"/>
                <w:szCs w:val="21"/>
                <w:lang w:bidi="ar"/>
              </w:rPr>
              <w:t>新建</w:t>
            </w:r>
          </w:p>
        </w:tc>
      </w:tr>
    </w:tbl>
    <w:p w:rsidR="009F608B" w:rsidRDefault="009F608B" w:rsidP="009F608B">
      <w:pPr>
        <w:rPr>
          <w:szCs w:val="20"/>
        </w:rPr>
      </w:pPr>
    </w:p>
    <w:p w:rsidR="009F608B" w:rsidRDefault="009F608B" w:rsidP="009F608B">
      <w:pPr>
        <w:spacing w:line="360" w:lineRule="auto"/>
        <w:ind w:firstLine="420"/>
        <w:rPr>
          <w:rFonts w:ascii="新宋体" w:eastAsia="新宋体" w:hAnsi="新宋体"/>
          <w:b/>
          <w:szCs w:val="21"/>
        </w:rPr>
      </w:pPr>
      <w:r>
        <w:rPr>
          <w:rFonts w:ascii="新宋体" w:eastAsia="新宋体" w:hAnsi="新宋体" w:hint="eastAsia"/>
          <w:b/>
          <w:szCs w:val="21"/>
        </w:rPr>
        <w:t>3.本项目建设内容为：</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行政应诉系统本次迭代升级的主要内容如下：</w:t>
      </w:r>
    </w:p>
    <w:p w:rsidR="009F608B" w:rsidRDefault="009F608B" w:rsidP="009F608B">
      <w:pPr>
        <w:spacing w:line="360" w:lineRule="auto"/>
        <w:ind w:firstLine="420"/>
        <w:rPr>
          <w:rFonts w:ascii="新宋体" w:eastAsia="新宋体" w:hAnsi="新宋体"/>
          <w:b/>
          <w:szCs w:val="21"/>
          <w:lang w:val="en"/>
        </w:rPr>
      </w:pPr>
      <w:r>
        <w:rPr>
          <w:rFonts w:ascii="新宋体" w:eastAsia="新宋体" w:hAnsi="新宋体" w:hint="eastAsia"/>
          <w:b/>
          <w:szCs w:val="21"/>
        </w:rPr>
        <w:t>3.1 案件办理-登记分派</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对案件登记模块进行升级，对申请信息填写、编辑、删除等，填写过程中可对填写申请信息的格式等进行提醒；与行政复议系统对接，获取此案件的前置复议案件信息，若未经复议程序则提示无相关信息；提供应诉案件分派功能，提供选择案件受理处室功能，可以查看案件信息并灵活分派案件受理处室；对于批量类似的案件，可实现批量复制已登记信息后修改个案不同的信息项，实现便捷快速登记；在填报当事人信息时可保存当事人信息到常用当事人中，在后续案件填报当事人信息时可下拉选择常用当事人，系统对信息进行填充。</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对案件登记模块进行升级，登记内容包括信息填报和材料填报，归入行政应诉案卷。登记人员统一登记法院系统共享的材料或其他途径获取的材料，登记人员可选择案件登记或材料登记。案件承办人员可对登记信息进行编辑。</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案件登记区分一审案件登记、二审案件登记和再审案件登记，每一次案件登记独立计算案件数量，同一事由的一审、二审、再审程序关联形成同一行政应诉案卷。经市政府复议的案件，法院只登记一个应诉案号，对应多个行政复议案号的，根据行政复议案件数量核计行政应诉案件数量。已登记的案件新收案件材料的，进行材料登记，并填报材料相关信息。</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登记事项信息填报事项包括：当事人信息、案件年份、收件时间、是否经复议、应诉案件类型、复议案件基本信息、行政应诉事项、行政应诉类别、审理法院信息、审级、应诉案号、庭审信息、裁判信息、诉讼请求等信息。</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lastRenderedPageBreak/>
        <w:t>当事人信息填报需填报当事人姓名（名称）、类型、类别等信息。填报当事人信息时可保存当事人信息到常用当事人中，在后续案件填报当事人信息时可下拉选择常用当事人，系统对信息进行填充。</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根据一审、二审、再审区分当事人类型，一审包括原告、被告、第三人等；二审包括上诉人、被上诉人等；再审包括：申请人、被申请人等。</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登记一审案件需勾选原告类型、第三人类型和被告类别种类，原告类型和第三人类型包括自然人、法人、其他组织；被告勾选类别和种类，类别包括原行政行为机关、复议机关；种类包括市政府、区政府、市政府派出机构、市政府组成部门、市政府组成部门直属机构、市政府组成部门派出机构（同时列入区政府组成部门序列）、市政府组成部门派出机构、区政府组成部门、区政府组成部门派出机构、街道办事处、授权组织、其他等。如发生机构改革等情况，根据实际情况新增、修改、删减被告种类。填写二审、再审当事人信息需勾选该当事人一审身份，并关联显示相关信息。</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应诉案件类型包括：未经复议应诉、复议机关单独应诉、复议机关共同应诉。</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可实现与行政复议系统对接，将复议系统案件信息及案卷材料对接到行政应诉系统。行政应诉系统填报的行政复议案件基本信息包括：复议案件编号、复议案件当事人信息、复议承办人信息、案件结案类型等信息，与行政复议系统对接时将相关行政复议基本信息自动填入信息项。如法院一个诉讼案号对应多个行政复议案件，可将多个复议案件共同对接到一个应诉案件中。</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行政应诉事项填报涉案行政行为类别，行政应诉事项包括：行政处罚、行政强制、行政征收、行政许可、行政确认、行政确权、政府信息公开、举报投诉处理、行政不作为、其他—行政裁决、其他—行政给付、其他—行政收费、其他—住房公积金缴存、其他等。如有法律法规修改等情况，根据实际情况新增、修改、删减行政应诉事项。</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行政应诉类别对应行政管理领域，行政应诉类别可勾选两级目录，包括：公安（二级目录：交管、治安、其他）；移民；国家安全；人力资源和社会保障；司法行政（二级目录：司法鉴定、公证、律师、其他）；民政；自然资源（二级目录：土地、矿产、城乡规划、不动产登记、海洋、测绘、其他）；生态环境；农业农村；水利；林草；房屋征补（拆迁）；房地产；工程建设；市场监管；应急（二级目录：安监、煤监、消防、其他）；商务；能源；交通运输；信息产业；邮政；烟草专卖；税务；人民银行；证监；银保监；外汇；财政；统计；审计；海关；药品；卫生计生；教育；文化旅游；专利；商标；版权；新闻出版广电；发展改革；科技；其他等。如发生机构改革、职权调整等情况，根据实际情况新增、修改、</w:t>
      </w:r>
      <w:r>
        <w:rPr>
          <w:rFonts w:ascii="新宋体" w:eastAsia="新宋体" w:hAnsi="新宋体" w:hint="eastAsia"/>
          <w:szCs w:val="21"/>
        </w:rPr>
        <w:lastRenderedPageBreak/>
        <w:t>删减行政应诉类别。</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审理法院信息项填报信息包括：审理法院、立案日期、主审法官、法官助理、联系电话、管辖权异议等信息。实现与法院系统共享信息时，将共享信息自动填入行政应诉系统。管辖权异议信息包括：是否提出管辖权异议、提出管辖权异议的主体、争议法院、管辖异议类型、管辖异议审理结果等信息。</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审级信息填报中登记人员选择一审登记、二审登记、再审登记后，在审级信息中自动显示对应审级为一审、二审、再审。填报审级信息需对应填报案件类型，可多选。一审案件类型包括：一般一审、发回重审的一审；二审案件类型包括：一审原告上诉、一审第三人上诉、原行政行为机关上诉、复议机关上诉等；再审案件类型包括：一审原告申请再审、一审第三人申请再审、原行政行为机关申请再审、复议机关申请再审、法院依职权再审、检察院抗诉、其他等。法院裁定再审的案件需勾选审理程序，包括适用一审程序再审、适用二审程序再审。</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应诉案号填报包括一审、二审、再审各审级案号，实现与法院系统共享信息时，可将应诉案号自动填入行政应诉系统。登记发回重审的一审的案件、二审案件、再审案件需勾选原一审案号，将相同一审案号的案件关联形成同一行政应诉案卷。</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庭审信息填报包括：是否开庭审理、开庭方式、开庭时间、开庭地点、负责人出庭应诉、出庭人数、开庭次数等信息。开庭方式、开庭时间、开庭地点等开庭信息支持多次填报多条并列。负责人出庭应诉信息包括：法院是否通知负责人出庭应诉、负责人是否出庭应诉、出庭负责人类别等信息。出庭负责人类别包括正职负责人、副职负责人、参与分管的副职级别的负责人、其他参与分管的负责人。开庭方式包括网上开庭、线下开庭。</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裁判信息填报包括签收时间、裁判类型、裁判结果、是否胜诉等内容。裁判类型包括判决、裁定、调解书、其他等。根据审级和裁判类型勾选填报对应裁判结果类型,可勾选二级目录，裁判结果类型可多选。</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一审判决结果类型包括：驳回原告诉讼请求、撤销（二级目录包括：撤销原行政行为、部分撤销原行政行为、撤销行政复议决定、部分撤销行政复议决定、撤销并重新作出行政行为、撤销并重新作出行政复议决定、其他）、变更行政行为、限期履行法定职责、履行给付义务、确认违法（二级目录包括：确认原行政行为违法、确定行政复议决定违法、其他）、确认无效、确认合法或有效、继续履行协议、采取补救措施、赔偿或补偿、其他等。</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一审裁定结果类型包括:驳回起诉、准予撤诉、按撤诉处理、终结诉讼、其他等。</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二审判决结果类型包括：驳回上诉维持原判、改判（撤销原审判决、部分撤销原审判决、驳回原审原告诉讼请求、撤销原行政行为、变更原行政行为、撤销原行政复议决定、确认原</w:t>
      </w:r>
      <w:r>
        <w:rPr>
          <w:rFonts w:ascii="新宋体" w:eastAsia="新宋体" w:hAnsi="新宋体" w:hint="eastAsia"/>
          <w:szCs w:val="21"/>
        </w:rPr>
        <w:lastRenderedPageBreak/>
        <w:t>行政行为违法、确认行政复议决定违法、确认无效、确认合法或有效、履行法定职责、履行给付义务、继续履行协议、采取补救措施、赔偿或补偿、其他）、其他。</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二审裁定结果类型包括：撤销原审判决（二级目录：撤销原审判决驳回起诉、撤销原审判决发回重审）、撤销原裁定、驳回上诉维持原裁定、准许撤回上诉、按撤回上诉处理、准许原审原告撤回起诉、其他等。</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再审裁定结果类型包括：驳回再审申请、准许撤回再审申请、按撤回再审申请处理、其他等</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再审判决结果类型包括：维持原判、改判（撤销原判、部分撤销原判、其他）</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诉讼请求信息填报可多选勾选诉讼请求。诉讼请求包括：请求撤销行政复议决定、请求变更行政复议决定、请求撤销原行政行为、请求变更原行政行为、请求判决行政机关履行法定职责或者给付义务、请求判决确认行政行为违法、请求判决行政机关予以赔偿或者补偿、请求解决行政协议争议、请求一并审查规范性文件、请求一并解决相关民事争议、请求原行政机关或行政复议机关承担诉讼费用、其他。</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对于批量类似的案件，可实现批量复制已登记信息后修改个案不同的信息项，实现便捷快速登记。</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提供应诉分派功能，登记人员可选择案件登记分派或材料登记分派。提供选择案件办理处室功能，可以查看案件信息并灵活分派案件办理处室。操作案件分派可将案件分派到案件办理处室，操作材料分派可将材料分派到具体个案。</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案件办理处室负责人可指派案件应诉承办人，指派界面突出显示复议承办人、各审级应诉承办人。已指派案件应诉承办人的案件，案件办理处室负责人可变更案件应诉承办人。</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向应诉案件承办人分派案件或材料，可勾选提醒，应诉案件承办人可在首页查看提醒提示。</w:t>
      </w:r>
    </w:p>
    <w:p w:rsidR="009F608B" w:rsidRDefault="009F608B" w:rsidP="009F608B">
      <w:pPr>
        <w:spacing w:line="360" w:lineRule="auto"/>
        <w:ind w:firstLine="420"/>
        <w:rPr>
          <w:rFonts w:ascii="新宋体" w:eastAsia="新宋体" w:hAnsi="新宋体"/>
          <w:b/>
          <w:szCs w:val="21"/>
        </w:rPr>
      </w:pPr>
      <w:r>
        <w:rPr>
          <w:rFonts w:ascii="新宋体" w:eastAsia="新宋体" w:hAnsi="新宋体" w:hint="eastAsia"/>
          <w:b/>
          <w:szCs w:val="21"/>
        </w:rPr>
        <w:t>3</w:t>
      </w:r>
      <w:r>
        <w:rPr>
          <w:rFonts w:ascii="新宋体" w:eastAsia="新宋体" w:hAnsi="新宋体"/>
          <w:b/>
          <w:szCs w:val="21"/>
          <w:lang w:val="en"/>
        </w:rPr>
        <w:t>.</w:t>
      </w:r>
      <w:r>
        <w:rPr>
          <w:rFonts w:ascii="新宋体" w:eastAsia="新宋体" w:hAnsi="新宋体" w:hint="eastAsia"/>
          <w:b/>
          <w:szCs w:val="21"/>
        </w:rPr>
        <w:t>2 案件办理-举证答辩</w:t>
      </w:r>
    </w:p>
    <w:p w:rsidR="009F608B" w:rsidRDefault="009F608B" w:rsidP="009F608B">
      <w:pPr>
        <w:spacing w:line="360" w:lineRule="auto"/>
        <w:ind w:firstLine="420"/>
      </w:pPr>
      <w:r>
        <w:rPr>
          <w:rFonts w:ascii="新宋体" w:eastAsia="新宋体" w:hAnsi="新宋体" w:hint="eastAsia"/>
          <w:szCs w:val="21"/>
        </w:rPr>
        <w:t>对举证答辩模块进行升级，支持审批文书</w:t>
      </w:r>
      <w:r>
        <w:rPr>
          <w:rFonts w:hint="eastAsia"/>
        </w:rPr>
        <w:t>在线编辑、查看、下载</w:t>
      </w:r>
      <w:r>
        <w:rPr>
          <w:rFonts w:ascii="新宋体" w:eastAsia="新宋体" w:hAnsi="新宋体" w:hint="eastAsia"/>
          <w:szCs w:val="21"/>
        </w:rPr>
        <w:t>；</w:t>
      </w:r>
      <w:r>
        <w:rPr>
          <w:rFonts w:hint="eastAsia"/>
        </w:rPr>
        <w:t>可以依据统一的文书模板在线生成文书，支持选择原复议文书文件在线导入，填充文书内容</w:t>
      </w:r>
      <w:r>
        <w:rPr>
          <w:rFonts w:ascii="新宋体" w:eastAsia="新宋体" w:hAnsi="新宋体" w:hint="eastAsia"/>
          <w:szCs w:val="21"/>
        </w:rPr>
        <w:t>；</w:t>
      </w:r>
      <w:r>
        <w:rPr>
          <w:rFonts w:hint="eastAsia"/>
        </w:rPr>
        <w:t>对于批量的相似案件，可勾选并案答辩，答辩材料可自动关联到每个案件。选择取消并案后，仍保留并案前审批完成的材料</w:t>
      </w:r>
      <w:r>
        <w:rPr>
          <w:rFonts w:ascii="新宋体" w:eastAsia="新宋体" w:hAnsi="新宋体" w:hint="eastAsia"/>
          <w:szCs w:val="21"/>
        </w:rPr>
        <w:t>；</w:t>
      </w:r>
      <w:r>
        <w:rPr>
          <w:rFonts w:hint="eastAsia"/>
        </w:rPr>
        <w:t>提供电子印章功能，支持对文书加盖电子印章，可对一个文书加盖多个电子印章；区分各级审批流程包括：包括一审、二审、再审等。</w:t>
      </w:r>
    </w:p>
    <w:p w:rsidR="009F608B" w:rsidRDefault="009F608B" w:rsidP="009F608B">
      <w:pPr>
        <w:spacing w:line="360" w:lineRule="auto"/>
        <w:ind w:firstLine="420"/>
        <w:rPr>
          <w:rFonts w:ascii="新宋体" w:eastAsia="新宋体" w:hAnsi="新宋体"/>
          <w:b/>
          <w:szCs w:val="21"/>
        </w:rPr>
      </w:pPr>
      <w:r>
        <w:rPr>
          <w:rFonts w:ascii="新宋体" w:eastAsia="新宋体" w:hAnsi="新宋体"/>
          <w:b/>
          <w:szCs w:val="21"/>
          <w:lang w:val="en"/>
        </w:rPr>
        <w:t>3</w:t>
      </w:r>
      <w:r>
        <w:rPr>
          <w:rFonts w:ascii="新宋体" w:eastAsia="新宋体" w:hAnsi="新宋体" w:hint="eastAsia"/>
          <w:b/>
          <w:szCs w:val="21"/>
        </w:rPr>
        <w:t>.3 案件办理-庭审管理</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对庭审管理模块进行升级，按开庭先后顺序实时更新待开庭案件排班总表，排班信息包</w:t>
      </w:r>
      <w:r>
        <w:rPr>
          <w:rFonts w:ascii="新宋体" w:eastAsia="新宋体" w:hAnsi="新宋体" w:hint="eastAsia"/>
          <w:szCs w:val="21"/>
        </w:rPr>
        <w:lastRenderedPageBreak/>
        <w:t>含开庭时间、开庭地点、应诉案件承办人、应诉案号等信息。提供庭审提示功能，在开庭前一天，系统推送开庭提示消息至案件承办人，对案件承办人进行提醒。</w:t>
      </w:r>
    </w:p>
    <w:p w:rsidR="009F608B" w:rsidRDefault="009F608B" w:rsidP="009F608B">
      <w:pPr>
        <w:spacing w:line="360" w:lineRule="auto"/>
        <w:ind w:firstLine="420"/>
        <w:rPr>
          <w:rFonts w:ascii="新宋体" w:eastAsia="新宋体" w:hAnsi="新宋体"/>
          <w:b/>
          <w:szCs w:val="21"/>
        </w:rPr>
      </w:pPr>
      <w:r>
        <w:rPr>
          <w:rFonts w:ascii="新宋体" w:eastAsia="新宋体" w:hAnsi="新宋体" w:hint="eastAsia"/>
          <w:b/>
          <w:szCs w:val="21"/>
        </w:rPr>
        <w:t>3.4</w:t>
      </w:r>
      <w:r>
        <w:rPr>
          <w:rFonts w:ascii="新宋体" w:eastAsia="新宋体" w:hAnsi="新宋体"/>
          <w:b/>
          <w:szCs w:val="21"/>
          <w:lang w:val="en"/>
        </w:rPr>
        <w:t xml:space="preserve"> </w:t>
      </w:r>
      <w:r>
        <w:rPr>
          <w:rFonts w:ascii="新宋体" w:eastAsia="新宋体" w:hAnsi="新宋体" w:hint="eastAsia"/>
          <w:b/>
          <w:szCs w:val="21"/>
          <w:lang w:val="en"/>
        </w:rPr>
        <w:t>案件办理</w:t>
      </w:r>
      <w:r>
        <w:rPr>
          <w:rFonts w:ascii="新宋体" w:eastAsia="新宋体" w:hAnsi="新宋体" w:hint="eastAsia"/>
          <w:b/>
          <w:szCs w:val="21"/>
        </w:rPr>
        <w:t>-结案</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结案结果为败诉的，对是否上诉、是否再审进行审批。适用一审程序再审的案件，结案结果为败诉的，对是否上诉进行审批。审批完成后需勾选是否上诉、是否再审等审批结果信息。</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一审、二审、再审案件结案后填报结案结果和结案时间，结案结果类型包含胜诉、败诉、其他。胜诉类型需勾选一审胜诉、一审败诉二审胜诉、一审二审均胜诉、一审二审再审均胜诉、二审败诉再审胜诉、二审胜诉再审胜诉、其他。败诉需进一步勾选是否终局败诉，勾选终局败诉需勾选败诉案件类型，包括一审败诉未上诉、一审胜诉二审败诉、一审二审均败诉、再审败诉、其他等。</w:t>
      </w:r>
    </w:p>
    <w:p w:rsidR="009F608B" w:rsidRDefault="009F608B" w:rsidP="009F608B">
      <w:pPr>
        <w:spacing w:line="360" w:lineRule="auto"/>
        <w:ind w:firstLine="420"/>
        <w:rPr>
          <w:rFonts w:ascii="新宋体" w:eastAsia="新宋体" w:hAnsi="新宋体"/>
          <w:b/>
          <w:color w:val="0000FF"/>
          <w:szCs w:val="21"/>
        </w:rPr>
      </w:pPr>
      <w:r>
        <w:rPr>
          <w:rFonts w:ascii="新宋体" w:eastAsia="新宋体" w:hAnsi="新宋体" w:hint="eastAsia"/>
          <w:b/>
          <w:color w:val="0000FF"/>
          <w:szCs w:val="21"/>
        </w:rPr>
        <w:t>3.5数据统计报送</w:t>
      </w:r>
    </w:p>
    <w:p w:rsidR="009F608B" w:rsidRDefault="009F608B" w:rsidP="009F608B">
      <w:pPr>
        <w:spacing w:line="360" w:lineRule="auto"/>
        <w:ind w:firstLine="420"/>
        <w:rPr>
          <w:rFonts w:ascii="新宋体" w:eastAsia="新宋体" w:hAnsi="新宋体"/>
          <w:color w:val="0000FF"/>
          <w:szCs w:val="21"/>
        </w:rPr>
      </w:pPr>
      <w:r>
        <w:rPr>
          <w:rFonts w:ascii="新宋体" w:eastAsia="新宋体" w:hAnsi="新宋体" w:hint="eastAsia"/>
          <w:color w:val="0000FF"/>
          <w:szCs w:val="21"/>
        </w:rPr>
        <w:t>优化数据报送模块的案件统计功能，根据系统数据生成显示行政应诉案件统计报表。根据司法部统计制度确定的表格格式统计显示行政应诉案件统计报表，根据司法部统计制度核算表格内统计指标，可选择年度、时间段统计显示统计报表数据，可下载统计报表。</w:t>
      </w:r>
    </w:p>
    <w:p w:rsidR="009F608B" w:rsidRDefault="009F608B" w:rsidP="009F608B">
      <w:pPr>
        <w:spacing w:line="360" w:lineRule="auto"/>
        <w:ind w:firstLine="420"/>
        <w:rPr>
          <w:rFonts w:ascii="新宋体" w:eastAsia="新宋体" w:hAnsi="新宋体"/>
          <w:b/>
          <w:szCs w:val="21"/>
          <w:lang w:val="en"/>
        </w:rPr>
      </w:pPr>
      <w:r>
        <w:rPr>
          <w:rFonts w:ascii="新宋体" w:eastAsia="新宋体" w:hAnsi="新宋体"/>
          <w:b/>
          <w:szCs w:val="21"/>
          <w:lang w:val="en"/>
        </w:rPr>
        <w:t>3.</w:t>
      </w:r>
      <w:r>
        <w:rPr>
          <w:rFonts w:ascii="新宋体" w:eastAsia="新宋体" w:hAnsi="新宋体" w:hint="eastAsia"/>
          <w:b/>
          <w:szCs w:val="21"/>
        </w:rPr>
        <w:t>6</w:t>
      </w:r>
      <w:r>
        <w:rPr>
          <w:rFonts w:ascii="新宋体" w:eastAsia="新宋体" w:hAnsi="新宋体"/>
          <w:b/>
          <w:szCs w:val="21"/>
          <w:lang w:val="en"/>
        </w:rPr>
        <w:t xml:space="preserve"> </w:t>
      </w:r>
      <w:r>
        <w:rPr>
          <w:rFonts w:ascii="新宋体" w:eastAsia="新宋体" w:hAnsi="新宋体" w:hint="eastAsia"/>
          <w:b/>
          <w:szCs w:val="21"/>
          <w:lang w:val="en"/>
        </w:rPr>
        <w:t>综合分析</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根据登记填报信息项设定精确查询条件:</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当事人信息精确查询条件包括原告类型、第三人类型、被告类别、被告种类以及原告、第三人、被告的姓名或名称。</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案件信息精确查询条件包括案件年份、法院名称、行政应诉案号、行政应诉承办处室、行政应诉承办人、</w:t>
      </w:r>
      <w:r>
        <w:rPr>
          <w:rFonts w:ascii="新宋体" w:eastAsia="新宋体" w:hAnsi="新宋体"/>
          <w:szCs w:val="21"/>
          <w:lang w:val="en"/>
        </w:rPr>
        <w:t>是否经复议</w:t>
      </w:r>
      <w:r>
        <w:rPr>
          <w:rFonts w:ascii="新宋体" w:eastAsia="新宋体" w:hAnsi="新宋体" w:hint="eastAsia"/>
          <w:szCs w:val="21"/>
        </w:rPr>
        <w:t>、应诉案件类型、复议案件编号、复议案件结案类型、行政应诉事项、行政应诉类别、审级、庭审信息、收件日期、结案日期、裁判结果、结案结果、诉讼请求等信息项。行政应诉事项、行政应诉类别、裁判结果、结案结果等有二级目录、三级目录的信息项，可勾选查询二级目录、三级目录。收件日期和结案日期可设定检索时间段。庭审信息项包括是否开庭审理、开庭方式、开庭次数、出庭人数、负责人是否出庭应诉等信息。</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综合查询界面新增查询数据功能:</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勾选精确查询条件可以选择查询数据，可实现显示数量、数据对比、根据计算公式计算、数据图表化等，可以选择生成表格、圆饼图、柱状图、曲线图、对比图、同比增/减图、环比增/减图等图形，形成的图表可编辑复制下载。显示数据指勾选精确查询条件，显示符合</w:t>
      </w:r>
      <w:r>
        <w:rPr>
          <w:rFonts w:ascii="新宋体" w:eastAsia="新宋体" w:hAnsi="新宋体" w:hint="eastAsia"/>
          <w:szCs w:val="21"/>
        </w:rPr>
        <w:lastRenderedPageBreak/>
        <w:t>条件的案件数量或其他累计数据。数据对比包括各填报信息项的数据对比，也包括设定条件的数据对比。填报信息项的数据对比主要指有多种类型的信息项，可显示各类型（包括各类型二级目录）的各项数据，有二级目录、三级目录的信息项，可显示各级目录数据及对比。设定条件的数据对比，根据个性化需求，多次设定条件查询出多个数据，对多个数据进行对比，可将查询的多个数据命名，并生成表格、柱状图、圆饼图等图表。根据计算公式计算数量，系统预设简单的数据计算公式，可设定精确查询条件查询出数据自动填入公式，可显示计算的数据。多个计算数据可按照上述设定条件的数据对比，选择生成相应的图表。系统预设简单的数据计算公式，包括基础的加减乘除以及平均数、增长率等常用公式，计算的数据可以通过系统查询，也可以手动填入。</w:t>
      </w:r>
    </w:p>
    <w:p w:rsidR="009F608B" w:rsidRDefault="009F608B" w:rsidP="009F608B">
      <w:pPr>
        <w:spacing w:line="360" w:lineRule="auto"/>
        <w:ind w:firstLine="420"/>
        <w:rPr>
          <w:rFonts w:ascii="新宋体" w:eastAsia="新宋体" w:hAnsi="新宋体"/>
          <w:b/>
          <w:color w:val="0000FF"/>
          <w:szCs w:val="21"/>
          <w:lang w:val="en"/>
        </w:rPr>
      </w:pPr>
      <w:r>
        <w:rPr>
          <w:rFonts w:ascii="新宋体" w:eastAsia="新宋体" w:hAnsi="新宋体" w:hint="eastAsia"/>
          <w:b/>
          <w:color w:val="0000FF"/>
          <w:szCs w:val="21"/>
          <w:lang w:val="en"/>
        </w:rPr>
        <w:t>3.</w:t>
      </w:r>
      <w:r>
        <w:rPr>
          <w:rFonts w:ascii="新宋体" w:eastAsia="新宋体" w:hAnsi="新宋体" w:hint="eastAsia"/>
          <w:b/>
          <w:color w:val="0000FF"/>
          <w:szCs w:val="21"/>
        </w:rPr>
        <w:t>7</w:t>
      </w:r>
      <w:r>
        <w:rPr>
          <w:rFonts w:ascii="新宋体" w:eastAsia="新宋体" w:hAnsi="新宋体" w:hint="eastAsia"/>
          <w:b/>
          <w:color w:val="0000FF"/>
          <w:szCs w:val="21"/>
          <w:lang w:val="en"/>
        </w:rPr>
        <w:t>双报告管理模块</w:t>
      </w:r>
    </w:p>
    <w:p w:rsidR="009F608B" w:rsidRDefault="009F608B" w:rsidP="009F608B">
      <w:pPr>
        <w:spacing w:line="360" w:lineRule="auto"/>
        <w:ind w:firstLine="420"/>
        <w:rPr>
          <w:rFonts w:ascii="新宋体" w:eastAsia="新宋体" w:hAnsi="新宋体"/>
          <w:color w:val="0000FF"/>
          <w:szCs w:val="21"/>
        </w:rPr>
      </w:pPr>
      <w:r>
        <w:rPr>
          <w:rFonts w:ascii="新宋体" w:eastAsia="新宋体" w:hAnsi="新宋体" w:hint="eastAsia"/>
          <w:color w:val="0000FF"/>
          <w:szCs w:val="21"/>
        </w:rPr>
        <w:t>3.7.1负责人出庭应诉报告管理</w:t>
      </w:r>
    </w:p>
    <w:p w:rsidR="009F608B" w:rsidRDefault="009F608B" w:rsidP="009F608B">
      <w:pPr>
        <w:spacing w:line="360" w:lineRule="auto"/>
        <w:ind w:firstLine="420"/>
        <w:rPr>
          <w:rFonts w:ascii="新宋体" w:eastAsia="新宋体" w:hAnsi="新宋体"/>
          <w:color w:val="0000FF"/>
          <w:szCs w:val="21"/>
        </w:rPr>
      </w:pPr>
      <w:r>
        <w:rPr>
          <w:rFonts w:ascii="新宋体" w:eastAsia="新宋体" w:hAnsi="新宋体" w:hint="eastAsia"/>
          <w:color w:val="0000FF"/>
          <w:szCs w:val="21"/>
        </w:rPr>
        <w:t>新增负责人出庭应诉报告管理模块，根据各行政机关报送的负责人出庭应诉报告填报信息、上传报告文档。填报信息包括应诉机关信息、出庭应诉年度、应诉年度行政应诉案件总量、应诉年度开庭次数、应诉机关负责人类别、应诉机关负责人出庭应诉次数等信息。可以根据填报的关键信息项筛选导出行政机关负责人出庭应诉统计表。</w:t>
      </w:r>
    </w:p>
    <w:p w:rsidR="009F608B" w:rsidRDefault="009F608B" w:rsidP="009F608B">
      <w:pPr>
        <w:spacing w:line="360" w:lineRule="auto"/>
        <w:ind w:firstLine="420"/>
        <w:rPr>
          <w:rFonts w:ascii="新宋体" w:eastAsia="新宋体" w:hAnsi="新宋体"/>
          <w:color w:val="0000FF"/>
          <w:szCs w:val="21"/>
        </w:rPr>
      </w:pPr>
      <w:r>
        <w:rPr>
          <w:rFonts w:ascii="新宋体" w:eastAsia="新宋体" w:hAnsi="新宋体" w:hint="eastAsia"/>
          <w:color w:val="0000FF"/>
          <w:szCs w:val="21"/>
        </w:rPr>
        <w:t>3.7.2败诉报告备案管理</w:t>
      </w:r>
    </w:p>
    <w:p w:rsidR="009F608B" w:rsidRDefault="009F608B" w:rsidP="009F608B">
      <w:pPr>
        <w:spacing w:line="360" w:lineRule="auto"/>
        <w:ind w:firstLine="420"/>
        <w:rPr>
          <w:rFonts w:ascii="新宋体" w:eastAsia="新宋体" w:hAnsi="新宋体"/>
          <w:color w:val="0000FF"/>
          <w:szCs w:val="21"/>
        </w:rPr>
      </w:pPr>
      <w:r>
        <w:rPr>
          <w:rFonts w:ascii="新宋体" w:eastAsia="新宋体" w:hAnsi="新宋体" w:hint="eastAsia"/>
          <w:color w:val="0000FF"/>
          <w:szCs w:val="21"/>
        </w:rPr>
        <w:t>新增败诉报告备案管理模块，建立行政机关目录，按行政机关之间的关系建立一级二级等子目录。可填报信息、上传材料，填报信息包括报告年度、备案时间等基础信息，上传材料类别包括败诉报告、裁判文书、其他等。可勾选查询年度报告列表，可查询下载上传的报告、裁判文书。</w:t>
      </w:r>
    </w:p>
    <w:p w:rsidR="009F608B" w:rsidRDefault="009F608B" w:rsidP="009F608B">
      <w:pPr>
        <w:spacing w:line="360" w:lineRule="auto"/>
        <w:ind w:firstLine="420"/>
        <w:rPr>
          <w:rFonts w:ascii="新宋体" w:eastAsia="新宋体" w:hAnsi="新宋体"/>
          <w:b/>
          <w:color w:val="000000" w:themeColor="text1"/>
          <w:szCs w:val="21"/>
          <w:lang w:val="en"/>
        </w:rPr>
      </w:pPr>
      <w:r>
        <w:rPr>
          <w:rFonts w:ascii="新宋体" w:eastAsia="新宋体" w:hAnsi="新宋体" w:hint="eastAsia"/>
          <w:b/>
          <w:color w:val="000000" w:themeColor="text1"/>
          <w:szCs w:val="21"/>
          <w:lang w:val="en"/>
        </w:rPr>
        <w:t>3.</w:t>
      </w:r>
      <w:r>
        <w:rPr>
          <w:rFonts w:ascii="新宋体" w:eastAsia="新宋体" w:hAnsi="新宋体" w:hint="eastAsia"/>
          <w:b/>
          <w:color w:val="000000" w:themeColor="text1"/>
          <w:szCs w:val="21"/>
        </w:rPr>
        <w:t>8</w:t>
      </w:r>
      <w:r>
        <w:rPr>
          <w:rFonts w:ascii="新宋体" w:eastAsia="新宋体" w:hAnsi="新宋体" w:hint="eastAsia"/>
          <w:b/>
          <w:color w:val="000000" w:themeColor="text1"/>
          <w:szCs w:val="21"/>
          <w:lang w:val="en"/>
        </w:rPr>
        <w:t>对接法智云端</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与法院的法智云端进行对接，具有接收消息提示功能，消息接收后自动推送回执消息。</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3.8.1基础案件信息对接：实现案件的基础信息互通推送，双方共享基础案件信息，将法院系统共享的信息自动填充到行政应诉案件基本信息。</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3.8.2全流程文书对接：实现全流程文书信息的互通推送，双方共享全流程文书信息，法院系统推送的文书统一登记分派，自动识别文档关键信息填报行政应诉案件基本信息。</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3.8.3回执函对接:应诉登记人员选择接收材料后系统自动生成回执函，回执函一式两份，一份进入应诉案件卷宗，另一份推送给法院。</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3.8.4法院材料接收确认:应诉登记人员可以选择接收法院材料的时间。</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3.8.5行政应诉材料推送:实现行政应诉材料的互通推送，双方共享行政应诉材料信息，</w:t>
      </w:r>
      <w:r>
        <w:rPr>
          <w:rFonts w:ascii="新宋体" w:eastAsia="新宋体" w:hAnsi="新宋体" w:hint="eastAsia"/>
          <w:szCs w:val="21"/>
        </w:rPr>
        <w:lastRenderedPageBreak/>
        <w:t>应诉系统案件承办人可勾选文书或材料推送给法院。</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3.8.6新增裁判文书模块</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3.8.6.1裁判文书对接:通过法智云端向行政应诉系统推送行政裁判文书并实现实时更新。</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3.8.6.2历史数据迁移：通过法智云端向行政应诉系统推送近5年行政裁判文书。</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3.8.6.3文书挂载：系统支持文书挂载功能。</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3.8.6.4裁判文书综合查询：提供裁判文书查询功能，支持关键字搜索、模糊搜索，可根据当事人类型，案件时间等条件进行筛选。可将裁判文书将下载到本地。</w:t>
      </w:r>
    </w:p>
    <w:p w:rsidR="009F608B" w:rsidRDefault="009F608B" w:rsidP="009F608B">
      <w:pPr>
        <w:spacing w:line="360" w:lineRule="auto"/>
        <w:ind w:firstLine="420"/>
        <w:rPr>
          <w:rFonts w:ascii="新宋体" w:eastAsia="新宋体" w:hAnsi="新宋体"/>
          <w:b/>
          <w:szCs w:val="21"/>
        </w:rPr>
      </w:pPr>
      <w:r>
        <w:rPr>
          <w:rFonts w:ascii="新宋体" w:eastAsia="新宋体" w:hAnsi="新宋体" w:hint="eastAsia"/>
          <w:b/>
          <w:szCs w:val="21"/>
        </w:rPr>
        <w:t>4. 本项目实施总体要求</w:t>
      </w:r>
    </w:p>
    <w:p w:rsidR="009F608B" w:rsidRDefault="009F608B" w:rsidP="009F608B">
      <w:pPr>
        <w:spacing w:line="360" w:lineRule="auto"/>
        <w:ind w:firstLine="420"/>
        <w:rPr>
          <w:rFonts w:ascii="新宋体" w:eastAsia="新宋体" w:hAnsi="新宋体"/>
          <w:szCs w:val="21"/>
          <w:lang w:val="zh-CN"/>
        </w:rPr>
      </w:pPr>
      <w:r>
        <w:rPr>
          <w:rFonts w:ascii="新宋体" w:eastAsia="新宋体" w:hAnsi="新宋体" w:hint="eastAsia"/>
          <w:szCs w:val="21"/>
        </w:rPr>
        <w:t>本项目所指软件迭代升级服务</w:t>
      </w:r>
      <w:r>
        <w:rPr>
          <w:rFonts w:ascii="新宋体" w:eastAsia="新宋体" w:hAnsi="新宋体" w:hint="eastAsia"/>
          <w:szCs w:val="21"/>
          <w:lang w:val="zh-CN"/>
        </w:rPr>
        <w:t>系指中标人按合同和招标文件要求，根据采购单位项目建设总体规划，确定迭代方案设计以及软件开发，包括升级实施方案，功能测试方案、系统运行维护方案和验收方案等，提供相配套的全部应用软件源代码，光盘材料和纸质材料及安装、调试、验收、技术支持和交付使用后质保期内应履行的售后服务等义务。</w:t>
      </w:r>
    </w:p>
    <w:p w:rsidR="009F608B" w:rsidRDefault="009F608B" w:rsidP="009F608B">
      <w:pPr>
        <w:spacing w:line="360" w:lineRule="auto"/>
        <w:ind w:firstLine="420"/>
        <w:rPr>
          <w:rFonts w:ascii="新宋体" w:eastAsia="新宋体" w:hAnsi="新宋体"/>
          <w:b/>
          <w:szCs w:val="21"/>
        </w:rPr>
      </w:pPr>
      <w:r>
        <w:rPr>
          <w:rFonts w:ascii="新宋体" w:eastAsia="新宋体" w:hAnsi="新宋体" w:hint="eastAsia"/>
          <w:b/>
          <w:szCs w:val="21"/>
        </w:rPr>
        <w:t>5. 本项目技术架构要求：</w:t>
      </w:r>
    </w:p>
    <w:p w:rsidR="009F608B" w:rsidRDefault="009F608B" w:rsidP="009F608B">
      <w:pPr>
        <w:spacing w:line="360" w:lineRule="auto"/>
        <w:ind w:firstLine="420"/>
        <w:rPr>
          <w:rFonts w:ascii="新宋体" w:eastAsia="新宋体" w:hAnsi="新宋体"/>
          <w:szCs w:val="21"/>
          <w:lang w:val="zh-CN"/>
        </w:rPr>
      </w:pPr>
      <w:r>
        <w:rPr>
          <w:rFonts w:ascii="新宋体" w:eastAsia="新宋体" w:hAnsi="新宋体" w:hint="eastAsia"/>
          <w:szCs w:val="21"/>
        </w:rPr>
        <w:t xml:space="preserve">5.1 </w:t>
      </w:r>
      <w:r>
        <w:rPr>
          <w:rFonts w:ascii="新宋体" w:eastAsia="新宋体" w:hAnsi="新宋体" w:hint="eastAsia"/>
          <w:szCs w:val="21"/>
          <w:lang w:val="zh-CN"/>
        </w:rPr>
        <w:t>整体架构基于B/S结构；</w:t>
      </w:r>
    </w:p>
    <w:p w:rsidR="009F608B" w:rsidRDefault="009F608B" w:rsidP="009F608B">
      <w:pPr>
        <w:spacing w:line="360" w:lineRule="auto"/>
        <w:ind w:firstLine="420"/>
        <w:rPr>
          <w:rFonts w:ascii="新宋体" w:eastAsia="新宋体" w:hAnsi="新宋体"/>
          <w:szCs w:val="21"/>
          <w:lang w:val="zh-CN"/>
        </w:rPr>
      </w:pPr>
      <w:r>
        <w:rPr>
          <w:rFonts w:ascii="新宋体" w:eastAsia="新宋体" w:hAnsi="新宋体" w:hint="eastAsia"/>
          <w:szCs w:val="21"/>
        </w:rPr>
        <w:t>5.2</w:t>
      </w:r>
      <w:r>
        <w:rPr>
          <w:rFonts w:ascii="新宋体" w:eastAsia="新宋体" w:hAnsi="新宋体" w:hint="eastAsia"/>
          <w:szCs w:val="21"/>
          <w:lang w:val="zh-CN"/>
        </w:rPr>
        <w:t>数据库系统采用</w:t>
      </w:r>
      <w:r>
        <w:rPr>
          <w:rFonts w:ascii="新宋体" w:eastAsia="新宋体" w:hAnsi="新宋体" w:hint="eastAsia"/>
          <w:szCs w:val="21"/>
        </w:rPr>
        <w:t>达梦数据库管理系统V8.1及</w:t>
      </w:r>
      <w:r>
        <w:rPr>
          <w:rFonts w:ascii="新宋体" w:eastAsia="新宋体" w:hAnsi="新宋体" w:hint="eastAsia"/>
          <w:szCs w:val="21"/>
          <w:lang w:val="en"/>
        </w:rPr>
        <w:t>其升级版本</w:t>
      </w:r>
      <w:r>
        <w:rPr>
          <w:rFonts w:ascii="新宋体" w:eastAsia="新宋体" w:hAnsi="新宋体" w:hint="eastAsia"/>
          <w:szCs w:val="21"/>
        </w:rPr>
        <w:t>；</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5.3 应适配但不限于奇安信浏览器（信创版）</w:t>
      </w:r>
    </w:p>
    <w:p w:rsidR="009F608B" w:rsidRDefault="009F608B" w:rsidP="009F608B">
      <w:pPr>
        <w:spacing w:line="360" w:lineRule="auto"/>
        <w:ind w:firstLine="420"/>
        <w:rPr>
          <w:rFonts w:ascii="新宋体" w:eastAsia="新宋体" w:hAnsi="新宋体"/>
          <w:szCs w:val="21"/>
          <w:lang w:val="en"/>
        </w:rPr>
      </w:pPr>
      <w:r>
        <w:rPr>
          <w:rFonts w:ascii="新宋体" w:eastAsia="新宋体" w:hAnsi="新宋体" w:hint="eastAsia"/>
          <w:szCs w:val="21"/>
        </w:rPr>
        <w:t>5.4 如需中间件，应采用金蝶中间件AASV</w:t>
      </w:r>
      <w:r>
        <w:rPr>
          <w:rFonts w:ascii="新宋体" w:eastAsia="新宋体" w:hAnsi="新宋体" w:hint="eastAsia"/>
          <w:szCs w:val="21"/>
          <w:lang w:val="en"/>
        </w:rPr>
        <w:t>9.0/10.0及其升级版本；</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5.5 上述数据库、中间件的使用授权由采购单位提供</w:t>
      </w:r>
    </w:p>
    <w:p w:rsidR="009F608B" w:rsidRDefault="009F608B" w:rsidP="009F608B">
      <w:pPr>
        <w:spacing w:line="360" w:lineRule="auto"/>
        <w:ind w:firstLine="420"/>
        <w:rPr>
          <w:rFonts w:ascii="新宋体" w:eastAsia="新宋体" w:hAnsi="新宋体"/>
          <w:b/>
          <w:szCs w:val="21"/>
        </w:rPr>
      </w:pPr>
      <w:r>
        <w:rPr>
          <w:rFonts w:ascii="新宋体" w:eastAsia="新宋体" w:hAnsi="新宋体" w:hint="eastAsia"/>
          <w:b/>
          <w:szCs w:val="21"/>
        </w:rPr>
        <w:t>6. 本次软件迭代升级服务质量保障要求：</w:t>
      </w:r>
    </w:p>
    <w:p w:rsidR="009F608B" w:rsidRDefault="009F608B" w:rsidP="009F608B">
      <w:pPr>
        <w:spacing w:line="360" w:lineRule="auto"/>
        <w:ind w:firstLine="420"/>
        <w:rPr>
          <w:rFonts w:ascii="新宋体" w:eastAsia="新宋体" w:hAnsi="新宋体"/>
          <w:szCs w:val="21"/>
        </w:rPr>
      </w:pPr>
      <w:r>
        <w:rPr>
          <w:rFonts w:ascii="新宋体" w:eastAsia="新宋体" w:hAnsi="新宋体" w:hint="eastAsia"/>
          <w:szCs w:val="21"/>
        </w:rPr>
        <w:t>6.1采购单位需求在开发期和试运行期内，仍有可能不断完善，投标人须承诺在采购需求总体框架下或政策法规范围内，随着采购单位需求的变动随时作出响应，修改完善软件功能、业务流程、用户权限等，根据等保要求修复漏洞、消除安全隐患。正式验收通过后，在本次迭代升级范围内的模块或者功能若有需求变动，在免费维护期内，仍应免费按采购单位需求做出相应修改，以满足采购单位的需求。</w:t>
      </w:r>
    </w:p>
    <w:p w:rsidR="009F608B" w:rsidRDefault="009F608B" w:rsidP="009F608B">
      <w:pPr>
        <w:spacing w:line="360" w:lineRule="auto"/>
        <w:ind w:firstLine="420"/>
        <w:rPr>
          <w:rFonts w:ascii="新宋体" w:eastAsia="新宋体" w:hAnsi="新宋体" w:cs="仿宋_GB2312"/>
          <w:szCs w:val="21"/>
        </w:rPr>
      </w:pPr>
      <w:r>
        <w:rPr>
          <w:rFonts w:ascii="新宋体" w:eastAsia="新宋体" w:hAnsi="新宋体" w:hint="eastAsia"/>
          <w:szCs w:val="21"/>
        </w:rPr>
        <w:t>6.2 投标人必须保证解决</w:t>
      </w:r>
      <w:r>
        <w:rPr>
          <w:rFonts w:ascii="新宋体" w:eastAsia="新宋体" w:hAnsi="新宋体" w:cs="仿宋_GB2312" w:hint="eastAsia"/>
          <w:szCs w:val="21"/>
        </w:rPr>
        <w:t>项目所涉及的技术问题，如因技术原因无法满足用户需求，由此产生的风险由投标方承担。</w:t>
      </w:r>
    </w:p>
    <w:p w:rsidR="009F608B" w:rsidRDefault="009F608B" w:rsidP="009F608B">
      <w:pPr>
        <w:spacing w:line="360" w:lineRule="auto"/>
        <w:ind w:firstLine="420"/>
        <w:rPr>
          <w:rFonts w:ascii="新宋体" w:eastAsia="新宋体" w:hAnsi="新宋体"/>
          <w:b/>
        </w:rPr>
      </w:pPr>
      <w:r>
        <w:rPr>
          <w:rFonts w:ascii="新宋体" w:eastAsia="新宋体" w:hAnsi="新宋体" w:cs="仿宋_GB2312" w:hint="eastAsia"/>
          <w:szCs w:val="21"/>
        </w:rPr>
        <w:t>6.3 投标人应该自行完成对现有系统改造工作，包括了和原有系统承建商的沟通、协调前期其他可能的工作事宜，由采购方负责向中标方提供合法的前期完工资料，并帮助中标单位协调沟通。</w:t>
      </w:r>
    </w:p>
    <w:p w:rsidR="009F608B" w:rsidRPr="00D22B95" w:rsidRDefault="009F608B" w:rsidP="009F608B">
      <w:pPr>
        <w:rPr>
          <w:rFonts w:ascii="新宋体" w:eastAsia="新宋体" w:hAnsi="新宋体"/>
          <w:b/>
        </w:rPr>
      </w:pPr>
    </w:p>
    <w:p w:rsidR="009F608B" w:rsidRDefault="009F608B" w:rsidP="009F608B">
      <w:pPr>
        <w:rPr>
          <w:rFonts w:ascii="新宋体" w:eastAsia="新宋体" w:hAnsi="新宋体"/>
          <w:b/>
        </w:rPr>
      </w:pPr>
    </w:p>
    <w:p w:rsidR="009F608B" w:rsidRDefault="009F608B" w:rsidP="009F608B">
      <w:pPr>
        <w:pStyle w:val="3"/>
        <w:rPr>
          <w:rFonts w:ascii="新宋体" w:eastAsia="新宋体" w:hAnsi="新宋体"/>
          <w:kern w:val="44"/>
          <w:szCs w:val="28"/>
        </w:rPr>
      </w:pPr>
      <w:r>
        <w:rPr>
          <w:rFonts w:ascii="新宋体" w:eastAsia="新宋体" w:hAnsi="新宋体" w:hint="eastAsia"/>
          <w:kern w:val="44"/>
          <w:szCs w:val="28"/>
        </w:rPr>
        <w:t>五、项目商务要求</w:t>
      </w:r>
    </w:p>
    <w:p w:rsidR="009F608B" w:rsidRDefault="009F608B" w:rsidP="009F608B">
      <w:pPr>
        <w:spacing w:line="360" w:lineRule="auto"/>
        <w:rPr>
          <w:rFonts w:ascii="新宋体" w:eastAsia="新宋体" w:hAnsi="新宋体" w:cs="宋体"/>
          <w:szCs w:val="21"/>
        </w:rPr>
      </w:pPr>
      <w:r>
        <w:rPr>
          <w:rFonts w:ascii="新宋体" w:eastAsia="新宋体" w:hAnsi="新宋体" w:cs="宋体" w:hint="eastAsia"/>
          <w:szCs w:val="21"/>
        </w:rPr>
        <w:t>（一）服务期限：</w:t>
      </w:r>
      <w:r w:rsidRPr="00D22B95">
        <w:rPr>
          <w:rFonts w:ascii="新宋体" w:eastAsia="新宋体" w:hAnsi="新宋体" w:cs="宋体" w:hint="eastAsia"/>
          <w:szCs w:val="21"/>
        </w:rPr>
        <w:t>自合同签订之日起到项目验收通过之日止，不超过十二个月。</w:t>
      </w:r>
    </w:p>
    <w:p w:rsidR="009F608B" w:rsidRDefault="009F608B" w:rsidP="009F608B">
      <w:pPr>
        <w:spacing w:line="360" w:lineRule="auto"/>
        <w:rPr>
          <w:rFonts w:ascii="新宋体" w:eastAsia="新宋体" w:hAnsi="新宋体" w:cs="宋体"/>
          <w:szCs w:val="21"/>
        </w:rPr>
      </w:pPr>
      <w:r>
        <w:rPr>
          <w:rFonts w:ascii="新宋体" w:eastAsia="新宋体" w:hAnsi="新宋体" w:cs="宋体" w:hint="eastAsia"/>
          <w:szCs w:val="21"/>
        </w:rPr>
        <w:t>（二）付款方式：</w:t>
      </w:r>
    </w:p>
    <w:p w:rsidR="009F608B" w:rsidRDefault="009F608B" w:rsidP="009F608B">
      <w:pPr>
        <w:spacing w:line="360" w:lineRule="auto"/>
        <w:rPr>
          <w:rFonts w:ascii="新宋体" w:eastAsia="新宋体" w:hAnsi="新宋体" w:cs="宋体"/>
          <w:szCs w:val="21"/>
        </w:rPr>
      </w:pPr>
      <w:r>
        <w:rPr>
          <w:rFonts w:ascii="新宋体" w:eastAsia="新宋体" w:hAnsi="新宋体" w:cs="宋体" w:hint="eastAsia"/>
          <w:szCs w:val="21"/>
        </w:rPr>
        <w:t>1.预付款：在完成合同签订后，2023年12月31日</w:t>
      </w:r>
      <w:r>
        <w:rPr>
          <w:rFonts w:ascii="新宋体" w:eastAsia="新宋体" w:hAnsi="新宋体" w:cs="宋体"/>
          <w:szCs w:val="21"/>
        </w:rPr>
        <w:t>前</w:t>
      </w:r>
      <w:r>
        <w:rPr>
          <w:rFonts w:ascii="新宋体" w:eastAsia="新宋体" w:hAnsi="新宋体" w:cs="宋体" w:hint="eastAsia"/>
          <w:szCs w:val="21"/>
        </w:rPr>
        <w:t>支付合同总额</w:t>
      </w:r>
      <w:r>
        <w:rPr>
          <w:rFonts w:ascii="新宋体" w:eastAsia="新宋体" w:hAnsi="新宋体" w:cs="宋体"/>
          <w:szCs w:val="21"/>
        </w:rPr>
        <w:t>3</w:t>
      </w:r>
      <w:r>
        <w:rPr>
          <w:rFonts w:ascii="新宋体" w:eastAsia="新宋体" w:hAnsi="新宋体" w:cs="宋体" w:hint="eastAsia"/>
          <w:szCs w:val="21"/>
        </w:rPr>
        <w:t>0 %。</w:t>
      </w:r>
    </w:p>
    <w:p w:rsidR="009F608B" w:rsidRDefault="009F608B" w:rsidP="009F608B">
      <w:pPr>
        <w:spacing w:line="360" w:lineRule="auto"/>
        <w:rPr>
          <w:rFonts w:ascii="新宋体" w:eastAsia="新宋体" w:hAnsi="新宋体" w:cs="宋体"/>
          <w:szCs w:val="21"/>
        </w:rPr>
      </w:pPr>
      <w:r>
        <w:rPr>
          <w:rFonts w:ascii="新宋体" w:eastAsia="新宋体" w:hAnsi="新宋体" w:cs="宋体" w:hint="eastAsia"/>
          <w:szCs w:val="21"/>
        </w:rPr>
        <w:t>2.验收款：在完成项目验收后，支付合同总额</w:t>
      </w:r>
      <w:r>
        <w:rPr>
          <w:rFonts w:ascii="新宋体" w:eastAsia="新宋体" w:hAnsi="新宋体" w:cs="宋体"/>
          <w:szCs w:val="21"/>
        </w:rPr>
        <w:t>7</w:t>
      </w:r>
      <w:r>
        <w:rPr>
          <w:rFonts w:ascii="新宋体" w:eastAsia="新宋体" w:hAnsi="新宋体" w:cs="宋体" w:hint="eastAsia"/>
          <w:szCs w:val="21"/>
        </w:rPr>
        <w:t>0 %。</w:t>
      </w:r>
    </w:p>
    <w:p w:rsidR="009F608B" w:rsidRDefault="009F608B" w:rsidP="009F608B">
      <w:pPr>
        <w:spacing w:line="360" w:lineRule="auto"/>
        <w:rPr>
          <w:rFonts w:ascii="新宋体" w:eastAsia="新宋体" w:hAnsi="新宋体" w:cs="宋体"/>
          <w:szCs w:val="21"/>
        </w:rPr>
      </w:pPr>
      <w:r>
        <w:rPr>
          <w:rFonts w:ascii="新宋体" w:eastAsia="新宋体" w:hAnsi="新宋体" w:cs="宋体" w:hint="eastAsia"/>
          <w:szCs w:val="21"/>
        </w:rPr>
        <w:t>实际以合同约定为准。</w:t>
      </w:r>
    </w:p>
    <w:p w:rsidR="009F608B" w:rsidRDefault="009F608B" w:rsidP="009F608B">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rsidR="009F608B" w:rsidRDefault="009F608B" w:rsidP="009F608B">
      <w:pPr>
        <w:spacing w:line="360" w:lineRule="auto"/>
        <w:rPr>
          <w:rFonts w:ascii="新宋体" w:eastAsia="新宋体" w:hAnsi="新宋体" w:cs="宋体"/>
          <w:szCs w:val="21"/>
        </w:rPr>
      </w:pPr>
      <w:r>
        <w:rPr>
          <w:rFonts w:ascii="新宋体" w:eastAsia="新宋体" w:hAnsi="新宋体" w:cs="宋体" w:hint="eastAsia"/>
          <w:szCs w:val="21"/>
        </w:rPr>
        <w:t>1.质量考核验收标准：按深圳市电子政务项目验收要求进行验收</w:t>
      </w:r>
    </w:p>
    <w:p w:rsidR="009F608B" w:rsidRDefault="009F608B" w:rsidP="009F608B">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rsidR="009F608B" w:rsidRDefault="009F608B" w:rsidP="009F608B">
      <w:pPr>
        <w:pStyle w:val="3"/>
        <w:rPr>
          <w:rFonts w:ascii="新宋体" w:eastAsia="新宋体" w:hAnsi="新宋体"/>
          <w:kern w:val="44"/>
          <w:szCs w:val="28"/>
        </w:rPr>
      </w:pPr>
      <w:r>
        <w:rPr>
          <w:rFonts w:ascii="新宋体" w:eastAsia="新宋体" w:hAnsi="新宋体" w:hint="eastAsia"/>
          <w:kern w:val="44"/>
          <w:szCs w:val="28"/>
        </w:rPr>
        <w:t>六、投标报价</w:t>
      </w:r>
    </w:p>
    <w:p w:rsidR="009F608B" w:rsidRDefault="009F608B" w:rsidP="009F608B">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rsidR="009F608B" w:rsidRDefault="009F608B" w:rsidP="009F608B">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9F608B" w:rsidRDefault="009F608B" w:rsidP="009F608B">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9F608B" w:rsidRDefault="009F608B" w:rsidP="009F608B">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rsidR="009F608B" w:rsidRDefault="009F608B" w:rsidP="009F608B">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9F608B" w:rsidRDefault="009F608B" w:rsidP="009F608B">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w:t>
      </w:r>
      <w:r>
        <w:rPr>
          <w:rFonts w:ascii="新宋体" w:eastAsia="新宋体" w:hAnsi="新宋体" w:cs="宋体" w:hint="eastAsia"/>
          <w:szCs w:val="21"/>
        </w:rPr>
        <w:lastRenderedPageBreak/>
        <w:t>良行为记录在案，并可能影响其以后参加政府采购的项目投标。各投标人在投标报价时，应充分考虑投标报价的风险。</w:t>
      </w:r>
    </w:p>
    <w:p w:rsidR="007B3F43" w:rsidRPr="009F608B" w:rsidRDefault="007B3F43">
      <w:bookmarkStart w:id="3" w:name="_GoBack"/>
      <w:bookmarkEnd w:id="3"/>
    </w:p>
    <w:sectPr w:rsidR="007B3F43" w:rsidRPr="009F60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608B" w:rsidRDefault="009F608B" w:rsidP="009F608B">
      <w:r>
        <w:separator/>
      </w:r>
    </w:p>
  </w:endnote>
  <w:endnote w:type="continuationSeparator" w:id="0">
    <w:p w:rsidR="009F608B" w:rsidRDefault="009F608B" w:rsidP="009F6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83" w:usb1="288F0000" w:usb2="00000016" w:usb3="00000000" w:csb0="00040001"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608B" w:rsidRDefault="009F608B" w:rsidP="009F608B">
      <w:r>
        <w:separator/>
      </w:r>
    </w:p>
  </w:footnote>
  <w:footnote w:type="continuationSeparator" w:id="0">
    <w:p w:rsidR="009F608B" w:rsidRDefault="009F608B" w:rsidP="009F60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B34"/>
    <w:rsid w:val="007B3F43"/>
    <w:rsid w:val="009F608B"/>
    <w:rsid w:val="00AE5B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08B"/>
    <w:pPr>
      <w:widowControl w:val="0"/>
      <w:jc w:val="both"/>
    </w:pPr>
    <w:rPr>
      <w:rFonts w:ascii="Times New Roman" w:eastAsia="宋体" w:hAnsi="Times New Roman" w:cs="Times New Roman"/>
      <w:szCs w:val="24"/>
    </w:rPr>
  </w:style>
  <w:style w:type="paragraph" w:styleId="3">
    <w:name w:val="heading 3"/>
    <w:basedOn w:val="4"/>
    <w:next w:val="a"/>
    <w:link w:val="3Char1"/>
    <w:qFormat/>
    <w:rsid w:val="009F608B"/>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9F608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F608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F608B"/>
    <w:rPr>
      <w:sz w:val="18"/>
      <w:szCs w:val="18"/>
    </w:rPr>
  </w:style>
  <w:style w:type="paragraph" w:styleId="a4">
    <w:name w:val="footer"/>
    <w:basedOn w:val="a"/>
    <w:link w:val="Char0"/>
    <w:uiPriority w:val="99"/>
    <w:unhideWhenUsed/>
    <w:rsid w:val="009F608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F608B"/>
    <w:rPr>
      <w:sz w:val="18"/>
      <w:szCs w:val="18"/>
    </w:rPr>
  </w:style>
  <w:style w:type="character" w:customStyle="1" w:styleId="3Char">
    <w:name w:val="标题 3 Char"/>
    <w:basedOn w:val="a0"/>
    <w:uiPriority w:val="9"/>
    <w:semiHidden/>
    <w:rsid w:val="009F608B"/>
    <w:rPr>
      <w:rFonts w:ascii="Times New Roman" w:eastAsia="宋体" w:hAnsi="Times New Roman" w:cs="Times New Roman"/>
      <w:b/>
      <w:bCs/>
      <w:sz w:val="32"/>
      <w:szCs w:val="32"/>
    </w:rPr>
  </w:style>
  <w:style w:type="table" w:styleId="a5">
    <w:name w:val="Table Grid"/>
    <w:basedOn w:val="a1"/>
    <w:qFormat/>
    <w:rsid w:val="009F608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
    <w:name w:val="标题 3 Char1"/>
    <w:link w:val="3"/>
    <w:qFormat/>
    <w:rsid w:val="009F608B"/>
    <w:rPr>
      <w:rFonts w:ascii="宋体" w:eastAsia="宋体" w:hAnsi="宋体" w:cs="Times New Roman"/>
      <w:b/>
      <w:bCs/>
      <w:sz w:val="28"/>
      <w:szCs w:val="32"/>
    </w:rPr>
  </w:style>
  <w:style w:type="character" w:customStyle="1" w:styleId="4Char">
    <w:name w:val="标题 4 Char"/>
    <w:basedOn w:val="a0"/>
    <w:link w:val="4"/>
    <w:uiPriority w:val="9"/>
    <w:semiHidden/>
    <w:rsid w:val="009F608B"/>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08B"/>
    <w:pPr>
      <w:widowControl w:val="0"/>
      <w:jc w:val="both"/>
    </w:pPr>
    <w:rPr>
      <w:rFonts w:ascii="Times New Roman" w:eastAsia="宋体" w:hAnsi="Times New Roman" w:cs="Times New Roman"/>
      <w:szCs w:val="24"/>
    </w:rPr>
  </w:style>
  <w:style w:type="paragraph" w:styleId="3">
    <w:name w:val="heading 3"/>
    <w:basedOn w:val="4"/>
    <w:next w:val="a"/>
    <w:link w:val="3Char1"/>
    <w:qFormat/>
    <w:rsid w:val="009F608B"/>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9F608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F608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F608B"/>
    <w:rPr>
      <w:sz w:val="18"/>
      <w:szCs w:val="18"/>
    </w:rPr>
  </w:style>
  <w:style w:type="paragraph" w:styleId="a4">
    <w:name w:val="footer"/>
    <w:basedOn w:val="a"/>
    <w:link w:val="Char0"/>
    <w:uiPriority w:val="99"/>
    <w:unhideWhenUsed/>
    <w:rsid w:val="009F608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F608B"/>
    <w:rPr>
      <w:sz w:val="18"/>
      <w:szCs w:val="18"/>
    </w:rPr>
  </w:style>
  <w:style w:type="character" w:customStyle="1" w:styleId="3Char">
    <w:name w:val="标题 3 Char"/>
    <w:basedOn w:val="a0"/>
    <w:uiPriority w:val="9"/>
    <w:semiHidden/>
    <w:rsid w:val="009F608B"/>
    <w:rPr>
      <w:rFonts w:ascii="Times New Roman" w:eastAsia="宋体" w:hAnsi="Times New Roman" w:cs="Times New Roman"/>
      <w:b/>
      <w:bCs/>
      <w:sz w:val="32"/>
      <w:szCs w:val="32"/>
    </w:rPr>
  </w:style>
  <w:style w:type="table" w:styleId="a5">
    <w:name w:val="Table Grid"/>
    <w:basedOn w:val="a1"/>
    <w:qFormat/>
    <w:rsid w:val="009F608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
    <w:name w:val="标题 3 Char1"/>
    <w:link w:val="3"/>
    <w:qFormat/>
    <w:rsid w:val="009F608B"/>
    <w:rPr>
      <w:rFonts w:ascii="宋体" w:eastAsia="宋体" w:hAnsi="宋体" w:cs="Times New Roman"/>
      <w:b/>
      <w:bCs/>
      <w:sz w:val="28"/>
      <w:szCs w:val="32"/>
    </w:rPr>
  </w:style>
  <w:style w:type="character" w:customStyle="1" w:styleId="4Char">
    <w:name w:val="标题 4 Char"/>
    <w:basedOn w:val="a0"/>
    <w:link w:val="4"/>
    <w:uiPriority w:val="9"/>
    <w:semiHidden/>
    <w:rsid w:val="009F608B"/>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1470</Words>
  <Characters>8381</Characters>
  <Application>Microsoft Office Word</Application>
  <DocSecurity>0</DocSecurity>
  <Lines>69</Lines>
  <Paragraphs>19</Paragraphs>
  <ScaleCrop>false</ScaleCrop>
  <Company/>
  <LinksUpToDate>false</LinksUpToDate>
  <CharactersWithSpaces>9832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2023-06-08T06:15:00Z</dcterms:created>
  <dcterms:modified xsi:type="dcterms:W3CDTF">2023-06-08T06:15:00Z</dcterms:modified>
</cp:coreProperties>
</file>