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B23" w:rsidRPr="00216B23" w:rsidRDefault="00216B23" w:rsidP="00216B23">
      <w:pPr>
        <w:adjustRightInd w:val="0"/>
        <w:spacing w:before="260" w:after="260"/>
        <w:jc w:val="center"/>
        <w:textAlignment w:val="baseline"/>
        <w:outlineLvl w:val="1"/>
        <w:rPr>
          <w:rFonts w:ascii="NSimSun" w:eastAsia="NSimSun" w:hAnsi="NSimSun" w:cs="Times New Roman"/>
          <w:kern w:val="44"/>
          <w:sz w:val="30"/>
          <w:szCs w:val="30"/>
        </w:rPr>
      </w:pPr>
      <w:r w:rsidRPr="00216B23">
        <w:rPr>
          <w:rFonts w:ascii="NSimSun" w:eastAsia="NSimSun" w:hAnsi="NSimSun" w:cs="Times New Roman" w:hint="eastAsia"/>
          <w:kern w:val="44"/>
          <w:sz w:val="30"/>
          <w:szCs w:val="30"/>
        </w:rPr>
        <w:t>第二章  招标项目需求</w:t>
      </w:r>
    </w:p>
    <w:p w:rsidR="00216B23" w:rsidRPr="00216B23" w:rsidRDefault="00216B23" w:rsidP="00216B23">
      <w:pPr>
        <w:spacing w:before="260" w:after="260"/>
        <w:outlineLvl w:val="2"/>
        <w:rPr>
          <w:rFonts w:ascii="NSimSun" w:eastAsia="NSimSun" w:hAnsi="NSimSun" w:cs="Times New Roman"/>
          <w:kern w:val="44"/>
          <w:szCs w:val="28"/>
        </w:rPr>
      </w:pPr>
      <w:r w:rsidRPr="00216B23">
        <w:rPr>
          <w:rFonts w:ascii="NSimSun" w:eastAsia="NSimSun" w:hAnsi="NSimSun" w:cs="Times New Roman"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839"/>
        <w:gridCol w:w="5674"/>
      </w:tblGrid>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b/>
                <w:bCs/>
                <w:szCs w:val="24"/>
              </w:rPr>
            </w:pPr>
            <w:r w:rsidRPr="00216B23">
              <w:rPr>
                <w:rFonts w:ascii="NSimSun" w:eastAsia="NSimSun" w:hAnsi="NSimSun" w:cs="Times New Roman" w:hint="eastAsia"/>
                <w:b/>
                <w:bCs/>
                <w:szCs w:val="24"/>
              </w:rPr>
              <w:t>序号</w:t>
            </w:r>
          </w:p>
        </w:tc>
        <w:tc>
          <w:tcPr>
            <w:tcW w:w="2012" w:type="dxa"/>
            <w:vAlign w:val="center"/>
          </w:tcPr>
          <w:p w:rsidR="00216B23" w:rsidRPr="00216B23" w:rsidRDefault="00216B23" w:rsidP="00216B23">
            <w:pPr>
              <w:spacing w:line="276" w:lineRule="auto"/>
              <w:jc w:val="center"/>
              <w:rPr>
                <w:rFonts w:ascii="NSimSun" w:eastAsia="NSimSun" w:hAnsi="NSimSun" w:cs="Times New Roman"/>
                <w:b/>
                <w:bCs/>
                <w:szCs w:val="24"/>
              </w:rPr>
            </w:pPr>
            <w:r w:rsidRPr="00216B23">
              <w:rPr>
                <w:rFonts w:ascii="NSimSun" w:eastAsia="NSimSun" w:hAnsi="NSimSun" w:cs="Times New Roman" w:hint="eastAsia"/>
                <w:b/>
                <w:bCs/>
                <w:szCs w:val="24"/>
              </w:rPr>
              <w:t>内   容</w:t>
            </w:r>
          </w:p>
        </w:tc>
        <w:tc>
          <w:tcPr>
            <w:tcW w:w="6239" w:type="dxa"/>
            <w:vAlign w:val="center"/>
          </w:tcPr>
          <w:p w:rsidR="00216B23" w:rsidRPr="00216B23" w:rsidRDefault="00216B23" w:rsidP="00216B23">
            <w:pPr>
              <w:spacing w:line="276" w:lineRule="auto"/>
              <w:jc w:val="center"/>
              <w:rPr>
                <w:rFonts w:ascii="NSimSun" w:eastAsia="NSimSun" w:hAnsi="NSimSun" w:cs="Times New Roman"/>
                <w:b/>
                <w:bCs/>
                <w:szCs w:val="24"/>
              </w:rPr>
            </w:pPr>
            <w:r w:rsidRPr="00216B23">
              <w:rPr>
                <w:rFonts w:ascii="NSimSun" w:eastAsia="NSimSun" w:hAnsi="NSimSun" w:cs="Times New Roman" w:hint="eastAsia"/>
                <w:b/>
                <w:bCs/>
                <w:szCs w:val="24"/>
              </w:rPr>
              <w:t>规      定</w:t>
            </w:r>
          </w:p>
        </w:tc>
      </w:tr>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szCs w:val="24"/>
              </w:rPr>
            </w:pPr>
            <w:r w:rsidRPr="00216B23">
              <w:rPr>
                <w:rFonts w:ascii="NSimSun" w:eastAsia="NSimSun" w:hAnsi="NSimSun" w:cs="Times New Roman" w:hint="eastAsia"/>
                <w:szCs w:val="24"/>
              </w:rPr>
              <w:t>1</w:t>
            </w:r>
          </w:p>
        </w:tc>
        <w:tc>
          <w:tcPr>
            <w:tcW w:w="2012"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联合体投标</w:t>
            </w:r>
          </w:p>
        </w:tc>
        <w:tc>
          <w:tcPr>
            <w:tcW w:w="6239" w:type="dxa"/>
            <w:vAlign w:val="center"/>
          </w:tcPr>
          <w:p w:rsidR="00216B23" w:rsidRPr="00216B23" w:rsidRDefault="00216B23" w:rsidP="00216B23">
            <w:pPr>
              <w:spacing w:line="276" w:lineRule="auto"/>
              <w:rPr>
                <w:rFonts w:ascii="NSimSun" w:eastAsia="NSimSun" w:hAnsi="NSimSun" w:cs="Times New Roman"/>
                <w:snapToGrid w:val="0"/>
                <w:kern w:val="0"/>
                <w:szCs w:val="32"/>
                <w:u w:val="single"/>
                <w:lang w:val="zh-CN"/>
              </w:rPr>
            </w:pPr>
            <w:r w:rsidRPr="00216B23">
              <w:rPr>
                <w:rFonts w:ascii="NSimSun" w:eastAsia="NSimSun" w:hAnsi="NSimSun" w:cs="Times New Roman" w:hint="eastAsia"/>
                <w:snapToGrid w:val="0"/>
                <w:kern w:val="0"/>
                <w:szCs w:val="32"/>
                <w:u w:val="single"/>
                <w:lang w:val="zh-CN"/>
              </w:rPr>
              <w:t>见《招标公告》中“投标人资格要求”部分的相关内容</w:t>
            </w:r>
          </w:p>
        </w:tc>
      </w:tr>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szCs w:val="24"/>
              </w:rPr>
            </w:pPr>
            <w:r w:rsidRPr="00216B23">
              <w:rPr>
                <w:rFonts w:ascii="NSimSun" w:eastAsia="NSimSun" w:hAnsi="NSimSun" w:cs="Times New Roman" w:hint="eastAsia"/>
                <w:szCs w:val="24"/>
              </w:rPr>
              <w:t>2</w:t>
            </w:r>
          </w:p>
        </w:tc>
        <w:tc>
          <w:tcPr>
            <w:tcW w:w="2012"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投标有效期</w:t>
            </w:r>
          </w:p>
        </w:tc>
        <w:tc>
          <w:tcPr>
            <w:tcW w:w="623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u w:val="single"/>
              </w:rPr>
              <w:t>120</w:t>
            </w:r>
            <w:r w:rsidRPr="00216B23">
              <w:rPr>
                <w:rFonts w:ascii="NSimSun" w:eastAsia="NSimSun" w:hAnsi="NSimSun" w:cs="Times New Roman"/>
                <w:szCs w:val="24"/>
                <w:u w:val="single"/>
              </w:rPr>
              <w:t>日历天</w:t>
            </w:r>
            <w:r w:rsidRPr="00216B23">
              <w:rPr>
                <w:rFonts w:ascii="NSimSun" w:eastAsia="NSimSun" w:hAnsi="NSimSun" w:cs="Times New Roman"/>
                <w:szCs w:val="24"/>
              </w:rPr>
              <w:t>（从投标截止之日算起）</w:t>
            </w:r>
          </w:p>
        </w:tc>
      </w:tr>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szCs w:val="24"/>
              </w:rPr>
            </w:pPr>
            <w:r w:rsidRPr="00216B23">
              <w:rPr>
                <w:rFonts w:ascii="NSimSun" w:eastAsia="NSimSun" w:hAnsi="NSimSun" w:cs="Times New Roman" w:hint="eastAsia"/>
                <w:szCs w:val="24"/>
              </w:rPr>
              <w:t>3</w:t>
            </w:r>
          </w:p>
        </w:tc>
        <w:tc>
          <w:tcPr>
            <w:tcW w:w="2012"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投标人的替代方案</w:t>
            </w:r>
          </w:p>
        </w:tc>
        <w:tc>
          <w:tcPr>
            <w:tcW w:w="623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不允许</w:t>
            </w:r>
          </w:p>
        </w:tc>
      </w:tr>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szCs w:val="24"/>
              </w:rPr>
            </w:pPr>
            <w:r w:rsidRPr="00216B23">
              <w:rPr>
                <w:rFonts w:ascii="NSimSun" w:eastAsia="NSimSun" w:hAnsi="NSimSun" w:cs="Times New Roman" w:hint="eastAsia"/>
                <w:szCs w:val="24"/>
              </w:rPr>
              <w:t>4</w:t>
            </w:r>
          </w:p>
        </w:tc>
        <w:tc>
          <w:tcPr>
            <w:tcW w:w="2012"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投标文件的投递</w:t>
            </w:r>
          </w:p>
        </w:tc>
        <w:tc>
          <w:tcPr>
            <w:tcW w:w="623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napToGrid w:val="0"/>
                <w:szCs w:val="21"/>
                <w:lang w:val="zh-CN"/>
              </w:rPr>
              <w:t>本项目实行</w:t>
            </w:r>
            <w:bookmarkStart w:id="0" w:name="投递标书方式"/>
            <w:r w:rsidRPr="00216B23">
              <w:rPr>
                <w:rFonts w:ascii="NSimSun" w:eastAsia="NSimSun" w:hAnsi="NSimSun" w:cs="Times New Roman" w:hint="eastAsia"/>
                <w:snapToGrid w:val="0"/>
                <w:szCs w:val="21"/>
                <w:u w:val="single"/>
                <w:lang w:val="zh-CN"/>
              </w:rPr>
              <w:t>网下投标</w:t>
            </w:r>
            <w:bookmarkEnd w:id="0"/>
            <w:r w:rsidRPr="00216B23">
              <w:rPr>
                <w:rFonts w:ascii="NSimSun" w:eastAsia="NSimSun" w:hAnsi="NSimSun"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216B23">
              <w:rPr>
                <w:rFonts w:ascii="NSimSun" w:eastAsia="NSimSun" w:hAnsi="NSimSun" w:cs="SimSun" w:hint="eastAsia"/>
                <w:snapToGrid w:val="0"/>
                <w:szCs w:val="21"/>
                <w:lang w:val="zh-CN"/>
              </w:rPr>
              <w:t>应答文件</w:t>
            </w:r>
            <w:r w:rsidRPr="00216B23">
              <w:rPr>
                <w:rFonts w:ascii="NSimSun" w:eastAsia="NSimSun" w:hAnsi="NSimSun" w:cs="Times New Roman"/>
                <w:snapToGrid w:val="0"/>
                <w:szCs w:val="21"/>
                <w:lang w:val="zh-CN"/>
              </w:rPr>
              <w:t>应于</w:t>
            </w:r>
            <w:r w:rsidRPr="00216B23">
              <w:rPr>
                <w:rFonts w:ascii="NSimSun" w:eastAsia="NSimSun" w:hAnsi="NSimSun" w:cs="Times New Roman" w:hint="eastAsia"/>
                <w:snapToGrid w:val="0"/>
                <w:szCs w:val="21"/>
                <w:lang w:val="zh-CN"/>
              </w:rPr>
              <w:t>递交截止时间</w:t>
            </w:r>
            <w:r w:rsidRPr="00216B23">
              <w:rPr>
                <w:rFonts w:ascii="NSimSun" w:eastAsia="NSimSun" w:hAnsi="NSimSun" w:cs="Times New Roman"/>
                <w:snapToGrid w:val="0"/>
                <w:szCs w:val="21"/>
                <w:lang w:val="zh-CN"/>
              </w:rPr>
              <w:t>之前</w:t>
            </w:r>
            <w:r w:rsidRPr="00216B23">
              <w:rPr>
                <w:rFonts w:ascii="NSimSun" w:eastAsia="NSimSun" w:hAnsi="NSimSun" w:cs="Times New Roman" w:hint="eastAsia"/>
                <w:snapToGrid w:val="0"/>
                <w:szCs w:val="21"/>
                <w:lang w:val="zh-CN"/>
              </w:rPr>
              <w:t>送达招标文件规定的地址</w:t>
            </w:r>
            <w:r w:rsidRPr="00216B23">
              <w:rPr>
                <w:rFonts w:ascii="NSimSun" w:eastAsia="NSimSun" w:hAnsi="NSimSun" w:cs="Times New Roman"/>
                <w:snapToGrid w:val="0"/>
                <w:szCs w:val="21"/>
                <w:lang w:val="zh-CN"/>
              </w:rPr>
              <w:t>。</w:t>
            </w:r>
          </w:p>
        </w:tc>
      </w:tr>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szCs w:val="24"/>
              </w:rPr>
            </w:pPr>
            <w:r w:rsidRPr="00216B23">
              <w:rPr>
                <w:rFonts w:ascii="NSimSun" w:eastAsia="NSimSun" w:hAnsi="NSimSun" w:cs="Times New Roman" w:hint="eastAsia"/>
                <w:szCs w:val="24"/>
              </w:rPr>
              <w:t>5</w:t>
            </w:r>
          </w:p>
        </w:tc>
        <w:tc>
          <w:tcPr>
            <w:tcW w:w="2012"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履约保证金</w:t>
            </w:r>
          </w:p>
        </w:tc>
        <w:tc>
          <w:tcPr>
            <w:tcW w:w="623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_____万元或合同金额的_____%，缴纳方式：</w:t>
            </w:r>
          </w:p>
        </w:tc>
      </w:tr>
      <w:tr w:rsidR="00216B23" w:rsidRPr="00216B23" w:rsidTr="00C564A6">
        <w:trPr>
          <w:cantSplit/>
          <w:trHeight w:val="20"/>
          <w:jc w:val="center"/>
        </w:trPr>
        <w:tc>
          <w:tcPr>
            <w:tcW w:w="827" w:type="dxa"/>
            <w:vAlign w:val="center"/>
          </w:tcPr>
          <w:p w:rsidR="00216B23" w:rsidRPr="00216B23" w:rsidRDefault="00216B23" w:rsidP="00216B23">
            <w:pPr>
              <w:spacing w:line="276" w:lineRule="auto"/>
              <w:jc w:val="center"/>
              <w:rPr>
                <w:rFonts w:ascii="NSimSun" w:eastAsia="NSimSun" w:hAnsi="NSimSun" w:cs="Times New Roman"/>
                <w:szCs w:val="24"/>
              </w:rPr>
            </w:pPr>
            <w:r w:rsidRPr="00216B23">
              <w:rPr>
                <w:rFonts w:ascii="NSimSun" w:eastAsia="NSimSun" w:hAnsi="NSimSun" w:cs="Times New Roman" w:hint="eastAsia"/>
                <w:szCs w:val="24"/>
              </w:rPr>
              <w:t>6</w:t>
            </w:r>
          </w:p>
        </w:tc>
        <w:tc>
          <w:tcPr>
            <w:tcW w:w="2012"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中标</w:t>
            </w:r>
            <w:r w:rsidRPr="00216B23">
              <w:rPr>
                <w:rFonts w:ascii="NSimSun" w:eastAsia="NSimSun" w:hAnsi="NSimSun" w:cs="Times New Roman"/>
                <w:szCs w:val="24"/>
              </w:rPr>
              <w:t>服务费</w:t>
            </w:r>
          </w:p>
        </w:tc>
        <w:tc>
          <w:tcPr>
            <w:tcW w:w="623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216B23" w:rsidRPr="00216B23" w:rsidRDefault="00216B23" w:rsidP="00216B23">
      <w:pPr>
        <w:spacing w:line="360" w:lineRule="auto"/>
        <w:rPr>
          <w:rFonts w:ascii="NSimSun" w:eastAsia="NSimSun" w:hAnsi="NSimSun" w:cs="Times New Roman"/>
          <w:b/>
          <w:szCs w:val="24"/>
        </w:rPr>
      </w:pPr>
      <w:r w:rsidRPr="00216B23">
        <w:rPr>
          <w:rFonts w:ascii="NSimSun" w:eastAsia="NSimSun" w:hAnsi="NSimSun" w:cs="Times New Roman" w:hint="eastAsia"/>
          <w:szCs w:val="21"/>
        </w:rPr>
        <w:t>备注：本表为通用条款相关内容的补充和明确，如与通用条款相冲突的以本表为准。</w:t>
      </w:r>
    </w:p>
    <w:p w:rsidR="00216B23" w:rsidRPr="00216B23" w:rsidRDefault="00216B23" w:rsidP="00216B23">
      <w:pPr>
        <w:rPr>
          <w:rFonts w:ascii="NSimSun" w:eastAsia="NSimSun" w:hAnsi="NSimSun" w:cs="Times New Roman"/>
          <w:b/>
          <w:szCs w:val="24"/>
        </w:rPr>
      </w:pPr>
    </w:p>
    <w:p w:rsidR="00216B23" w:rsidRPr="00216B23" w:rsidRDefault="00216B23" w:rsidP="00216B23">
      <w:pPr>
        <w:spacing w:before="260" w:after="260"/>
        <w:outlineLvl w:val="2"/>
        <w:rPr>
          <w:rFonts w:ascii="NSimSun" w:eastAsia="NSimSun" w:hAnsi="NSimSun" w:cs="Times New Roman"/>
          <w:kern w:val="44"/>
          <w:szCs w:val="28"/>
        </w:rPr>
      </w:pPr>
      <w:bookmarkStart w:id="1" w:name="_Toc128884461"/>
      <w:r w:rsidRPr="00216B23">
        <w:rPr>
          <w:rFonts w:ascii="NSimSun" w:eastAsia="NSimSun" w:hAnsi="NSimSun" w:cs="Times New Roman"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7362"/>
      </w:tblGrid>
      <w:tr w:rsidR="00216B23" w:rsidRPr="00216B23" w:rsidTr="00C564A6">
        <w:trPr>
          <w:jc w:val="center"/>
        </w:trPr>
        <w:tc>
          <w:tcPr>
            <w:tcW w:w="95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序号</w:t>
            </w:r>
          </w:p>
        </w:tc>
        <w:tc>
          <w:tcPr>
            <w:tcW w:w="7938"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具体内容</w:t>
            </w:r>
          </w:p>
        </w:tc>
      </w:tr>
      <w:tr w:rsidR="00216B23" w:rsidRPr="00216B23" w:rsidTr="00C564A6">
        <w:trPr>
          <w:jc w:val="center"/>
        </w:trPr>
        <w:tc>
          <w:tcPr>
            <w:tcW w:w="95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1</w:t>
            </w:r>
          </w:p>
        </w:tc>
        <w:tc>
          <w:tcPr>
            <w:tcW w:w="7938"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完全满足本项目服务期限的要求。</w:t>
            </w:r>
          </w:p>
        </w:tc>
      </w:tr>
      <w:tr w:rsidR="00216B23" w:rsidRPr="00216B23" w:rsidTr="00C564A6">
        <w:trPr>
          <w:jc w:val="center"/>
        </w:trPr>
        <w:tc>
          <w:tcPr>
            <w:tcW w:w="95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2</w:t>
            </w:r>
          </w:p>
        </w:tc>
        <w:tc>
          <w:tcPr>
            <w:tcW w:w="7938" w:type="dxa"/>
            <w:vAlign w:val="center"/>
          </w:tcPr>
          <w:p w:rsidR="00216B23" w:rsidRPr="00216B23" w:rsidRDefault="00216B23" w:rsidP="00216B23">
            <w:pPr>
              <w:spacing w:line="276" w:lineRule="auto"/>
              <w:rPr>
                <w:rFonts w:ascii="NSimSun" w:eastAsia="NSimSun" w:hAnsi="NSimSun" w:cs="Times New Roman"/>
                <w:szCs w:val="24"/>
              </w:rPr>
            </w:pPr>
          </w:p>
        </w:tc>
      </w:tr>
      <w:tr w:rsidR="00216B23" w:rsidRPr="00216B23" w:rsidTr="00C564A6">
        <w:trPr>
          <w:jc w:val="center"/>
        </w:trPr>
        <w:tc>
          <w:tcPr>
            <w:tcW w:w="959" w:type="dxa"/>
            <w:vAlign w:val="center"/>
          </w:tcPr>
          <w:p w:rsidR="00216B23" w:rsidRPr="00216B23" w:rsidRDefault="00216B23" w:rsidP="00216B23">
            <w:pPr>
              <w:spacing w:line="276" w:lineRule="auto"/>
              <w:rPr>
                <w:rFonts w:ascii="NSimSun" w:eastAsia="NSimSun" w:hAnsi="NSimSun" w:cs="Times New Roman"/>
                <w:szCs w:val="24"/>
              </w:rPr>
            </w:pPr>
            <w:r w:rsidRPr="00216B23">
              <w:rPr>
                <w:rFonts w:ascii="NSimSun" w:eastAsia="NSimSun" w:hAnsi="NSimSun" w:cs="Times New Roman" w:hint="eastAsia"/>
                <w:szCs w:val="24"/>
              </w:rPr>
              <w:t>……</w:t>
            </w:r>
          </w:p>
        </w:tc>
        <w:tc>
          <w:tcPr>
            <w:tcW w:w="7938" w:type="dxa"/>
            <w:vAlign w:val="center"/>
          </w:tcPr>
          <w:p w:rsidR="00216B23" w:rsidRPr="00216B23" w:rsidRDefault="00216B23" w:rsidP="00216B23">
            <w:pPr>
              <w:spacing w:line="276" w:lineRule="auto"/>
              <w:rPr>
                <w:rFonts w:ascii="NSimSun" w:eastAsia="NSimSun" w:hAnsi="NSimSun" w:cs="Times New Roman"/>
                <w:szCs w:val="24"/>
              </w:rPr>
            </w:pPr>
          </w:p>
        </w:tc>
      </w:tr>
    </w:tbl>
    <w:p w:rsidR="00216B23" w:rsidRPr="00216B23" w:rsidRDefault="00216B23" w:rsidP="00216B23">
      <w:pPr>
        <w:widowControl/>
        <w:spacing w:after="100" w:afterAutospacing="1" w:line="276" w:lineRule="auto"/>
        <w:jc w:val="left"/>
        <w:rPr>
          <w:rFonts w:ascii="NSimSun" w:eastAsia="NSimSun" w:hAnsi="NSimSun" w:cs="Times New Roman"/>
          <w:kern w:val="0"/>
          <w:szCs w:val="21"/>
        </w:rPr>
      </w:pPr>
      <w:r w:rsidRPr="00216B23">
        <w:rPr>
          <w:rFonts w:ascii="NSimSun" w:eastAsia="NSimSun" w:hAnsi="NSimSun" w:cs="Times New Roman" w:hint="eastAsia"/>
          <w:kern w:val="0"/>
          <w:szCs w:val="21"/>
        </w:rPr>
        <w:t>注：上表所列内容为不可负偏离条款</w:t>
      </w:r>
    </w:p>
    <w:bookmarkEnd w:id="1"/>
    <w:p w:rsidR="00216B23" w:rsidRPr="00216B23" w:rsidRDefault="00216B23" w:rsidP="00216B23">
      <w:pPr>
        <w:spacing w:before="260" w:after="260"/>
        <w:outlineLvl w:val="2"/>
        <w:rPr>
          <w:rFonts w:ascii="NSimSun" w:eastAsia="NSimSun" w:hAnsi="NSimSun" w:cs="Times New Roman"/>
          <w:kern w:val="44"/>
          <w:szCs w:val="28"/>
        </w:rPr>
      </w:pPr>
      <w:r w:rsidRPr="00216B23">
        <w:rPr>
          <w:rFonts w:ascii="NSimSun" w:eastAsia="NSimSun" w:hAnsi="NSimSun" w:cs="Times New Roman" w:hint="eastAsia"/>
          <w:kern w:val="44"/>
          <w:szCs w:val="28"/>
        </w:rPr>
        <w:t>三、项目概况</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（一）</w:t>
      </w:r>
      <w:r w:rsidRPr="00216B23">
        <w:rPr>
          <w:rFonts w:ascii="NSimSun" w:eastAsia="NSimSun" w:hAnsi="NSimSun" w:cs="SimSun"/>
          <w:szCs w:val="21"/>
        </w:rPr>
        <w:t>预算</w:t>
      </w:r>
      <w:r w:rsidRPr="00216B23">
        <w:rPr>
          <w:rFonts w:ascii="NSimSun" w:eastAsia="NSimSun" w:hAnsi="NSimSun" w:cs="SimSun" w:hint="eastAsia"/>
          <w:szCs w:val="21"/>
        </w:rPr>
        <w:t xml:space="preserve">金额: </w:t>
      </w:r>
      <w:r w:rsidRPr="00216B23">
        <w:rPr>
          <w:rFonts w:ascii="NSimSun" w:eastAsia="NSimSun" w:hAnsi="NSimSun" w:cs="Times New Roman" w:hint="eastAsia"/>
          <w:szCs w:val="21"/>
        </w:rPr>
        <w:t>人民币叁拾贰万元（320,000.00）</w:t>
      </w:r>
      <w:r w:rsidRPr="00216B23">
        <w:rPr>
          <w:rFonts w:ascii="NSimSun" w:eastAsia="NSimSun" w:hAnsi="NSimSun" w:cs="SimSun" w:hint="eastAsia"/>
          <w:szCs w:val="21"/>
        </w:rPr>
        <w:t>，</w:t>
      </w:r>
      <w:r w:rsidRPr="00216B23">
        <w:rPr>
          <w:rFonts w:ascii="NSimSun" w:eastAsia="NSimSun" w:hAnsi="NSimSun" w:cs="SimSun"/>
          <w:szCs w:val="21"/>
        </w:rPr>
        <w:t>最高投标限价</w:t>
      </w:r>
      <w:r w:rsidRPr="00216B23">
        <w:rPr>
          <w:rFonts w:ascii="NSimSun" w:eastAsia="NSimSun" w:hAnsi="NSimSun" w:cs="SimSun" w:hint="eastAsia"/>
          <w:szCs w:val="21"/>
        </w:rPr>
        <w:t>:</w:t>
      </w:r>
      <w:r w:rsidRPr="00216B23">
        <w:rPr>
          <w:rFonts w:ascii="NSimSun" w:eastAsia="NSimSun" w:hAnsi="NSimSun" w:cs="Times New Roman" w:hint="eastAsia"/>
          <w:szCs w:val="21"/>
        </w:rPr>
        <w:t>人民币叁拾贰万元（320,000.00）</w:t>
      </w:r>
    </w:p>
    <w:p w:rsidR="00216B23" w:rsidRPr="00216B23" w:rsidRDefault="00216B23" w:rsidP="00216B23">
      <w:pPr>
        <w:spacing w:after="120" w:line="570" w:lineRule="exact"/>
        <w:rPr>
          <w:rFonts w:ascii="NSimSun" w:eastAsia="NSimSun" w:hAnsi="NSimSun" w:cs="Times New Roman"/>
          <w:szCs w:val="21"/>
        </w:rPr>
      </w:pPr>
      <w:r w:rsidRPr="00216B23">
        <w:rPr>
          <w:rFonts w:ascii="NSimSun" w:eastAsia="NSimSun" w:hAnsi="NSimSun" w:cs="SimSun" w:hint="eastAsia"/>
          <w:szCs w:val="21"/>
        </w:rPr>
        <w:t>（二）项目概况: 个人破产制度试点是国家授权深圳开展的重要改革任务，成立破产事务管理机构是个人破产试点改革的重要内容，而防范债务人利用个人破产程序逃废债一直是个人</w:t>
      </w:r>
      <w:r w:rsidRPr="00216B23">
        <w:rPr>
          <w:rFonts w:ascii="NSimSun" w:eastAsia="NSimSun" w:hAnsi="NSimSun" w:cs="SimSun" w:hint="eastAsia"/>
          <w:szCs w:val="21"/>
        </w:rPr>
        <w:lastRenderedPageBreak/>
        <w:t>破产制度试点中社会各界最关心的问题，如何回应、解决社会对破产欺诈的关切会在一定程度上影响个人破产制度运行的根基。赋予破产事务管理机构“调查权”，能在一定程度上对个人破产欺诈行为进行规制，能够更好甄别是否属于“诚实而不幸”的债务人，更好保障债权人利益，避免个人破产程序沦为债务人逃废债的工具，保证个人破产制度行稳致远。同时对于完善破产事务管理署的机构职能，明确未来的发展战略、具体路径，提升破产事务管理署高质量、可持续发展的规划保障能力意义重大。</w:t>
      </w:r>
    </w:p>
    <w:p w:rsidR="00216B23" w:rsidRPr="00216B23" w:rsidRDefault="00216B23" w:rsidP="00216B23">
      <w:pPr>
        <w:spacing w:before="260" w:after="260"/>
        <w:outlineLvl w:val="2"/>
        <w:rPr>
          <w:rFonts w:ascii="NSimSun" w:eastAsia="NSimSun" w:hAnsi="NSimSun" w:cs="Times New Roman"/>
          <w:kern w:val="44"/>
          <w:szCs w:val="28"/>
        </w:rPr>
      </w:pPr>
      <w:r w:rsidRPr="00216B23">
        <w:rPr>
          <w:rFonts w:ascii="NSimSun" w:eastAsia="NSimSun" w:hAnsi="NSimSun" w:cs="Times New Roman" w:hint="eastAsia"/>
          <w:kern w:val="44"/>
          <w:szCs w:val="28"/>
        </w:rPr>
        <w:t>四、项目技术要求</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（一）服务内容</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1.国内资料研究。研究国内涉及政府机构管理方面的法律法规，联系市委编办关于设立市破产事务管理署的有关文件和《个破条例》中对于破产事务管理署的职责规定，论证开展本项目的背景、必要性及主要目标。</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2.比较研究分析。考察英国、美国、香港等国外、境外破产事务管理机构以及与破产事务管理相关机构的调查权在破产案件办理、检查监督、反破产欺诈等工作中发挥的作用、运作方式以及相关法律制度的理论研究及具体规定，比较研究并分析各种模式和相关制度的利弊。</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3.开展实地调研考察。根据破产事务管理署要求，可组织考察开展境外实地调研，考察国外、境外破产事务管理机构以及与破产事务管理相关机构的调查权在破产案件办理中发挥的作用。</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4.研究成果。在前期调研基础上，形成《赋予破产事务管理机构‘调查权’研究报告》，完成有关资料文献汇编。</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（二）人员要求</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1.考虑项目的特点，有面向政府部门提供法律服务经验的、参与过行政机关立法调研起草（含地方性法规、政府规章、规范性文件及其他政策文件）项目或者上述立法项目专家论证及风险评估项目的团队优先。</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2.组成研究团队不少于3人，均有法律专业教育背景或相关工作经验。</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3.中标单位不得擅自更换团队成员，服务期内未经招标单位同意不得擅自更换。人员有变动时，应当提前至少2周向招标单位提出书面申请，经招标单位同意后方可更换。</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（三）研究成果</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lastRenderedPageBreak/>
        <w:t>1.国内资料研究。确定中标单位之日起1个月内，组建稳定工作团队，开展资料收集，广泛查明、收集涉及政府机构管理相关文献资料。</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2.比较研究分析。2023年7月底前，完成比较研究分析工作，对</w:t>
      </w:r>
      <w:r w:rsidRPr="00216B23">
        <w:rPr>
          <w:rFonts w:ascii="NSimSun" w:eastAsia="NSimSun" w:hAnsi="NSimSun" w:cs="Times New Roman" w:hint="eastAsia"/>
          <w:szCs w:val="24"/>
          <w:lang w:eastAsia="zh-Hans"/>
        </w:rPr>
        <w:t>美国、英国、日本</w:t>
      </w:r>
      <w:r w:rsidRPr="00216B23">
        <w:rPr>
          <w:rFonts w:ascii="NSimSun" w:eastAsia="NSimSun" w:hAnsi="NSimSun" w:cs="Times New Roman" w:hint="eastAsia"/>
          <w:szCs w:val="24"/>
        </w:rPr>
        <w:t>、韩国、</w:t>
      </w:r>
      <w:r w:rsidRPr="00216B23">
        <w:rPr>
          <w:rFonts w:ascii="NSimSun" w:eastAsia="NSimSun" w:hAnsi="NSimSun" w:cs="Times New Roman" w:hint="eastAsia"/>
          <w:szCs w:val="24"/>
          <w:lang w:eastAsia="zh-Hans"/>
        </w:rPr>
        <w:t>香港等地</w:t>
      </w:r>
      <w:r w:rsidRPr="00216B23">
        <w:rPr>
          <w:rFonts w:ascii="NSimSun" w:eastAsia="NSimSun" w:hAnsi="NSimSun" w:cs="Times New Roman" w:hint="eastAsia"/>
          <w:szCs w:val="24"/>
        </w:rPr>
        <w:t>破产事务管理机构以及与破产事务管理相关的机构调查权在破产案件办理、检查监督、反破产欺诈等工作中发挥的作用以及相关法律制度的理论研究及具体规定，比较研究并分析各种模式和相关制度的利弊，在此期间形成《赋予破产事务管理机构‘调查权’研究报告》（初稿）。</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3.开展调研考察。2023年9月底前，根据破产事务管理署要求，可组织考察开展境外实地调研，考察国外、境外破产事务管理机构以及与破产事务管理相关机构的调查权在破产案件办理中发挥的作用，比较研究并分析各种模式和相关制度的利弊。在此期间形成《赋予破产事务管理机构‘调查权’研究报告》（中期稿）。</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4.咨询论证。2023年10月中旬前组织专家对成果进行咨询论证，并根据咨询论证及破产事务管理署有关意见建议，修改形成《赋予破产事务管理机构‘调查权’研究报告（建议稿）》。</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5.组织项目结题。2023年11月中旬前，组织召开专家评审会，对《赋予破产事务管理机构‘调查权’研究报告（建议稿）》进行审议，并根据破产事务管理署和有关专家评审意见和建议形成项目研究最终成果。</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（四）、知识产权</w:t>
      </w:r>
      <w:r w:rsidRPr="00216B23">
        <w:rPr>
          <w:rFonts w:ascii="NSimSun" w:eastAsia="NSimSun" w:hAnsi="NSimSun" w:cs="Times New Roman" w:hint="eastAsia"/>
          <w:szCs w:val="24"/>
        </w:rPr>
        <w:tab/>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1、中标人在履行合同的过程中不得侵犯他人知识产权，不得提供虚假知识产权申请材料或者违背知识产权合规性承诺，否则依法追究其违约等责任，并将其失信违法信息依法纳入公共信用信息系统。</w:t>
      </w:r>
    </w:p>
    <w:p w:rsidR="00216B23" w:rsidRPr="00216B23" w:rsidRDefault="00216B23" w:rsidP="00216B23">
      <w:pPr>
        <w:spacing w:line="360" w:lineRule="auto"/>
        <w:rPr>
          <w:rFonts w:ascii="NSimSun" w:eastAsia="NSimSun" w:hAnsi="NSimSun" w:cs="Times New Roman"/>
          <w:szCs w:val="24"/>
        </w:rPr>
      </w:pPr>
      <w:r w:rsidRPr="00216B23">
        <w:rPr>
          <w:rFonts w:ascii="NSimSun" w:eastAsia="NSimSun" w:hAnsi="NSimSun" w:cs="Times New Roman" w:hint="eastAsia"/>
          <w:szCs w:val="24"/>
        </w:rPr>
        <w:t>2、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216B23" w:rsidRPr="00216B23" w:rsidRDefault="00216B23" w:rsidP="00216B23">
      <w:pPr>
        <w:spacing w:line="360" w:lineRule="auto"/>
        <w:rPr>
          <w:rFonts w:ascii="Times New Roman" w:eastAsia="SimSun" w:hAnsi="Times New Roman" w:cs="Times New Roman"/>
          <w:szCs w:val="24"/>
        </w:rPr>
      </w:pPr>
      <w:r w:rsidRPr="00216B23">
        <w:rPr>
          <w:rFonts w:ascii="NSimSun" w:eastAsia="NSimSun" w:hAnsi="NSimSun" w:cs="Times New Roman" w:hint="eastAsia"/>
          <w:szCs w:val="24"/>
        </w:rPr>
        <w:t>3、本次项目形成的所有成果报告版权归采购人所有。</w:t>
      </w:r>
    </w:p>
    <w:p w:rsidR="00216B23" w:rsidRPr="00216B23" w:rsidRDefault="00216B23" w:rsidP="00216B23">
      <w:pPr>
        <w:spacing w:line="360" w:lineRule="auto"/>
        <w:rPr>
          <w:rFonts w:ascii="NSimSun" w:eastAsia="NSimSun" w:hAnsi="NSimSun" w:cs="Times New Roman"/>
          <w:kern w:val="44"/>
          <w:szCs w:val="28"/>
        </w:rPr>
      </w:pPr>
      <w:r w:rsidRPr="00216B23">
        <w:rPr>
          <w:rFonts w:ascii="NSimSun" w:eastAsia="NSimSun" w:hAnsi="NSimSun" w:cs="Times New Roman" w:hint="eastAsia"/>
          <w:kern w:val="44"/>
          <w:szCs w:val="28"/>
        </w:rPr>
        <w:t>五、项目商务要求</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（一）服务期限：自合同签订之日起至2023年12月</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（二）付款方式：财政性付款。</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分三次支付：签订委托合同且甲方收到乙方提供的有效发票后10个工作日内支付首期款，</w:t>
      </w:r>
      <w:r w:rsidRPr="00216B23">
        <w:rPr>
          <w:rFonts w:ascii="NSimSun" w:eastAsia="NSimSun" w:hAnsi="NSimSun" w:cs="SimSun" w:hint="eastAsia"/>
          <w:szCs w:val="21"/>
        </w:rPr>
        <w:lastRenderedPageBreak/>
        <w:t>为中标金额的70%；</w:t>
      </w:r>
    </w:p>
    <w:p w:rsidR="00216B23" w:rsidRPr="00216B23" w:rsidRDefault="00216B23" w:rsidP="00216B23">
      <w:pPr>
        <w:spacing w:line="360" w:lineRule="auto"/>
        <w:rPr>
          <w:rFonts w:ascii="Times New Roman" w:eastAsia="SimSun" w:hAnsi="Times New Roman" w:cs="Times New Roman"/>
          <w:szCs w:val="24"/>
        </w:rPr>
      </w:pPr>
      <w:r w:rsidRPr="00216B23">
        <w:rPr>
          <w:rFonts w:ascii="NSimSun" w:eastAsia="NSimSun" w:hAnsi="NSimSun" w:cs="SimSun" w:hint="eastAsia"/>
          <w:szCs w:val="21"/>
        </w:rPr>
        <w:t>2023年9月底前，完成《赋予破产事务管理机构‘调查权’研究报告》（中期稿），且甲方收到乙方提供的有效发票后10个工作日内支付首期款，为中标金额的20%；。</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2023年12月底前，项目全部完成并通过采购人行政验收后10个工作日内完成尾款支付，为中标金额的10%。</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（三）质量考核验收标准及违约金</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1.质量考核验收标准：本项目服务中标人提交的成果通过专家评审和采购人审核验收</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2.违约金：以合同签订为准</w:t>
      </w:r>
    </w:p>
    <w:p w:rsidR="00216B23" w:rsidRPr="00216B23" w:rsidRDefault="00216B23" w:rsidP="00216B23">
      <w:pPr>
        <w:spacing w:line="360" w:lineRule="auto"/>
        <w:rPr>
          <w:rFonts w:ascii="NSimSun" w:eastAsia="NSimSun" w:hAnsi="NSimSun" w:cs="Times New Roman"/>
          <w:kern w:val="44"/>
          <w:szCs w:val="28"/>
        </w:rPr>
      </w:pPr>
      <w:r w:rsidRPr="00216B23">
        <w:rPr>
          <w:rFonts w:ascii="NSimSun" w:eastAsia="NSimSun" w:hAnsi="NSimSun" w:cs="Times New Roman" w:hint="eastAsia"/>
          <w:kern w:val="44"/>
          <w:szCs w:val="28"/>
        </w:rPr>
        <w:t>六、投标报价</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216B23" w:rsidRPr="00216B23" w:rsidRDefault="00216B23" w:rsidP="00216B23">
      <w:pPr>
        <w:spacing w:line="360" w:lineRule="auto"/>
        <w:rPr>
          <w:rFonts w:ascii="NSimSun" w:eastAsia="NSimSun" w:hAnsi="NSimSun" w:cs="SimSun"/>
          <w:szCs w:val="21"/>
        </w:rPr>
      </w:pPr>
      <w:r w:rsidRPr="00216B23">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rsidR="00216B23" w:rsidRPr="00216B23" w:rsidRDefault="00216B23" w:rsidP="00216B23">
      <w:pPr>
        <w:spacing w:line="360" w:lineRule="auto"/>
        <w:rPr>
          <w:rFonts w:ascii="NSimSun" w:eastAsia="NSimSun" w:hAnsi="NSimSun" w:cs="Times New Roman"/>
          <w:szCs w:val="21"/>
        </w:rPr>
      </w:pPr>
      <w:r w:rsidRPr="00216B23">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356D7E" w:rsidRPr="00216B23" w:rsidRDefault="00356D7E">
      <w:bookmarkStart w:id="2" w:name="_GoBack"/>
      <w:bookmarkEnd w:id="2"/>
    </w:p>
    <w:sectPr w:rsidR="00356D7E" w:rsidRPr="00216B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B23" w:rsidRDefault="00216B23" w:rsidP="00216B23">
      <w:r>
        <w:separator/>
      </w:r>
    </w:p>
  </w:endnote>
  <w:endnote w:type="continuationSeparator" w:id="0">
    <w:p w:rsidR="00216B23" w:rsidRDefault="00216B23" w:rsidP="0021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SimSun">
    <w:altName w:val="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B23" w:rsidRDefault="00216B23" w:rsidP="00216B23">
      <w:r>
        <w:separator/>
      </w:r>
    </w:p>
  </w:footnote>
  <w:footnote w:type="continuationSeparator" w:id="0">
    <w:p w:rsidR="00216B23" w:rsidRDefault="00216B23" w:rsidP="00216B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25"/>
    <w:rsid w:val="00216B23"/>
    <w:rsid w:val="00356D7E"/>
    <w:rsid w:val="00A90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3936B8B-E3F4-4F47-B182-02E425CC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6B23"/>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rsid w:val="00216B23"/>
    <w:rPr>
      <w:sz w:val="18"/>
      <w:szCs w:val="18"/>
    </w:rPr>
  </w:style>
  <w:style w:type="paragraph" w:styleId="a4">
    <w:name w:val="footer"/>
    <w:basedOn w:val="a"/>
    <w:link w:val="Char0"/>
    <w:uiPriority w:val="99"/>
    <w:unhideWhenUsed/>
    <w:rsid w:val="00216B23"/>
    <w:pPr>
      <w:tabs>
        <w:tab w:val="center" w:pos="4513"/>
        <w:tab w:val="right" w:pos="9026"/>
      </w:tabs>
      <w:snapToGrid w:val="0"/>
      <w:jc w:val="left"/>
    </w:pPr>
    <w:rPr>
      <w:sz w:val="18"/>
      <w:szCs w:val="18"/>
    </w:rPr>
  </w:style>
  <w:style w:type="character" w:customStyle="1" w:styleId="Char0">
    <w:name w:val="页脚 Char"/>
    <w:basedOn w:val="a0"/>
    <w:link w:val="a4"/>
    <w:uiPriority w:val="99"/>
    <w:rsid w:val="00216B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1472</Words>
  <Characters>1812</Characters>
  <Application>Microsoft Office Word</Application>
  <DocSecurity>0</DocSecurity>
  <Lines>151</Lines>
  <Paragraphs>234</Paragraphs>
  <ScaleCrop>false</ScaleCrop>
  <Company>Microsoft</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2023-05-29T03:11:00Z</dcterms:created>
  <dcterms:modified xsi:type="dcterms:W3CDTF">2023-05-29T03:11:00Z</dcterms:modified>
</cp:coreProperties>
</file>