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360" w:lineRule="auto"/>
        <w:jc w:val="center"/>
        <w:rPr>
          <w:rFonts w:ascii="新宋体" w:hAnsi="新宋体" w:eastAsia="新宋体"/>
        </w:rPr>
      </w:pPr>
      <w:bookmarkStart w:id="0" w:name="_Toc76031641"/>
      <w:r>
        <w:rPr>
          <w:rFonts w:hint="eastAsia" w:ascii="新宋体" w:hAnsi="新宋体" w:eastAsia="新宋体"/>
        </w:rPr>
        <w:t>第二部分　技术部分</w:t>
      </w:r>
      <w:bookmarkEnd w:id="0"/>
    </w:p>
    <w:p>
      <w:pPr>
        <w:pStyle w:val="4"/>
        <w:jc w:val="center"/>
        <w:rPr>
          <w:rFonts w:ascii="新宋体" w:hAnsi="新宋体" w:eastAsia="新宋体"/>
        </w:rPr>
      </w:pPr>
      <w:bookmarkStart w:id="1" w:name="_Toc76031642"/>
      <w:r>
        <w:rPr>
          <w:rFonts w:hint="eastAsia" w:ascii="新宋体" w:hAnsi="新宋体" w:eastAsia="新宋体"/>
        </w:rPr>
        <w:t>第六章　项目采购需求</w:t>
      </w:r>
      <w:bookmarkEnd w:id="1"/>
    </w:p>
    <w:p>
      <w:pPr>
        <w:pStyle w:val="5"/>
        <w:jc w:val="center"/>
        <w:rPr>
          <w:rFonts w:ascii="新宋体" w:hAnsi="新宋体" w:eastAsia="新宋体"/>
          <w:sz w:val="24"/>
          <w:szCs w:val="24"/>
        </w:rPr>
      </w:pPr>
      <w:bookmarkStart w:id="2" w:name="_Toc76031643"/>
      <w:r>
        <w:rPr>
          <w:rFonts w:hint="eastAsia" w:ascii="新宋体" w:hAnsi="新宋体" w:eastAsia="新宋体"/>
          <w:sz w:val="24"/>
          <w:szCs w:val="24"/>
        </w:rPr>
        <w:t>第一节 项目概述</w:t>
      </w:r>
      <w:bookmarkEnd w:id="2"/>
    </w:p>
    <w:p>
      <w:pPr>
        <w:pStyle w:val="6"/>
        <w:spacing w:line="360" w:lineRule="auto"/>
        <w:rPr>
          <w:rFonts w:ascii="新宋体" w:hAnsi="新宋体" w:eastAsia="新宋体"/>
          <w:sz w:val="24"/>
          <w:szCs w:val="24"/>
        </w:rPr>
      </w:pPr>
      <w:r>
        <w:rPr>
          <w:rFonts w:hint="eastAsia" w:ascii="新宋体" w:hAnsi="新宋体" w:eastAsia="新宋体"/>
          <w:sz w:val="24"/>
          <w:szCs w:val="24"/>
        </w:rPr>
        <w:t>一、服务清单</w:t>
      </w:r>
    </w:p>
    <w:tbl>
      <w:tblPr>
        <w:tblStyle w:val="13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6"/>
        <w:gridCol w:w="3685"/>
        <w:gridCol w:w="851"/>
        <w:gridCol w:w="850"/>
        <w:gridCol w:w="2833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noWrap w:val="0"/>
            <w:vAlign w:val="center"/>
          </w:tcPr>
          <w:p>
            <w:pPr>
              <w:jc w:val="center"/>
              <w:rPr>
                <w:rFonts w:ascii="新宋体" w:hAnsi="新宋体" w:eastAsia="新宋体"/>
                <w:b/>
                <w:bCs/>
                <w:sz w:val="24"/>
                <w:szCs w:val="24"/>
              </w:rPr>
            </w:pPr>
            <w:r>
              <w:rPr>
                <w:rFonts w:hint="eastAsia" w:ascii="新宋体" w:hAnsi="新宋体" w:eastAsia="新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3685" w:type="dxa"/>
            <w:noWrap w:val="0"/>
            <w:vAlign w:val="center"/>
          </w:tcPr>
          <w:p>
            <w:pPr>
              <w:jc w:val="center"/>
              <w:rPr>
                <w:rFonts w:ascii="新宋体" w:hAnsi="新宋体" w:eastAsia="新宋体"/>
                <w:b/>
                <w:bCs/>
                <w:sz w:val="24"/>
                <w:szCs w:val="24"/>
              </w:rPr>
            </w:pPr>
            <w:r>
              <w:rPr>
                <w:rFonts w:hint="eastAsia" w:ascii="新宋体" w:hAnsi="新宋体" w:eastAsia="新宋体"/>
                <w:b/>
                <w:bCs/>
                <w:sz w:val="24"/>
                <w:szCs w:val="24"/>
              </w:rPr>
              <w:t>名称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ascii="新宋体" w:hAnsi="新宋体" w:eastAsia="新宋体"/>
                <w:b/>
                <w:bCs/>
                <w:sz w:val="24"/>
                <w:szCs w:val="24"/>
              </w:rPr>
            </w:pPr>
            <w:r>
              <w:rPr>
                <w:rFonts w:hint="eastAsia" w:ascii="新宋体" w:hAnsi="新宋体" w:eastAsia="新宋体"/>
                <w:b/>
                <w:bCs/>
                <w:sz w:val="24"/>
                <w:szCs w:val="24"/>
              </w:rPr>
              <w:t>单位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ascii="新宋体" w:hAnsi="新宋体" w:eastAsia="新宋体"/>
                <w:b/>
                <w:bCs/>
                <w:sz w:val="24"/>
                <w:szCs w:val="24"/>
              </w:rPr>
            </w:pPr>
            <w:r>
              <w:rPr>
                <w:rFonts w:hint="eastAsia" w:ascii="新宋体" w:hAnsi="新宋体" w:eastAsia="新宋体"/>
                <w:b/>
                <w:bCs/>
                <w:sz w:val="24"/>
                <w:szCs w:val="24"/>
              </w:rPr>
              <w:t>数量</w:t>
            </w:r>
          </w:p>
        </w:tc>
        <w:tc>
          <w:tcPr>
            <w:tcW w:w="2833" w:type="dxa"/>
            <w:noWrap w:val="0"/>
            <w:vAlign w:val="center"/>
          </w:tcPr>
          <w:p>
            <w:pPr>
              <w:jc w:val="center"/>
              <w:rPr>
                <w:rFonts w:ascii="新宋体" w:hAnsi="新宋体" w:eastAsia="新宋体"/>
                <w:b/>
                <w:bCs/>
                <w:sz w:val="24"/>
                <w:szCs w:val="24"/>
              </w:rPr>
            </w:pPr>
            <w:r>
              <w:rPr>
                <w:rFonts w:hint="eastAsia" w:ascii="新宋体" w:hAnsi="新宋体" w:eastAsia="新宋体"/>
                <w:b/>
                <w:bCs/>
                <w:sz w:val="24"/>
                <w:szCs w:val="24"/>
              </w:rPr>
              <w:t>预算金额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新宋体" w:hAnsi="新宋体" w:eastAsia="新宋体" w:cs="Arial Unicode MS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新宋体" w:hAnsi="新宋体" w:eastAsia="新宋体" w:cs="Arial Unicode MS"/>
                <w:snapToGrid w:val="0"/>
                <w:kern w:val="0"/>
                <w:sz w:val="24"/>
                <w:szCs w:val="24"/>
              </w:rPr>
              <w:t>1</w:t>
            </w:r>
          </w:p>
        </w:tc>
        <w:tc>
          <w:tcPr>
            <w:tcW w:w="3685" w:type="dxa"/>
            <w:noWrap w:val="0"/>
            <w:vAlign w:val="center"/>
          </w:tcPr>
          <w:p>
            <w:pPr>
              <w:jc w:val="center"/>
              <w:rPr>
                <w:rFonts w:ascii="新宋体" w:hAnsi="新宋体" w:eastAsia="新宋体"/>
                <w:snapToGrid w:val="0"/>
                <w:sz w:val="24"/>
                <w:szCs w:val="24"/>
              </w:rPr>
            </w:pPr>
            <w:r>
              <w:rPr>
                <w:rFonts w:hint="eastAsia" w:ascii="新宋体" w:hAnsi="新宋体" w:eastAsia="新宋体"/>
                <w:snapToGrid w:val="0"/>
                <w:sz w:val="24"/>
                <w:szCs w:val="24"/>
              </w:rPr>
              <w:t>2023-2024年度消防系统维护保养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ascii="新宋体" w:hAnsi="新宋体" w:eastAsia="新宋体"/>
                <w:snapToGrid w:val="0"/>
                <w:sz w:val="24"/>
                <w:szCs w:val="24"/>
              </w:rPr>
            </w:pPr>
            <w:r>
              <w:rPr>
                <w:rFonts w:hint="eastAsia" w:ascii="新宋体" w:hAnsi="新宋体" w:eastAsia="新宋体"/>
                <w:snapToGrid w:val="0"/>
                <w:sz w:val="24"/>
                <w:szCs w:val="24"/>
              </w:rPr>
              <w:t>项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ascii="新宋体" w:hAnsi="新宋体" w:eastAsia="新宋体"/>
                <w:snapToGrid w:val="0"/>
                <w:sz w:val="24"/>
                <w:szCs w:val="24"/>
              </w:rPr>
            </w:pPr>
            <w:r>
              <w:rPr>
                <w:rFonts w:hint="eastAsia" w:ascii="新宋体" w:hAnsi="新宋体" w:eastAsia="新宋体"/>
                <w:snapToGrid w:val="0"/>
                <w:sz w:val="24"/>
                <w:szCs w:val="24"/>
              </w:rPr>
              <w:t>1</w:t>
            </w:r>
          </w:p>
        </w:tc>
        <w:tc>
          <w:tcPr>
            <w:tcW w:w="2833" w:type="dxa"/>
            <w:noWrap w:val="0"/>
            <w:vAlign w:val="center"/>
          </w:tcPr>
          <w:p>
            <w:pPr>
              <w:jc w:val="center"/>
              <w:rPr>
                <w:rFonts w:ascii="新宋体" w:hAnsi="新宋体" w:eastAsia="新宋体"/>
                <w:snapToGrid w:val="0"/>
                <w:sz w:val="24"/>
                <w:szCs w:val="24"/>
              </w:rPr>
            </w:pPr>
            <w:r>
              <w:rPr>
                <w:rFonts w:hint="eastAsia" w:ascii="新宋体" w:hAnsi="新宋体" w:eastAsia="新宋体"/>
                <w:sz w:val="24"/>
                <w:szCs w:val="24"/>
              </w:rPr>
              <w:t>人民币叁拾壹万壹仟捌佰捌拾陆元陆角（311,886.60）</w:t>
            </w:r>
          </w:p>
        </w:tc>
      </w:tr>
    </w:tbl>
    <w:p>
      <w:pPr>
        <w:pStyle w:val="6"/>
        <w:spacing w:line="360" w:lineRule="auto"/>
        <w:jc w:val="left"/>
        <w:rPr>
          <w:rFonts w:hint="eastAsia"/>
        </w:rPr>
      </w:pPr>
      <w:r>
        <w:rPr>
          <w:rFonts w:hint="eastAsia" w:ascii="新宋体" w:hAnsi="新宋体" w:eastAsia="新宋体"/>
          <w:bCs w:val="0"/>
          <w:sz w:val="24"/>
          <w:szCs w:val="24"/>
        </w:rPr>
        <w:t>二、项目简介</w:t>
      </w:r>
    </w:p>
    <w:tbl>
      <w:tblPr>
        <w:tblStyle w:val="13"/>
        <w:tblW w:w="514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8"/>
        <w:gridCol w:w="1796"/>
        <w:gridCol w:w="1891"/>
        <w:gridCol w:w="1642"/>
        <w:gridCol w:w="1884"/>
        <w:gridCol w:w="16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  <w:jc w:val="center"/>
        </w:trPr>
        <w:tc>
          <w:tcPr>
            <w:tcW w:w="271" w:type="pct"/>
            <w:shd w:val="clear" w:color="auto" w:fill="EEECE1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957" w:type="pct"/>
            <w:shd w:val="clear" w:color="auto" w:fill="EEECE1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1008" w:type="pct"/>
            <w:shd w:val="clear" w:color="auto" w:fill="EEECE1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服务地点</w:t>
            </w:r>
          </w:p>
        </w:tc>
        <w:tc>
          <w:tcPr>
            <w:tcW w:w="875" w:type="pct"/>
            <w:shd w:val="clear" w:color="auto" w:fill="EEECE1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服务时间</w:t>
            </w:r>
          </w:p>
        </w:tc>
        <w:tc>
          <w:tcPr>
            <w:tcW w:w="1004" w:type="pct"/>
            <w:shd w:val="clear" w:color="auto" w:fill="EEECE1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服务期限</w:t>
            </w:r>
          </w:p>
        </w:tc>
        <w:tc>
          <w:tcPr>
            <w:tcW w:w="883" w:type="pct"/>
            <w:shd w:val="clear" w:color="auto" w:fill="EEECE1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采购预算（含增值税，单位：元）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9" w:hRule="atLeast"/>
          <w:jc w:val="center"/>
        </w:trPr>
        <w:tc>
          <w:tcPr>
            <w:tcW w:w="271" w:type="pct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957" w:type="pct"/>
            <w:noWrap w:val="0"/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深圳海关深南路办公区消防系统设施设备维修保养项目</w:t>
            </w:r>
          </w:p>
        </w:tc>
        <w:tc>
          <w:tcPr>
            <w:tcW w:w="1008" w:type="pct"/>
            <w:noWrap w:val="0"/>
            <w:vAlign w:val="center"/>
          </w:tcPr>
          <w:p>
            <w:pPr>
              <w:keepNext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深圳市福田区深南大道2006号。</w:t>
            </w:r>
          </w:p>
        </w:tc>
        <w:tc>
          <w:tcPr>
            <w:tcW w:w="875" w:type="pct"/>
            <w:vMerge w:val="restart"/>
            <w:noWrap w:val="0"/>
            <w:vAlign w:val="center"/>
          </w:tcPr>
          <w:p>
            <w:pPr>
              <w:keepNext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从合同生效之日起一年      </w:t>
            </w:r>
          </w:p>
        </w:tc>
        <w:tc>
          <w:tcPr>
            <w:tcW w:w="1004" w:type="pct"/>
            <w:noWrap w:val="0"/>
            <w:vAlign w:val="center"/>
          </w:tcPr>
          <w:p>
            <w:pPr>
              <w:keepNext/>
              <w:adjustRightInd w:val="0"/>
              <w:snapToGrid w:val="0"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自合同签订之日起计一年。</w:t>
            </w:r>
          </w:p>
        </w:tc>
        <w:tc>
          <w:tcPr>
            <w:tcW w:w="883" w:type="pct"/>
            <w:noWrap w:val="0"/>
            <w:vAlign w:val="center"/>
          </w:tcPr>
          <w:p>
            <w:pPr>
              <w:keepNext/>
              <w:adjustRightInd w:val="0"/>
              <w:snapToGrid w:val="0"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88,000.00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2" w:hRule="atLeast"/>
          <w:jc w:val="center"/>
        </w:trPr>
        <w:tc>
          <w:tcPr>
            <w:tcW w:w="271" w:type="pct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957" w:type="pc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深圳海关福强路办公区和中商大厦消防系统设施设备维修保养项目</w:t>
            </w:r>
          </w:p>
        </w:tc>
        <w:tc>
          <w:tcPr>
            <w:tcW w:w="1008" w:type="pc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cs="Times New Roman"/>
                <w:sz w:val="24"/>
              </w:rPr>
            </w:pPr>
            <w:r>
              <w:rPr>
                <w:rFonts w:hint="eastAsia" w:cs="Times New Roman"/>
                <w:sz w:val="24"/>
              </w:rPr>
              <w:t>1、深圳市福田区福强路1011号；</w:t>
            </w:r>
          </w:p>
          <w:p>
            <w:pPr>
              <w:spacing w:line="240" w:lineRule="exact"/>
              <w:jc w:val="center"/>
              <w:rPr>
                <w:rFonts w:hint="eastAsia" w:cs="Times New Roman"/>
                <w:sz w:val="24"/>
              </w:rPr>
            </w:pPr>
            <w:r>
              <w:rPr>
                <w:rFonts w:hint="eastAsia" w:cs="Times New Roman"/>
                <w:sz w:val="24"/>
              </w:rPr>
              <w:t>2、深圳市罗湖区文锦南路1009号。</w:t>
            </w:r>
          </w:p>
        </w:tc>
        <w:tc>
          <w:tcPr>
            <w:tcW w:w="875" w:type="pct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cs="Times New Roman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cs="Times New Roman"/>
                <w:sz w:val="24"/>
              </w:rPr>
            </w:pPr>
            <w:r>
              <w:rPr>
                <w:rFonts w:hint="eastAsia" w:cs="Times New Roman"/>
                <w:sz w:val="24"/>
              </w:rPr>
              <w:t>福强路：2023年9月1日至2024年8月31日；</w:t>
            </w:r>
          </w:p>
          <w:p>
            <w:pPr>
              <w:spacing w:line="240" w:lineRule="exact"/>
              <w:jc w:val="center"/>
              <w:rPr>
                <w:rFonts w:hint="eastAsia" w:cs="Times New Roman"/>
                <w:sz w:val="24"/>
              </w:rPr>
            </w:pPr>
            <w:r>
              <w:rPr>
                <w:rFonts w:hint="eastAsia" w:cs="Times New Roman"/>
                <w:sz w:val="24"/>
              </w:rPr>
              <w:t>中商：2023年7月1日至2024年6月30日。</w:t>
            </w:r>
          </w:p>
        </w:tc>
        <w:tc>
          <w:tcPr>
            <w:tcW w:w="883" w:type="pct"/>
            <w:noWrap w:val="0"/>
            <w:vAlign w:val="center"/>
          </w:tcPr>
          <w:p>
            <w:pPr>
              <w:keepNext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129,486.60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1" w:hRule="atLeast"/>
          <w:jc w:val="center"/>
        </w:trPr>
        <w:tc>
          <w:tcPr>
            <w:tcW w:w="271" w:type="pct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957" w:type="pc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仓库消防设施设备维修保养项目</w:t>
            </w:r>
          </w:p>
        </w:tc>
        <w:tc>
          <w:tcPr>
            <w:tcW w:w="1008" w:type="pc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cs="Times New Roman"/>
                <w:sz w:val="24"/>
              </w:rPr>
            </w:pPr>
            <w:r>
              <w:rPr>
                <w:rFonts w:hint="eastAsia" w:cs="Times New Roman"/>
                <w:sz w:val="24"/>
              </w:rPr>
              <w:t>同乐、草埔、沙头角、文锦渡、南头、深圳湾货运进口仓库、深圳湾货运出口仓库、深圳湾旅检仓库、布吉仓库、沙西仓库与皇岗物流临时仓库</w:t>
            </w:r>
          </w:p>
        </w:tc>
        <w:tc>
          <w:tcPr>
            <w:tcW w:w="875" w:type="pct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cs="Times New Roman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cs="Times New Roman"/>
                <w:sz w:val="24"/>
              </w:rPr>
            </w:pPr>
            <w:r>
              <w:rPr>
                <w:rFonts w:hint="eastAsia" w:cs="Times New Roman"/>
                <w:sz w:val="24"/>
              </w:rPr>
              <w:t>2023年6月14日至2024年6月13日</w:t>
            </w:r>
          </w:p>
        </w:tc>
        <w:tc>
          <w:tcPr>
            <w:tcW w:w="883" w:type="pct"/>
            <w:noWrap w:val="0"/>
            <w:vAlign w:val="center"/>
          </w:tcPr>
          <w:p>
            <w:pPr>
              <w:keepNext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94,400.00</w:t>
            </w:r>
          </w:p>
        </w:tc>
      </w:tr>
    </w:tbl>
    <w:p>
      <w:pPr>
        <w:pStyle w:val="6"/>
        <w:spacing w:line="360" w:lineRule="auto"/>
        <w:jc w:val="center"/>
        <w:rPr>
          <w:rFonts w:hint="eastAsia" w:ascii="新宋体" w:hAnsi="新宋体" w:eastAsia="新宋体"/>
          <w:sz w:val="24"/>
          <w:szCs w:val="24"/>
        </w:rPr>
      </w:pPr>
      <w:bookmarkStart w:id="3" w:name="_Toc76031644"/>
      <w:r>
        <w:rPr>
          <w:rFonts w:hint="eastAsia" w:ascii="新宋体" w:hAnsi="新宋体" w:eastAsia="新宋体"/>
          <w:b w:val="0"/>
          <w:sz w:val="24"/>
          <w:szCs w:val="24"/>
        </w:rPr>
        <w:br w:type="textWrapping"/>
      </w:r>
      <w:r>
        <w:rPr>
          <w:rFonts w:hint="eastAsia" w:ascii="新宋体" w:hAnsi="新宋体" w:eastAsia="新宋体"/>
          <w:sz w:val="24"/>
          <w:szCs w:val="24"/>
        </w:rPr>
        <w:t>第二节 商务需求</w:t>
      </w:r>
      <w:bookmarkEnd w:id="3"/>
    </w:p>
    <w:p>
      <w:pPr>
        <w:pStyle w:val="6"/>
        <w:spacing w:line="360" w:lineRule="auto"/>
        <w:rPr>
          <w:rFonts w:hint="eastAsia" w:ascii="新宋体" w:hAnsi="新宋体" w:eastAsia="新宋体"/>
          <w:sz w:val="24"/>
          <w:szCs w:val="24"/>
        </w:rPr>
      </w:pPr>
      <w:r>
        <w:rPr>
          <w:rFonts w:hint="eastAsia" w:ascii="新宋体" w:hAnsi="新宋体" w:eastAsia="新宋体"/>
          <w:sz w:val="24"/>
          <w:szCs w:val="24"/>
        </w:rPr>
        <w:t>一、签定合同日期：自中标(成交)通知书发出之日起30日内。</w:t>
      </w:r>
    </w:p>
    <w:p>
      <w:pPr>
        <w:pStyle w:val="6"/>
        <w:spacing w:line="360" w:lineRule="auto"/>
        <w:rPr>
          <w:rFonts w:ascii="新宋体" w:hAnsi="新宋体" w:eastAsia="新宋体"/>
          <w:sz w:val="24"/>
          <w:szCs w:val="24"/>
        </w:rPr>
      </w:pPr>
      <w:r>
        <w:rPr>
          <w:rFonts w:hint="eastAsia" w:ascii="新宋体" w:hAnsi="新宋体" w:eastAsia="新宋体"/>
          <w:sz w:val="24"/>
          <w:szCs w:val="24"/>
        </w:rPr>
        <w:t xml:space="preserve">二、服务的时间： </w:t>
      </w:r>
      <w:r>
        <w:rPr>
          <w:rFonts w:hint="eastAsia" w:ascii="新宋体" w:hAnsi="新宋体" w:eastAsia="新宋体"/>
          <w:sz w:val="24"/>
          <w:szCs w:val="24"/>
        </w:rPr>
        <w:br w:type="textWrapping"/>
      </w:r>
      <w:r>
        <w:rPr>
          <w:rFonts w:hint="eastAsia" w:ascii="新宋体" w:hAnsi="新宋体" w:eastAsia="新宋体"/>
          <w:b w:val="0"/>
          <w:bCs w:val="0"/>
          <w:kern w:val="2"/>
          <w:sz w:val="24"/>
          <w:szCs w:val="22"/>
        </w:rPr>
        <w:t>（1）深圳海关深南路办公区：自合同签订之日起计一年。</w:t>
      </w:r>
      <w:r>
        <w:rPr>
          <w:rFonts w:hint="eastAsia" w:ascii="新宋体" w:hAnsi="新宋体" w:eastAsia="新宋体"/>
          <w:b w:val="0"/>
          <w:bCs w:val="0"/>
          <w:kern w:val="2"/>
          <w:sz w:val="24"/>
          <w:szCs w:val="22"/>
        </w:rPr>
        <w:br w:type="textWrapping"/>
      </w:r>
      <w:r>
        <w:rPr>
          <w:rFonts w:hint="eastAsia" w:ascii="新宋体" w:hAnsi="新宋体" w:eastAsia="新宋体"/>
          <w:b w:val="0"/>
          <w:bCs w:val="0"/>
          <w:kern w:val="2"/>
          <w:sz w:val="24"/>
          <w:szCs w:val="22"/>
        </w:rPr>
        <w:t>（2）深圳海关福强路办公区和中商大厦：福强办公区2023年9月1日至2024年8月31日；中商大厦2023年</w:t>
      </w:r>
      <w:r>
        <w:rPr>
          <w:rFonts w:hint="eastAsia" w:ascii="新宋体" w:hAnsi="新宋体" w:eastAsia="新宋体"/>
          <w:b w:val="0"/>
          <w:bCs w:val="0"/>
          <w:kern w:val="2"/>
          <w:sz w:val="24"/>
          <w:szCs w:val="22"/>
          <w:lang w:val="en-US" w:eastAsia="zh-CN"/>
        </w:rPr>
        <w:t>7</w:t>
      </w:r>
      <w:r>
        <w:rPr>
          <w:rFonts w:hint="eastAsia" w:ascii="新宋体" w:hAnsi="新宋体" w:eastAsia="新宋体"/>
          <w:b w:val="0"/>
          <w:bCs w:val="0"/>
          <w:kern w:val="2"/>
          <w:sz w:val="24"/>
          <w:szCs w:val="22"/>
        </w:rPr>
        <w:t>月1日至2024年</w:t>
      </w:r>
      <w:r>
        <w:rPr>
          <w:rFonts w:hint="eastAsia" w:ascii="新宋体" w:hAnsi="新宋体" w:eastAsia="新宋体"/>
          <w:b w:val="0"/>
          <w:bCs w:val="0"/>
          <w:kern w:val="2"/>
          <w:sz w:val="24"/>
          <w:szCs w:val="22"/>
          <w:lang w:val="en-US" w:eastAsia="zh-CN"/>
        </w:rPr>
        <w:t>6</w:t>
      </w:r>
      <w:r>
        <w:rPr>
          <w:rFonts w:hint="eastAsia" w:ascii="新宋体" w:hAnsi="新宋体" w:eastAsia="新宋体"/>
          <w:b w:val="0"/>
          <w:bCs w:val="0"/>
          <w:kern w:val="2"/>
          <w:sz w:val="24"/>
          <w:szCs w:val="22"/>
        </w:rPr>
        <w:t>月3</w:t>
      </w:r>
      <w:r>
        <w:rPr>
          <w:rFonts w:hint="eastAsia" w:ascii="新宋体" w:hAnsi="新宋体" w:eastAsia="新宋体"/>
          <w:b w:val="0"/>
          <w:bCs w:val="0"/>
          <w:kern w:val="2"/>
          <w:sz w:val="24"/>
          <w:szCs w:val="22"/>
          <w:lang w:val="en-US" w:eastAsia="zh-CN"/>
        </w:rPr>
        <w:t>0</w:t>
      </w:r>
      <w:r>
        <w:rPr>
          <w:rFonts w:hint="eastAsia" w:ascii="新宋体" w:hAnsi="新宋体" w:eastAsia="新宋体"/>
          <w:b w:val="0"/>
          <w:bCs w:val="0"/>
          <w:kern w:val="2"/>
          <w:sz w:val="24"/>
          <w:szCs w:val="22"/>
        </w:rPr>
        <w:t>日。</w:t>
      </w:r>
      <w:r>
        <w:rPr>
          <w:rFonts w:hint="eastAsia" w:ascii="新宋体" w:hAnsi="新宋体" w:eastAsia="新宋体"/>
          <w:b w:val="0"/>
          <w:bCs w:val="0"/>
          <w:kern w:val="2"/>
          <w:sz w:val="24"/>
          <w:szCs w:val="22"/>
        </w:rPr>
        <w:br w:type="textWrapping"/>
      </w:r>
      <w:r>
        <w:rPr>
          <w:rFonts w:hint="eastAsia" w:ascii="新宋体" w:hAnsi="新宋体" w:eastAsia="新宋体"/>
          <w:b w:val="0"/>
          <w:bCs w:val="0"/>
          <w:kern w:val="2"/>
          <w:sz w:val="24"/>
          <w:szCs w:val="22"/>
        </w:rPr>
        <w:t>（3）南头仓库、同乐仓库、深圳湾口岸旅检仓库、深圳湾进口仓库、深圳湾出口仓库、沙西仓库、文锦渡海关私货仓库、皇岗物流临时仓库、沙头角私货仓库、布吉仓库、草埔仓库：2023年6月14日至2024年6月13日</w:t>
      </w:r>
    </w:p>
    <w:p>
      <w:pPr>
        <w:pStyle w:val="6"/>
        <w:spacing w:line="360" w:lineRule="auto"/>
        <w:rPr>
          <w:rFonts w:hint="eastAsia" w:ascii="新宋体" w:hAnsi="新宋体" w:eastAsia="新宋体"/>
          <w:sz w:val="24"/>
          <w:szCs w:val="24"/>
        </w:rPr>
      </w:pPr>
      <w:r>
        <w:rPr>
          <w:rFonts w:hint="eastAsia" w:ascii="新宋体" w:hAnsi="新宋体" w:eastAsia="新宋体"/>
          <w:sz w:val="24"/>
          <w:szCs w:val="24"/>
        </w:rPr>
        <w:t>三、项目情况</w:t>
      </w:r>
    </w:p>
    <w:tbl>
      <w:tblPr>
        <w:tblStyle w:val="13"/>
        <w:tblW w:w="8883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3"/>
        <w:gridCol w:w="1782"/>
        <w:gridCol w:w="4983"/>
        <w:gridCol w:w="133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88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b/>
                <w:bCs/>
                <w:sz w:val="24"/>
              </w:rPr>
              <w:t>深圳海关深南路办公区消防系统设施设备维修保养项目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序号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项目名称</w:t>
            </w:r>
          </w:p>
        </w:tc>
        <w:tc>
          <w:tcPr>
            <w:tcW w:w="4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项目地址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面积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（平方米）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深南路办公区</w:t>
            </w:r>
          </w:p>
        </w:tc>
        <w:tc>
          <w:tcPr>
            <w:tcW w:w="4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深圳市福田区深南大道2006号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81546.48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88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b/>
                <w:bCs/>
                <w:sz w:val="24"/>
              </w:rPr>
              <w:t>深圳海关福强路办公区和中商大厦消防系统设施设备维修保养项目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序号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项目名称</w:t>
            </w:r>
          </w:p>
        </w:tc>
        <w:tc>
          <w:tcPr>
            <w:tcW w:w="4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项目地址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>面积</w:t>
            </w:r>
          </w:p>
          <w:p>
            <w:pPr>
              <w:pStyle w:val="2"/>
              <w:ind w:firstLine="0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 w:bidi="ar"/>
              </w:rPr>
              <w:t>（平方米）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福强路办公区</w:t>
            </w:r>
          </w:p>
        </w:tc>
        <w:tc>
          <w:tcPr>
            <w:tcW w:w="4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深圳市市福田区福强路1011号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79870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中商大厦</w:t>
            </w:r>
          </w:p>
        </w:tc>
        <w:tc>
          <w:tcPr>
            <w:tcW w:w="4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深圳市罗湖区文锦南路1009号（南湖街道文锦社区）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33414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88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b/>
                <w:bCs/>
                <w:sz w:val="24"/>
              </w:rPr>
              <w:t>仓库消防设施设备维修保养项目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序号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项目名称</w:t>
            </w:r>
          </w:p>
        </w:tc>
        <w:tc>
          <w:tcPr>
            <w:tcW w:w="4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项目地址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>面积</w:t>
            </w:r>
          </w:p>
          <w:p>
            <w:pPr>
              <w:pStyle w:val="2"/>
              <w:ind w:firstLine="0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 w:bidi="ar"/>
              </w:rPr>
              <w:t>（平方米）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南头仓库</w:t>
            </w:r>
          </w:p>
        </w:tc>
        <w:tc>
          <w:tcPr>
            <w:tcW w:w="4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深圳市南山区关口一路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6000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同乐仓库</w:t>
            </w:r>
          </w:p>
        </w:tc>
        <w:tc>
          <w:tcPr>
            <w:tcW w:w="4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深圳市同乐海关办公楼出口通道东侧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2616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深圳湾口岸旅检仓库</w:t>
            </w:r>
          </w:p>
        </w:tc>
        <w:tc>
          <w:tcPr>
            <w:tcW w:w="4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深圳市南山区东滨路深圳湾口岸旅检大楼323仓库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435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深圳湾进口仓库</w:t>
            </w:r>
          </w:p>
        </w:tc>
        <w:tc>
          <w:tcPr>
            <w:tcW w:w="4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深圳市南山区东滨路深圳湾口岸7号楼进口仓库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2432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5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深圳湾出口仓库</w:t>
            </w:r>
          </w:p>
        </w:tc>
        <w:tc>
          <w:tcPr>
            <w:tcW w:w="4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深圳市南山区东滨路深圳湾口岸11号楼出口仓库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1461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6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沙西仓库</w:t>
            </w:r>
          </w:p>
        </w:tc>
        <w:tc>
          <w:tcPr>
            <w:tcW w:w="4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深圳市龙岗区沙湾汽车车站南侧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5800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7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文锦渡海关私货仓库</w:t>
            </w:r>
          </w:p>
        </w:tc>
        <w:tc>
          <w:tcPr>
            <w:tcW w:w="4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深圳市罗湖区沿河南路1128号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6174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8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皇岗物流临时仓库</w:t>
            </w:r>
          </w:p>
        </w:tc>
        <w:tc>
          <w:tcPr>
            <w:tcW w:w="4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深圳市福田区福田南路24号报关楼后铁皮房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650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9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沙头角私货仓</w:t>
            </w:r>
          </w:p>
        </w:tc>
        <w:tc>
          <w:tcPr>
            <w:tcW w:w="4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深圳市盐田区沙深路79号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2636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10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布吉仓库</w:t>
            </w:r>
          </w:p>
        </w:tc>
        <w:tc>
          <w:tcPr>
            <w:tcW w:w="4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深圳市罗湖区布吉路1038号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2700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11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草埔仓库</w:t>
            </w:r>
          </w:p>
        </w:tc>
        <w:tc>
          <w:tcPr>
            <w:tcW w:w="4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深圳市罗湖区布吉路1026号海关生活区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7214</w:t>
            </w:r>
          </w:p>
        </w:tc>
      </w:tr>
    </w:tbl>
    <w:p>
      <w:pPr>
        <w:pStyle w:val="6"/>
        <w:spacing w:line="360" w:lineRule="auto"/>
        <w:rPr>
          <w:rFonts w:hint="eastAsia" w:ascii="新宋体" w:hAnsi="新宋体" w:eastAsia="新宋体"/>
          <w:sz w:val="24"/>
          <w:szCs w:val="24"/>
        </w:rPr>
      </w:pPr>
      <w:r>
        <w:rPr>
          <w:rFonts w:hint="eastAsia" w:ascii="新宋体" w:hAnsi="新宋体" w:eastAsia="新宋体"/>
          <w:sz w:val="24"/>
          <w:szCs w:val="24"/>
        </w:rPr>
        <w:t>四、付款方式</w:t>
      </w:r>
    </w:p>
    <w:p>
      <w:pPr>
        <w:spacing w:line="360" w:lineRule="auto"/>
        <w:rPr>
          <w:rFonts w:hint="eastAsia" w:ascii="新宋体" w:hAnsi="新宋体" w:eastAsia="新宋体"/>
          <w:sz w:val="24"/>
          <w:highlight w:val="yellow"/>
        </w:rPr>
      </w:pPr>
      <w:r>
        <w:rPr>
          <w:rFonts w:hint="eastAsia" w:ascii="新宋体" w:hAnsi="新宋体" w:eastAsia="新宋体"/>
          <w:sz w:val="24"/>
        </w:rPr>
        <w:t>1、费用每3个月支付一次，在投标人每3个月完成各项保养工作后，投标人应根据采购人的前3个月考核情况，投标人应向采购人提供正规有效的增值税专用发票，采购人收到有效票据核实确认后20工作日内以银行转账方式支付前3个月的维护保养费。</w:t>
      </w:r>
      <w:r>
        <w:rPr>
          <w:rFonts w:hint="eastAsia" w:ascii="新宋体" w:hAnsi="新宋体" w:eastAsia="新宋体"/>
          <w:sz w:val="24"/>
        </w:rPr>
        <w:br w:type="textWrapping"/>
      </w:r>
      <w:r>
        <w:rPr>
          <w:rFonts w:hint="eastAsia" w:ascii="新宋体" w:hAnsi="新宋体" w:eastAsia="新宋体"/>
          <w:sz w:val="24"/>
        </w:rPr>
        <w:t>2、中标人承担负责单批次300元以下（含300元）的耗材（不包含智能烟温感、手报、模块、消防栓设备）的零配件的更换义务，但单件零件单价300元以内，由于确保消防系统运行稳定性、安全性需要同时更换同种配件数量较多且总价格超过300元的，不符合本条规定。如超过300元以上的更换维修费用或超出中标人负责范围则由招标人出资。但应事先经招标人书面确认。</w:t>
      </w:r>
    </w:p>
    <w:p>
      <w:pPr>
        <w:pStyle w:val="6"/>
        <w:spacing w:line="360" w:lineRule="auto"/>
        <w:rPr>
          <w:rFonts w:hint="eastAsia" w:ascii="新宋体" w:hAnsi="新宋体" w:eastAsia="新宋体"/>
          <w:sz w:val="24"/>
          <w:szCs w:val="24"/>
        </w:rPr>
      </w:pPr>
      <w:r>
        <w:rPr>
          <w:rFonts w:hint="eastAsia" w:ascii="新宋体" w:hAnsi="新宋体" w:eastAsia="新宋体"/>
          <w:sz w:val="24"/>
          <w:szCs w:val="24"/>
        </w:rPr>
        <w:t>五、风险管理措施</w:t>
      </w:r>
    </w:p>
    <w:p>
      <w:pPr>
        <w:spacing w:line="360" w:lineRule="auto"/>
        <w:rPr>
          <w:rFonts w:hint="eastAsia" w:ascii="新宋体" w:hAnsi="新宋体" w:eastAsia="新宋体"/>
          <w:sz w:val="24"/>
        </w:rPr>
      </w:pPr>
      <w:r>
        <w:rPr>
          <w:rFonts w:hint="eastAsia" w:ascii="新宋体" w:hAnsi="新宋体" w:eastAsia="新宋体"/>
          <w:sz w:val="24"/>
        </w:rPr>
        <w:t>如因国家相关政策发生变化，应以最新的国家相关政策为准并进行执行，如因国家相关政策发生变化而导致本次项目的合同无法继续执行，采购人不承担任何责任，投标人自行承担由此带来的任何风险及后果。</w:t>
      </w:r>
    </w:p>
    <w:p>
      <w:pPr>
        <w:widowControl/>
        <w:spacing w:line="360" w:lineRule="auto"/>
        <w:rPr>
          <w:rFonts w:hint="eastAsia" w:ascii="新宋体" w:hAnsi="新宋体" w:eastAsia="新宋体" w:cs="新宋体"/>
          <w:sz w:val="24"/>
          <w:szCs w:val="24"/>
        </w:rPr>
      </w:pPr>
    </w:p>
    <w:p>
      <w:pPr>
        <w:pStyle w:val="5"/>
        <w:spacing w:line="360" w:lineRule="auto"/>
        <w:jc w:val="center"/>
        <w:rPr>
          <w:rFonts w:ascii="新宋体" w:hAnsi="新宋体" w:eastAsia="新宋体"/>
          <w:sz w:val="24"/>
          <w:szCs w:val="24"/>
        </w:rPr>
      </w:pPr>
      <w:bookmarkStart w:id="4" w:name="_Toc76031645"/>
      <w:r>
        <w:rPr>
          <w:rFonts w:hint="eastAsia" w:ascii="新宋体" w:hAnsi="新宋体" w:eastAsia="新宋体"/>
          <w:sz w:val="24"/>
          <w:szCs w:val="24"/>
        </w:rPr>
        <w:t>第三节 技术需求</w:t>
      </w:r>
      <w:bookmarkEnd w:id="4"/>
    </w:p>
    <w:p>
      <w:pPr>
        <w:pStyle w:val="6"/>
        <w:spacing w:line="360" w:lineRule="auto"/>
        <w:rPr>
          <w:rFonts w:ascii="新宋体" w:hAnsi="新宋体" w:eastAsia="新宋体"/>
          <w:sz w:val="24"/>
          <w:szCs w:val="24"/>
          <w:lang w:val="en-US" w:eastAsia="zh-CN"/>
        </w:rPr>
      </w:pPr>
      <w:r>
        <w:rPr>
          <w:rFonts w:hint="eastAsia" w:ascii="新宋体" w:hAnsi="新宋体" w:eastAsia="新宋体"/>
          <w:sz w:val="24"/>
          <w:szCs w:val="24"/>
          <w:lang w:val="en-US" w:eastAsia="zh-CN"/>
        </w:rPr>
        <w:t>一、人员配备</w:t>
      </w:r>
    </w:p>
    <w:p>
      <w:pPr>
        <w:spacing w:line="360" w:lineRule="auto"/>
        <w:ind w:firstLine="480"/>
        <w:rPr>
          <w:rFonts w:hint="eastAsia"/>
          <w:sz w:val="24"/>
        </w:rPr>
      </w:pPr>
      <w:r>
        <w:rPr>
          <w:rFonts w:hint="eastAsia" w:ascii="宋体" w:hAnsi="宋体"/>
          <w:sz w:val="24"/>
          <w:szCs w:val="24"/>
        </w:rPr>
        <w:t>中标人应成立消防维保项目组</w:t>
      </w:r>
      <w:r>
        <w:rPr>
          <w:rFonts w:hint="eastAsia" w:ascii="宋体" w:hAnsi="宋体"/>
          <w:sz w:val="24"/>
          <w:szCs w:val="24"/>
          <w:lang w:eastAsia="zh-CN"/>
        </w:rPr>
        <w:t>（项目负责人</w:t>
      </w:r>
      <w:r>
        <w:rPr>
          <w:rFonts w:hint="eastAsia" w:ascii="宋体" w:hAnsi="宋体"/>
          <w:sz w:val="24"/>
          <w:szCs w:val="24"/>
          <w:lang w:val="en-US" w:eastAsia="zh-CN"/>
        </w:rPr>
        <w:t>1名，成员至少3名)</w:t>
      </w:r>
      <w:r>
        <w:rPr>
          <w:rFonts w:hint="eastAsia" w:ascii="宋体" w:hAnsi="宋体"/>
          <w:sz w:val="24"/>
          <w:szCs w:val="24"/>
        </w:rPr>
        <w:t>，</w:t>
      </w:r>
      <w:r>
        <w:rPr>
          <w:rFonts w:hint="eastAsia" w:ascii="宋体" w:hAnsi="宋体" w:cs="宋体"/>
          <w:sz w:val="24"/>
          <w:szCs w:val="24"/>
        </w:rPr>
        <w:t>人员全部持证上岗</w:t>
      </w:r>
      <w:r>
        <w:rPr>
          <w:rFonts w:hint="eastAsia" w:ascii="宋体" w:hAnsi="宋体"/>
          <w:sz w:val="24"/>
          <w:szCs w:val="24"/>
        </w:rPr>
        <w:t>，维修人员名单及资质应以书面形式送交甲方备案。</w:t>
      </w:r>
    </w:p>
    <w:p>
      <w:pPr>
        <w:pStyle w:val="6"/>
        <w:rPr>
          <w:rFonts w:hint="eastAsia" w:ascii="新宋体" w:hAnsi="新宋体" w:eastAsia="新宋体"/>
          <w:sz w:val="24"/>
          <w:szCs w:val="24"/>
        </w:rPr>
      </w:pPr>
      <w:r>
        <w:rPr>
          <w:rFonts w:hint="eastAsia" w:ascii="新宋体" w:hAnsi="新宋体" w:eastAsia="新宋体"/>
          <w:sz w:val="24"/>
          <w:szCs w:val="24"/>
          <w:lang w:val="en-US" w:eastAsia="zh-CN"/>
        </w:rPr>
        <w:t>二</w:t>
      </w:r>
      <w:r>
        <w:rPr>
          <w:rFonts w:hint="eastAsia" w:ascii="新宋体" w:hAnsi="新宋体" w:eastAsia="新宋体"/>
          <w:sz w:val="24"/>
          <w:szCs w:val="24"/>
        </w:rPr>
        <w:t>、消防设施的维保项目及范围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1．项目包括但不限于所有消防设备、设施（除灭火器、消防水带及水枪）、消防控制系统参考设备。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．火灾自动报警系统（含消防联动控制系统）：包含外围烟感、温感、手动按钮、输入输出模块、警铃、多线远程控制单元各功能的检测、维修、器件损坏更换（在合同约定价内）、线路维修、系统维护和进行月度检测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3．消防对讲电话系统：负责消防对讲主机和各分机功能的检测、维修、器件损坏更换（在合同约定定价以内）、线路维护、各楼层广播测试及进行月度检测。不含电梯对讲系统。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4．消防广播系统：负责消防功放主机和各楼层广播和控制模块的功能检测、维修、器件损坏更换（在合同约定价以内）、线路维护、各楼层广播测试及进行月度检测。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．消火栓水系统：负责消火栓水的测试，消火栓按钮、压力开关、信号阀、水流指示器、末端放水、水力警铃电气各功能的检测、日常维护、器件损坏更换（在合同约定价以内）、远程、联动、启停、反馈报警信号检查、线路维修和测试，进行月度检测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．消防喷淋系统：负责消防喷淋水的测试，压力开关、信号阀、水流指示器、末端放水、水力警铃电气各功能的检测和日常维护、器件损坏更换（在合同约定价以内）、远程、联动、启停、反馈报警信号检查、线路维修和测试及进行月度检测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7．气体灭火系统：所有气罐压力检查、保养、主机控制维修（在合同约定价以内）和手动、自动、联动模拟测试进行月度检测。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8．防排烟系统：负责风机远程和联动控制，启停测试、各楼层风阀保养、器件损坏更换（在合同约定价以内）、各点位反馈信号测试及进行月度检测，</w:t>
      </w:r>
      <w:r>
        <w:rPr>
          <w:rFonts w:hint="eastAsia"/>
          <w:sz w:val="24"/>
          <w:szCs w:val="24"/>
        </w:rPr>
        <w:t>以及防火卷帘的测试、保养、器件损坏更换。</w:t>
      </w:r>
    </w:p>
    <w:p>
      <w:pPr>
        <w:pStyle w:val="6"/>
        <w:rPr>
          <w:rFonts w:hint="eastAsia" w:ascii="新宋体" w:hAnsi="新宋体" w:eastAsia="新宋体"/>
          <w:sz w:val="24"/>
          <w:szCs w:val="24"/>
          <w:lang w:eastAsia="zh-CN"/>
        </w:rPr>
      </w:pPr>
      <w:r>
        <w:rPr>
          <w:rFonts w:hint="eastAsia" w:ascii="新宋体" w:hAnsi="新宋体" w:eastAsia="新宋体"/>
          <w:sz w:val="24"/>
          <w:szCs w:val="24"/>
          <w:lang w:val="en-US" w:eastAsia="zh-CN"/>
        </w:rPr>
        <w:t>三</w:t>
      </w:r>
      <w:r>
        <w:rPr>
          <w:rFonts w:hint="eastAsia" w:ascii="新宋体" w:hAnsi="新宋体" w:eastAsia="新宋体"/>
          <w:sz w:val="24"/>
          <w:szCs w:val="24"/>
          <w:lang w:eastAsia="zh-CN"/>
        </w:rPr>
        <w:t>、主要服务要求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中标人必须在本合同签署后15天内作一次消防系统全面检测，并提交全面、详细的检测报告。对在检测中发现的问题提交维修及整改计划和报价给招标人，以确保福强路办公区及中商大厦内的消防系统处于良好工作状态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2.中标</w:t>
      </w:r>
      <w:r>
        <w:rPr>
          <w:rFonts w:hint="eastAsia" w:ascii="宋体" w:hAnsi="宋体"/>
          <w:color w:val="auto"/>
          <w:sz w:val="24"/>
          <w:szCs w:val="24"/>
        </w:rPr>
        <w:t>人按照《中华人民共和国消防法》的</w:t>
      </w:r>
      <w:r>
        <w:rPr>
          <w:rFonts w:hint="eastAsia" w:ascii="宋体" w:hAnsi="宋体"/>
          <w:sz w:val="24"/>
          <w:szCs w:val="24"/>
        </w:rPr>
        <w:t>要求定期对消防设施进行维护保养、检查、测试（具体实施见消防设施维保方案），及时按规定如实填写有关记录表格。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3.中标人每月除进行维修检测之外，每年年底之前出具一次系统的检验检查报告（包括对消防系统电气线路和设备进行一次全面安全性能检测）给招标人。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4．中标人维护保养人员作业时应遵守招标人的有关规定，服从招标人的管理，遵守现场管理制度，注意施工安全，由于中标人原因出现非法违章作业，一切后果由中标人承担。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5．中标人对维修保养的消防设施运行情况，每月巡查一次，每月检查及测试一次。检查及测试结果应如实记录，对消防设施出现的故障及时修复，保证其正常运行，并会同招标人代表签字确认。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6．中标人服务时间为24×365天，除例行检查、保养外，每周在</w:t>
      </w:r>
      <w:r>
        <w:rPr>
          <w:rFonts w:hint="eastAsia" w:ascii="宋体" w:hAnsi="宋体"/>
          <w:sz w:val="24"/>
          <w:szCs w:val="24"/>
          <w:lang w:eastAsia="zh-CN"/>
        </w:rPr>
        <w:t>深南路办公区、</w:t>
      </w:r>
      <w:r>
        <w:rPr>
          <w:rFonts w:hint="eastAsia" w:ascii="宋体" w:hAnsi="宋体"/>
          <w:sz w:val="24"/>
          <w:szCs w:val="24"/>
        </w:rPr>
        <w:t>福强路办公区和中商大厦各驻场值班一天（工作日的9点-17点）），实行24小时值班制度（除每周固定一天的值班时段外无需驻场），随时受理委托单位有关消防设施的故障报修并及时排除。遇系统发生故障时，中标人在接到招标人电话或其它途径的通知后，应及时赶到现场进行处理，工作日1.5-2小时内、非工作日2-3小时内赶到现场进行处理，并保证处理措施正确、有效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7．中标人有义务向招标人提供零配件，或联络原设备制造商报价，经招标人批准后负责修复。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8．未经招标人同意，中标人不能把该项目转包给第三方。保持与招标人紧密沟通，确保维保质量。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9．中标人日常维保过程中，若发现福消防系统存在不完善或隐患，中标人应向招标人提出合理的整改建议及计划，以便进行整改。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10．中标人应在合同期内对消防系统进行两次全面检测，（进场一次，合同年度结束一次）。并派出主要技术负责人对消防系</w:t>
      </w:r>
      <w:r>
        <w:rPr>
          <w:rFonts w:hint="eastAsia" w:ascii="宋体" w:hAnsi="宋体"/>
          <w:color w:val="000000"/>
          <w:sz w:val="24"/>
          <w:szCs w:val="24"/>
        </w:rPr>
        <w:t>统进行一次全面评审，相关费用已包含在保养费中,若因中标人原因导致没有检测出本应可以检测出来的隐患</w:t>
      </w:r>
      <w:r>
        <w:rPr>
          <w:rFonts w:ascii="宋体" w:hAnsi="宋体"/>
          <w:color w:val="000000"/>
          <w:sz w:val="24"/>
          <w:szCs w:val="24"/>
        </w:rPr>
        <w:t>，</w:t>
      </w:r>
      <w:r>
        <w:rPr>
          <w:rFonts w:hint="eastAsia" w:ascii="宋体" w:hAnsi="宋体"/>
          <w:color w:val="000000"/>
          <w:sz w:val="24"/>
          <w:szCs w:val="24"/>
        </w:rPr>
        <w:t>该隐患造成的一切后果</w:t>
      </w:r>
      <w:r>
        <w:rPr>
          <w:rFonts w:ascii="宋体" w:hAnsi="宋体"/>
          <w:color w:val="000000"/>
          <w:sz w:val="24"/>
          <w:szCs w:val="24"/>
        </w:rPr>
        <w:t>（</w:t>
      </w:r>
      <w:r>
        <w:rPr>
          <w:rFonts w:hint="eastAsia" w:ascii="宋体" w:hAnsi="宋体"/>
          <w:color w:val="000000"/>
          <w:sz w:val="24"/>
          <w:szCs w:val="24"/>
        </w:rPr>
        <w:t>包括但不限于任何财物</w:t>
      </w:r>
      <w:r>
        <w:rPr>
          <w:rFonts w:ascii="宋体" w:hAnsi="宋体"/>
          <w:color w:val="000000"/>
          <w:sz w:val="24"/>
          <w:szCs w:val="24"/>
        </w:rPr>
        <w:t>、</w:t>
      </w:r>
      <w:r>
        <w:rPr>
          <w:rFonts w:hint="eastAsia" w:ascii="宋体" w:hAnsi="宋体"/>
          <w:color w:val="000000"/>
          <w:sz w:val="24"/>
          <w:szCs w:val="24"/>
        </w:rPr>
        <w:t>人员损伤及任何司法</w:t>
      </w:r>
      <w:r>
        <w:rPr>
          <w:rFonts w:ascii="宋体" w:hAnsi="宋体"/>
          <w:color w:val="000000"/>
          <w:sz w:val="24"/>
          <w:szCs w:val="24"/>
        </w:rPr>
        <w:t>、</w:t>
      </w:r>
      <w:r>
        <w:rPr>
          <w:rFonts w:hint="eastAsia" w:ascii="宋体" w:hAnsi="宋体"/>
          <w:color w:val="000000"/>
          <w:sz w:val="24"/>
          <w:szCs w:val="24"/>
        </w:rPr>
        <w:t>行政事宜产生的所有费用</w:t>
      </w:r>
      <w:r>
        <w:rPr>
          <w:rFonts w:ascii="宋体" w:hAnsi="宋体"/>
          <w:color w:val="00000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由中标人负责</w:t>
      </w:r>
      <w:r>
        <w:rPr>
          <w:rFonts w:ascii="宋体" w:hAnsi="宋体"/>
          <w:color w:val="000000"/>
          <w:sz w:val="24"/>
          <w:szCs w:val="24"/>
        </w:rPr>
        <w:t>，</w:t>
      </w:r>
      <w:r>
        <w:rPr>
          <w:rFonts w:hint="eastAsia" w:ascii="宋体" w:hAnsi="宋体"/>
          <w:color w:val="000000"/>
          <w:sz w:val="24"/>
          <w:szCs w:val="24"/>
        </w:rPr>
        <w:t>中标人还应向招标人支付本合同金额的</w:t>
      </w:r>
      <w:r>
        <w:rPr>
          <w:rFonts w:ascii="宋体" w:hAnsi="宋体"/>
          <w:color w:val="000000"/>
          <w:sz w:val="24"/>
          <w:szCs w:val="24"/>
        </w:rPr>
        <w:t>30%</w:t>
      </w:r>
      <w:r>
        <w:rPr>
          <w:rFonts w:hint="eastAsia" w:ascii="宋体" w:hAnsi="宋体"/>
          <w:color w:val="000000"/>
          <w:sz w:val="24"/>
          <w:szCs w:val="24"/>
        </w:rPr>
        <w:t>作为赔偿金。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11．中标人提供维修材料必须符合相关消防法规规定质量要求，价格以当时市场价格为准。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12．当招标人需要进行消防演习时，中标人应紧密配合并无偿提供相应的技术支持服务。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13．中标人不承担招标人未委托消防设施的维保责任。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14．中标人全年不限次数应急响应</w:t>
      </w:r>
      <w:bookmarkStart w:id="5" w:name="_GoBack"/>
      <w:bookmarkEnd w:id="5"/>
      <w:r>
        <w:rPr>
          <w:rFonts w:hint="eastAsia" w:ascii="宋体" w:hAnsi="宋体"/>
          <w:sz w:val="24"/>
          <w:szCs w:val="24"/>
        </w:rPr>
        <w:t>，每年进行2次消防常识及技能培训，培训时间不低于2小时。</w:t>
      </w:r>
    </w:p>
    <w:p>
      <w:pPr>
        <w:spacing w:line="360" w:lineRule="auto"/>
        <w:ind w:firstLine="480" w:firstLineChars="200"/>
        <w:rPr>
          <w:rFonts w:hint="eastAsia" w:ascii="新宋体" w:hAnsi="新宋体" w:eastAsia="新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15．中标人负责整个消防系统的日常维修工作，但不含大修。</w:t>
      </w:r>
    </w:p>
    <w:p/>
    <w:p/>
    <w:sectPr>
      <w:headerReference r:id="rId3" w:type="default"/>
      <w:pgSz w:w="11907" w:h="16840"/>
      <w:pgMar w:top="1474" w:right="1418" w:bottom="1247" w:left="1418" w:header="737" w:footer="567" w:gutter="17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2ZWE1MzJlYzhlMzYwM2NlNjg2NGE5OWUzY2ZhZTgifQ=="/>
  </w:docVars>
  <w:rsids>
    <w:rsidRoot w:val="00F07B67"/>
    <w:rsid w:val="0000002E"/>
    <w:rsid w:val="00035FDC"/>
    <w:rsid w:val="000E0AD6"/>
    <w:rsid w:val="000E24B2"/>
    <w:rsid w:val="001E13C0"/>
    <w:rsid w:val="00263955"/>
    <w:rsid w:val="00374611"/>
    <w:rsid w:val="00391D2A"/>
    <w:rsid w:val="003A08F0"/>
    <w:rsid w:val="00584311"/>
    <w:rsid w:val="00634E4A"/>
    <w:rsid w:val="00677542"/>
    <w:rsid w:val="00720994"/>
    <w:rsid w:val="00794215"/>
    <w:rsid w:val="0087030C"/>
    <w:rsid w:val="008C6162"/>
    <w:rsid w:val="00914F23"/>
    <w:rsid w:val="00972346"/>
    <w:rsid w:val="00AC2812"/>
    <w:rsid w:val="00AE721F"/>
    <w:rsid w:val="00B25542"/>
    <w:rsid w:val="00B52D07"/>
    <w:rsid w:val="00BD3F95"/>
    <w:rsid w:val="00BE7455"/>
    <w:rsid w:val="00D71CF8"/>
    <w:rsid w:val="00DF745D"/>
    <w:rsid w:val="00E1055D"/>
    <w:rsid w:val="00E34658"/>
    <w:rsid w:val="00E34D08"/>
    <w:rsid w:val="00F07B67"/>
    <w:rsid w:val="00F5791C"/>
    <w:rsid w:val="00FC0479"/>
    <w:rsid w:val="1BAC04D2"/>
    <w:rsid w:val="272C2AAA"/>
    <w:rsid w:val="3A43493D"/>
    <w:rsid w:val="45E740A7"/>
    <w:rsid w:val="5D627315"/>
    <w:rsid w:val="634728BF"/>
    <w:rsid w:val="6CB54E48"/>
    <w:rsid w:val="7CA32F54"/>
    <w:rsid w:val="7D8F0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0" w:semiHidden="0" w:name="Normal Indent"/>
    <w:lsdException w:uiPriority="99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9"/>
    <w:pPr>
      <w:spacing w:before="340" w:after="330" w:line="578" w:lineRule="auto"/>
      <w:outlineLvl w:val="0"/>
    </w:pPr>
    <w:rPr>
      <w:kern w:val="44"/>
      <w:sz w:val="44"/>
      <w:szCs w:val="44"/>
    </w:rPr>
  </w:style>
  <w:style w:type="paragraph" w:styleId="4">
    <w:name w:val="heading 2"/>
    <w:basedOn w:val="1"/>
    <w:next w:val="1"/>
    <w:qFormat/>
    <w:uiPriority w:val="99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qFormat/>
    <w:uiPriority w:val="99"/>
    <w:pPr>
      <w:spacing w:before="260" w:after="260" w:line="413" w:lineRule="auto"/>
      <w:outlineLvl w:val="2"/>
    </w:pPr>
    <w:rPr>
      <w:sz w:val="32"/>
    </w:rPr>
  </w:style>
  <w:style w:type="paragraph" w:styleId="6">
    <w:name w:val="heading 4"/>
    <w:basedOn w:val="1"/>
    <w:next w:val="1"/>
    <w:qFormat/>
    <w:uiPriority w:val="99"/>
    <w:pPr>
      <w:keepNext/>
      <w:keepLines/>
      <w:spacing w:before="280" w:after="290" w:line="376" w:lineRule="auto"/>
      <w:outlineLvl w:val="3"/>
    </w:pPr>
    <w:rPr>
      <w:rFonts w:ascii="Calibri Light" w:hAnsi="Calibri Light"/>
      <w:b/>
      <w:bCs/>
      <w:sz w:val="28"/>
      <w:szCs w:val="28"/>
    </w:rPr>
  </w:style>
  <w:style w:type="paragraph" w:styleId="7">
    <w:name w:val="heading 5"/>
    <w:basedOn w:val="1"/>
    <w:next w:val="1"/>
    <w:qFormat/>
    <w:uiPriority w:val="9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8">
    <w:name w:val="heading 6"/>
    <w:basedOn w:val="1"/>
    <w:next w:val="1"/>
    <w:qFormat/>
    <w:uiPriority w:val="99"/>
    <w:pPr>
      <w:keepNext/>
      <w:keepLines/>
      <w:spacing w:before="240" w:after="64" w:line="320" w:lineRule="auto"/>
      <w:outlineLvl w:val="5"/>
    </w:pPr>
    <w:rPr>
      <w:rFonts w:ascii="Calibri Light" w:hAnsi="Calibri Light"/>
      <w:b/>
      <w:bCs/>
      <w:sz w:val="24"/>
      <w:szCs w:val="24"/>
    </w:rPr>
  </w:style>
  <w:style w:type="paragraph" w:styleId="9">
    <w:name w:val="heading 7"/>
    <w:basedOn w:val="1"/>
    <w:next w:val="1"/>
    <w:qFormat/>
    <w:uiPriority w:val="9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0"/>
    <w:pPr>
      <w:adjustRightInd w:val="0"/>
      <w:spacing w:line="312" w:lineRule="atLeast"/>
      <w:ind w:firstLine="420"/>
    </w:pPr>
    <w:rPr>
      <w:rFonts w:ascii="Times New Roman" w:hAnsi="Times New Roman"/>
      <w:kern w:val="0"/>
      <w:szCs w:val="20"/>
    </w:rPr>
  </w:style>
  <w:style w:type="paragraph" w:styleId="10">
    <w:name w:val="annotation text"/>
    <w:basedOn w:val="1"/>
    <w:link w:val="21"/>
    <w:unhideWhenUsed/>
    <w:qFormat/>
    <w:uiPriority w:val="0"/>
    <w:pPr>
      <w:jc w:val="left"/>
    </w:pPr>
  </w:style>
  <w:style w:type="paragraph" w:styleId="11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页眉 Char"/>
    <w:basedOn w:val="14"/>
    <w:link w:val="12"/>
    <w:qFormat/>
    <w:uiPriority w:val="99"/>
    <w:rPr>
      <w:sz w:val="18"/>
      <w:szCs w:val="18"/>
    </w:rPr>
  </w:style>
  <w:style w:type="character" w:customStyle="1" w:styleId="16">
    <w:name w:val="页脚 Char"/>
    <w:basedOn w:val="14"/>
    <w:link w:val="11"/>
    <w:qFormat/>
    <w:uiPriority w:val="99"/>
    <w:rPr>
      <w:sz w:val="18"/>
      <w:szCs w:val="18"/>
    </w:rPr>
  </w:style>
  <w:style w:type="character" w:customStyle="1" w:styleId="17">
    <w:name w:val="列出段落 Char"/>
    <w:link w:val="18"/>
    <w:qFormat/>
    <w:locked/>
    <w:uiPriority w:val="34"/>
  </w:style>
  <w:style w:type="paragraph" w:styleId="18">
    <w:name w:val="List Paragraph"/>
    <w:basedOn w:val="1"/>
    <w:link w:val="17"/>
    <w:qFormat/>
    <w:uiPriority w:val="34"/>
    <w:pPr>
      <w:ind w:firstLine="420"/>
    </w:pPr>
  </w:style>
  <w:style w:type="paragraph" w:customStyle="1" w:styleId="19">
    <w:name w:val="正文 首行缩进:  2 字符"/>
    <w:basedOn w:val="1"/>
    <w:link w:val="20"/>
    <w:qFormat/>
    <w:uiPriority w:val="0"/>
    <w:pPr>
      <w:spacing w:line="360" w:lineRule="auto"/>
      <w:ind w:firstLine="480" w:firstLineChars="200"/>
    </w:pPr>
    <w:rPr>
      <w:rFonts w:ascii="Times New Roman" w:hAnsi="Times New Roman"/>
      <w:sz w:val="24"/>
      <w:szCs w:val="20"/>
      <w:lang w:val="zh-CN"/>
    </w:rPr>
  </w:style>
  <w:style w:type="character" w:customStyle="1" w:styleId="20">
    <w:name w:val="正文 首行缩进:  2 字符 Char"/>
    <w:link w:val="19"/>
    <w:qFormat/>
    <w:uiPriority w:val="0"/>
    <w:rPr>
      <w:rFonts w:ascii="Times New Roman" w:hAnsi="Times New Roman" w:eastAsia="宋体" w:cs="Times New Roman"/>
      <w:sz w:val="24"/>
      <w:szCs w:val="20"/>
      <w:lang w:val="zh-CN" w:eastAsia="zh-CN"/>
    </w:rPr>
  </w:style>
  <w:style w:type="character" w:customStyle="1" w:styleId="21">
    <w:name w:val="批注文字 Char"/>
    <w:link w:val="10"/>
    <w:qFormat/>
    <w:uiPriority w:val="0"/>
    <w:rPr>
      <w:rFonts w:ascii="Calibri" w:hAnsi="Calibri" w:eastAsia="宋体"/>
      <w:kern w:val="2"/>
      <w:sz w:val="21"/>
      <w:szCs w:val="22"/>
    </w:rPr>
  </w:style>
  <w:style w:type="character" w:customStyle="1" w:styleId="22">
    <w:name w:val="批注文字 字符"/>
    <w:basedOn w:val="14"/>
    <w:semiHidden/>
    <w:qFormat/>
    <w:uiPriority w:val="99"/>
    <w:rPr>
      <w:rFonts w:ascii="Calibri" w:hAnsi="Calibri" w:eastAsia="宋体"/>
      <w:kern w:val="2"/>
      <w:sz w:val="21"/>
      <w:szCs w:val="22"/>
    </w:rPr>
  </w:style>
  <w:style w:type="paragraph" w:customStyle="1" w:styleId="23">
    <w:name w:val="正文（绿盟科技）"/>
    <w:qFormat/>
    <w:uiPriority w:val="0"/>
    <w:pPr>
      <w:spacing w:line="300" w:lineRule="auto"/>
    </w:pPr>
    <w:rPr>
      <w:rFonts w:ascii="Arial" w:hAnsi="Arial" w:eastAsia="宋体" w:cs="Times New Roman"/>
      <w:sz w:val="24"/>
      <w:szCs w:val="21"/>
      <w:lang w:val="en-US" w:eastAsia="zh-CN" w:bidi="ar-SA"/>
    </w:rPr>
  </w:style>
  <w:style w:type="paragraph" w:customStyle="1" w:styleId="24">
    <w:name w:val="_Style 22"/>
    <w:basedOn w:val="1"/>
    <w:next w:val="18"/>
    <w:qFormat/>
    <w:uiPriority w:val="34"/>
    <w:pPr>
      <w:ind w:firstLine="420" w:firstLineChars="200"/>
    </w:pPr>
  </w:style>
  <w:style w:type="paragraph" w:customStyle="1" w:styleId="25">
    <w:name w:val="样式 5 三号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方正仿宋_GBK" w:cs="Times New Roman"/>
      <w:spacing w:val="-4"/>
      <w:kern w:val="2"/>
      <w:sz w:val="32"/>
      <w:lang w:val="en-US" w:eastAsia="zh-CN" w:bidi="ar-SA"/>
    </w:rPr>
  </w:style>
  <w:style w:type="paragraph" w:customStyle="1" w:styleId="26">
    <w:name w:val="样式 6 三号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方正仿宋_GBK" w:cs="Times New Roman"/>
      <w:spacing w:val="-4"/>
      <w:kern w:val="2"/>
      <w:sz w:val="32"/>
      <w:lang w:val="en-US" w:eastAsia="zh-CN" w:bidi="ar-SA"/>
    </w:rPr>
  </w:style>
  <w:style w:type="paragraph" w:customStyle="1" w:styleId="27">
    <w:name w:val="样式 7 三号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方正仿宋_GBK" w:cs="Times New Roman"/>
      <w:spacing w:val="-4"/>
      <w:kern w:val="2"/>
      <w:sz w:val="32"/>
      <w:lang w:val="en-US" w:eastAsia="zh-CN" w:bidi="ar-SA"/>
    </w:rPr>
  </w:style>
  <w:style w:type="paragraph" w:customStyle="1" w:styleId="28">
    <w:name w:val="样式 8 三号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方正仿宋_GBK" w:cs="Times New Roman"/>
      <w:spacing w:val="-4"/>
      <w:kern w:val="2"/>
      <w:sz w:val="32"/>
      <w:lang w:val="en-US" w:eastAsia="zh-CN" w:bidi="ar-SA"/>
    </w:rPr>
  </w:style>
  <w:style w:type="paragraph" w:customStyle="1" w:styleId="29">
    <w:name w:val="样式 9 三号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方正仿宋_GBK" w:cs="Times New Roman"/>
      <w:spacing w:val="-4"/>
      <w:kern w:val="2"/>
      <w:sz w:val="32"/>
      <w:lang w:val="en-US" w:eastAsia="zh-CN" w:bidi="ar-SA"/>
    </w:rPr>
  </w:style>
  <w:style w:type="paragraph" w:customStyle="1" w:styleId="30">
    <w:name w:val="样式 13 三号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方正仿宋_GBK" w:cs="Times New Roman"/>
      <w:spacing w:val="-4"/>
      <w:kern w:val="2"/>
      <w:sz w:val="32"/>
      <w:lang w:val="en-US" w:eastAsia="zh-CN" w:bidi="ar-SA"/>
    </w:rPr>
  </w:style>
  <w:style w:type="paragraph" w:customStyle="1" w:styleId="31">
    <w:name w:val="样式 14 三号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方正仿宋_GBK" w:cs="Times New Roman"/>
      <w:spacing w:val="-4"/>
      <w:kern w:val="2"/>
      <w:sz w:val="32"/>
      <w:lang w:val="en-US" w:eastAsia="zh-CN" w:bidi="ar-SA"/>
    </w:rPr>
  </w:style>
  <w:style w:type="paragraph" w:customStyle="1" w:styleId="32">
    <w:name w:val="样式 小四"/>
    <w:qFormat/>
    <w:uiPriority w:val="0"/>
    <w:pPr>
      <w:widowControl w:val="0"/>
    </w:pPr>
    <w:rPr>
      <w:rFonts w:ascii="宋体" w:hAnsi="Times New Roman" w:eastAsia="宋体" w:cs="Times New Roman"/>
      <w:kern w:val="2"/>
      <w:sz w:val="24"/>
      <w:szCs w:val="21"/>
      <w:lang w:val="en-US" w:eastAsia="zh-CN" w:bidi="ar-SA"/>
    </w:rPr>
  </w:style>
  <w:style w:type="paragraph" w:customStyle="1" w:styleId="33">
    <w:name w:val="样式 15 三号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方正仿宋_GBK" w:cs="Times New Roman"/>
      <w:spacing w:val="-4"/>
      <w:kern w:val="2"/>
      <w:sz w:val="32"/>
      <w:lang w:val="en-US" w:eastAsia="zh-CN" w:bidi="ar-SA"/>
    </w:rPr>
  </w:style>
  <w:style w:type="paragraph" w:customStyle="1" w:styleId="34">
    <w:name w:val="样式 16 三号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方正仿宋_GBK" w:cs="Times New Roman"/>
      <w:spacing w:val="-4"/>
      <w:kern w:val="2"/>
      <w:sz w:val="32"/>
      <w:lang w:val="en-US" w:eastAsia="zh-CN" w:bidi="ar-SA"/>
    </w:rPr>
  </w:style>
  <w:style w:type="paragraph" w:customStyle="1" w:styleId="35">
    <w:name w:val="样式 19 三号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方正仿宋_GBK" w:cs="Times New Roman"/>
      <w:spacing w:val="-4"/>
      <w:kern w:val="2"/>
      <w:sz w:val="32"/>
      <w:lang w:val="en-US" w:eastAsia="zh-CN" w:bidi="ar-SA"/>
    </w:rPr>
  </w:style>
  <w:style w:type="paragraph" w:customStyle="1" w:styleId="36">
    <w:name w:val="样式 20 三号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方正仿宋_GBK" w:cs="Times New Roman"/>
      <w:spacing w:val="-4"/>
      <w:kern w:val="2"/>
      <w:sz w:val="32"/>
      <w:lang w:val="en-US" w:eastAsia="zh-CN" w:bidi="ar-SA"/>
    </w:rPr>
  </w:style>
  <w:style w:type="paragraph" w:customStyle="1" w:styleId="37">
    <w:name w:val="样式 21 三号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方正仿宋_GBK" w:cs="Times New Roman"/>
      <w:spacing w:val="-4"/>
      <w:kern w:val="2"/>
      <w:sz w:val="32"/>
      <w:lang w:val="en-US" w:eastAsia="zh-CN" w:bidi="ar-SA"/>
    </w:rPr>
  </w:style>
  <w:style w:type="paragraph" w:customStyle="1" w:styleId="38">
    <w:name w:val="样式 22 三号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方正仿宋_GBK" w:cs="Times New Roman"/>
      <w:spacing w:val="-4"/>
      <w:kern w:val="2"/>
      <w:sz w:val="32"/>
      <w:lang w:val="en-US" w:eastAsia="zh-CN" w:bidi="ar-SA"/>
    </w:rPr>
  </w:style>
  <w:style w:type="paragraph" w:customStyle="1" w:styleId="39">
    <w:name w:val="样式 23 三号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方正仿宋_GBK" w:cs="Times New Roman"/>
      <w:spacing w:val="-4"/>
      <w:kern w:val="2"/>
      <w:sz w:val="32"/>
      <w:lang w:val="en-US" w:eastAsia="zh-CN" w:bidi="ar-SA"/>
    </w:rPr>
  </w:style>
  <w:style w:type="paragraph" w:customStyle="1" w:styleId="40">
    <w:name w:val="样式 26 三号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方正仿宋_GBK" w:cs="Times New Roman"/>
      <w:spacing w:val="-4"/>
      <w:kern w:val="2"/>
      <w:sz w:val="32"/>
      <w:lang w:val="en-US" w:eastAsia="zh-CN" w:bidi="ar-SA"/>
    </w:rPr>
  </w:style>
  <w:style w:type="paragraph" w:customStyle="1" w:styleId="41">
    <w:name w:val="样式 27 三号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方正仿宋_GBK" w:cs="Times New Roman"/>
      <w:spacing w:val="-4"/>
      <w:kern w:val="2"/>
      <w:sz w:val="32"/>
      <w:lang w:val="en-US" w:eastAsia="zh-CN" w:bidi="ar-SA"/>
    </w:rPr>
  </w:style>
  <w:style w:type="paragraph" w:customStyle="1" w:styleId="42">
    <w:name w:val="样式 1 小四"/>
    <w:qFormat/>
    <w:uiPriority w:val="0"/>
    <w:pPr>
      <w:widowControl w:val="0"/>
    </w:pPr>
    <w:rPr>
      <w:rFonts w:ascii="宋体" w:hAnsi="Times New Roman" w:eastAsia="宋体" w:cs="Times New Roman"/>
      <w:kern w:val="2"/>
      <w:sz w:val="24"/>
      <w:szCs w:val="21"/>
      <w:lang w:val="en-US" w:eastAsia="zh-CN" w:bidi="ar-SA"/>
    </w:rPr>
  </w:style>
  <w:style w:type="paragraph" w:customStyle="1" w:styleId="43">
    <w:name w:val="样式 28 三号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方正仿宋_GBK" w:cs="Times New Roman"/>
      <w:spacing w:val="-4"/>
      <w:kern w:val="2"/>
      <w:sz w:val="32"/>
      <w:lang w:val="en-US" w:eastAsia="zh-CN" w:bidi="ar-SA"/>
    </w:rPr>
  </w:style>
  <w:style w:type="paragraph" w:customStyle="1" w:styleId="44">
    <w:name w:val="样式 29 三号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方正仿宋_GBK" w:cs="Times New Roman"/>
      <w:spacing w:val="-4"/>
      <w:kern w:val="2"/>
      <w:sz w:val="32"/>
      <w:lang w:val="en-US" w:eastAsia="zh-CN" w:bidi="ar-SA"/>
    </w:rPr>
  </w:style>
  <w:style w:type="paragraph" w:customStyle="1" w:styleId="45">
    <w:name w:val="样式 32 三号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方正仿宋_GBK" w:cs="Times New Roman"/>
      <w:spacing w:val="-4"/>
      <w:kern w:val="2"/>
      <w:sz w:val="32"/>
      <w:lang w:val="en-US" w:eastAsia="zh-CN" w:bidi="ar-SA"/>
    </w:rPr>
  </w:style>
  <w:style w:type="paragraph" w:customStyle="1" w:styleId="46">
    <w:name w:val="样式 33 三号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方正仿宋_GBK" w:cs="Times New Roman"/>
      <w:spacing w:val="-4"/>
      <w:kern w:val="2"/>
      <w:sz w:val="32"/>
      <w:lang w:val="en-US" w:eastAsia="zh-CN" w:bidi="ar-SA"/>
    </w:rPr>
  </w:style>
  <w:style w:type="paragraph" w:customStyle="1" w:styleId="47">
    <w:name w:val="样式 34 三号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方正仿宋_GBK" w:cs="Times New Roman"/>
      <w:spacing w:val="-4"/>
      <w:kern w:val="2"/>
      <w:sz w:val="32"/>
      <w:lang w:val="en-US" w:eastAsia="zh-CN" w:bidi="ar-SA"/>
    </w:rPr>
  </w:style>
  <w:style w:type="paragraph" w:customStyle="1" w:styleId="48">
    <w:name w:val="样式 35 三号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方正仿宋_GBK" w:cs="Times New Roman"/>
      <w:spacing w:val="-4"/>
      <w:kern w:val="2"/>
      <w:sz w:val="32"/>
      <w:lang w:val="en-US" w:eastAsia="zh-CN" w:bidi="ar-SA"/>
    </w:rPr>
  </w:style>
  <w:style w:type="paragraph" w:customStyle="1" w:styleId="49">
    <w:name w:val="样式 36 三号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方正仿宋_GBK" w:cs="Times New Roman"/>
      <w:spacing w:val="-4"/>
      <w:kern w:val="2"/>
      <w:sz w:val="32"/>
      <w:lang w:val="en-US" w:eastAsia="zh-CN" w:bidi="ar-SA"/>
    </w:rPr>
  </w:style>
  <w:style w:type="paragraph" w:customStyle="1" w:styleId="50">
    <w:name w:val="样式 39 三号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方正仿宋_GBK" w:cs="Times New Roman"/>
      <w:spacing w:val="-4"/>
      <w:kern w:val="2"/>
      <w:sz w:val="32"/>
      <w:lang w:val="en-US" w:eastAsia="zh-CN" w:bidi="ar-SA"/>
    </w:rPr>
  </w:style>
  <w:style w:type="paragraph" w:customStyle="1" w:styleId="51">
    <w:name w:val="样式 40 三号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方正仿宋_GBK" w:cs="Times New Roman"/>
      <w:spacing w:val="-4"/>
      <w:kern w:val="2"/>
      <w:sz w:val="32"/>
      <w:lang w:val="en-US" w:eastAsia="zh-CN" w:bidi="ar-SA"/>
    </w:rPr>
  </w:style>
  <w:style w:type="paragraph" w:customStyle="1" w:styleId="52">
    <w:name w:val="样式 41 三号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方正仿宋_GBK" w:cs="Times New Roman"/>
      <w:spacing w:val="-4"/>
      <w:kern w:val="2"/>
      <w:sz w:val="32"/>
      <w:lang w:val="en-US" w:eastAsia="zh-CN" w:bidi="ar-SA"/>
    </w:rPr>
  </w:style>
  <w:style w:type="paragraph" w:customStyle="1" w:styleId="53">
    <w:name w:val="样式 42 三号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方正仿宋_GBK" w:cs="Times New Roman"/>
      <w:spacing w:val="-4"/>
      <w:kern w:val="2"/>
      <w:sz w:val="32"/>
      <w:lang w:val="en-US" w:eastAsia="zh-CN" w:bidi="ar-SA"/>
    </w:rPr>
  </w:style>
  <w:style w:type="paragraph" w:customStyle="1" w:styleId="54">
    <w:name w:val="样式 45 三号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方正仿宋_GBK" w:cs="Times New Roman"/>
      <w:spacing w:val="-4"/>
      <w:kern w:val="2"/>
      <w:sz w:val="32"/>
      <w:lang w:val="en-US" w:eastAsia="zh-CN" w:bidi="ar-SA"/>
    </w:rPr>
  </w:style>
  <w:style w:type="paragraph" w:customStyle="1" w:styleId="55">
    <w:name w:val="样式 46 三号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方正仿宋_GBK" w:cs="Times New Roman"/>
      <w:spacing w:val="-4"/>
      <w:kern w:val="2"/>
      <w:sz w:val="32"/>
      <w:lang w:val="en-US" w:eastAsia="zh-CN" w:bidi="ar-SA"/>
    </w:rPr>
  </w:style>
  <w:style w:type="paragraph" w:customStyle="1" w:styleId="56">
    <w:name w:val="样式 47 三号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方正仿宋_GBK" w:cs="Times New Roman"/>
      <w:spacing w:val="-4"/>
      <w:kern w:val="2"/>
      <w:sz w:val="32"/>
      <w:lang w:val="en-US" w:eastAsia="zh-CN" w:bidi="ar-SA"/>
    </w:rPr>
  </w:style>
  <w:style w:type="paragraph" w:customStyle="1" w:styleId="57">
    <w:name w:val="样式 48 三号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方正仿宋_GBK" w:cs="Times New Roman"/>
      <w:spacing w:val="-4"/>
      <w:kern w:val="2"/>
      <w:sz w:val="32"/>
      <w:lang w:val="en-US" w:eastAsia="zh-CN" w:bidi="ar-SA"/>
    </w:rPr>
  </w:style>
  <w:style w:type="paragraph" w:customStyle="1" w:styleId="58">
    <w:name w:val="样式 49 三号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方正仿宋_GBK" w:cs="Times New Roman"/>
      <w:spacing w:val="-4"/>
      <w:kern w:val="2"/>
      <w:sz w:val="32"/>
      <w:lang w:val="en-US" w:eastAsia="zh-CN" w:bidi="ar-SA"/>
    </w:rPr>
  </w:style>
  <w:style w:type="paragraph" w:customStyle="1" w:styleId="59">
    <w:name w:val="样式 52 三号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方正仿宋_GBK" w:cs="Times New Roman"/>
      <w:spacing w:val="-4"/>
      <w:kern w:val="2"/>
      <w:sz w:val="32"/>
      <w:lang w:val="en-US" w:eastAsia="zh-CN" w:bidi="ar-SA"/>
    </w:rPr>
  </w:style>
  <w:style w:type="paragraph" w:customStyle="1" w:styleId="60">
    <w:name w:val="样式 53 三号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方正仿宋_GBK" w:cs="Times New Roman"/>
      <w:spacing w:val="-4"/>
      <w:kern w:val="2"/>
      <w:sz w:val="32"/>
      <w:lang w:val="en-US" w:eastAsia="zh-CN" w:bidi="ar-SA"/>
    </w:rPr>
  </w:style>
  <w:style w:type="paragraph" w:customStyle="1" w:styleId="61">
    <w:name w:val="样式 54 三号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方正仿宋_GBK" w:cs="Times New Roman"/>
      <w:spacing w:val="-4"/>
      <w:kern w:val="2"/>
      <w:sz w:val="32"/>
      <w:lang w:val="en-US" w:eastAsia="zh-CN" w:bidi="ar-SA"/>
    </w:rPr>
  </w:style>
  <w:style w:type="paragraph" w:customStyle="1" w:styleId="62">
    <w:name w:val="样式 55 三号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方正仿宋_GBK" w:cs="Times New Roman"/>
      <w:spacing w:val="-4"/>
      <w:kern w:val="2"/>
      <w:sz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0</Words>
  <Characters>0</Characters>
  <Lines>7</Lines>
  <Paragraphs>18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2018-07-14T05:06:00Z</dcterms:created>
  <dc:creator>瑞凝信</dc:creator>
  <cp:lastModifiedBy>WF</cp:lastModifiedBy>
  <dcterms:modified xsi:type="dcterms:W3CDTF">2023-05-17T03:23:08Z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commondata">
    <vt:lpwstr>eyJoZGlkIjoiZGU2ZWE1MzJlYzhlMzYwM2NlNjg2NGE5OWUzY2ZhZTgifQ==</vt:lpwstr>
  </property>
  <property fmtid="{D5CDD505-2E9C-101B-9397-08002B2CF9AE}" pid="4" name="ICV">
    <vt:lpwstr>67A707AABC8E43BCBB6AAF145DD7BD28</vt:lpwstr>
  </property>
</Properties>
</file>